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color w:val="D4A574"/>
          <w:sz w:val="22"/>
        </w:rPr>
        <w:t xml:space="preserve">Premium Module | $29.99 | </w:t>
      </w:r>
      <w:r>
        <w:rPr>
          <w:color w:val="D4A574"/>
          <w:sz w:val="22"/>
        </w:rPr>
        <w:fldChar w:fldCharType="begin"/>
        <w:instrText xml:space="preserve"> NUMPAGES </w:instrText>
        <w:fldChar w:fldCharType="end"/>
      </w:r>
      <w:r>
        <w:rPr>
          <w:color w:val="D4A574"/>
          <w:sz w:val="22"/>
        </w:rPr>
        <w:t xml:space="preserve">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jc w:val="center"/>
      </w:pPr>
      <w:r>
        <w:drawing>
          <wp:inline xmlns:a="http://schemas.openxmlformats.org/drawingml/2006/main" xmlns:pic="http://schemas.openxmlformats.org/drawingml/2006/picture">
            <wp:extent cx="4114800" cy="2590800"/>
            <wp:docPr id="2" name="Picture 2"/>
            <wp:cNvGraphicFramePr>
              <a:graphicFrameLocks noChangeAspect="1"/>
            </wp:cNvGraphicFramePr>
            <a:graphic>
              <a:graphicData uri="http://schemas.openxmlformats.org/drawingml/2006/picture">
                <pic:pic>
                  <pic:nvPicPr>
                    <pic:cNvPr id="0" name="putnam-square.png"/>
                    <pic:cNvPicPr/>
                  </pic:nvPicPr>
                  <pic:blipFill>
                    <a:blip r:embed="rId11"/>
                    <a:stretch>
                      <a:fillRect/>
                    </a:stretch>
                  </pic:blipFill>
                  <pic:spPr>
                    <a:xfrm>
                      <a:off x="0" y="0"/>
                      <a:ext cx="4114800" cy="2590800"/>
                    </a:xfrm>
                    <a:prstGeom prst="rect"/>
                  </pic:spPr>
                </pic:pic>
              </a:graphicData>
            </a:graphic>
          </wp:inline>
        </w:drawing>
      </w:r>
    </w:p>
    <w:p/>
    <w:p>
      <w:pPr>
        <w:pStyle w:val="Heading1"/>
        <w:spacing w:before="240" w:after="240"/>
      </w:pPr>
      <w:r>
        <w:rPr>
          <w:color w:val="1B3A6B"/>
        </w:rPr>
        <w:t>Systems Thinking for Operators: Scaling Without Breaking</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br w:type="page"/>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br w:type="page"/>
      </w:r>
    </w:p>
    <w:p>
      <w:r>
        <w:t>Not all bottlenecks are created equal. Some take 2 hours to fix and unlock $500K in revenue. Others take 3 months and deliver 5% improvement.</w:t>
        <w:br/>
        <w:br/>
        <w:t>The Leverage Matrix is your operating tool to identify which problems to solve first.</w:t>
      </w:r>
    </w:p>
    <w:p>
      <w:r>
        <w:t>This is your decision filter. When someone proposes a new project or initiative, run it through this matrix. Ruthlessly prioritize the 'DO NOW' items. These are your quick wins that compound over time.</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br w:type="page"/>
      </w:r>
    </w:p>
    <w:p>
      <w:pPr>
        <w:pStyle w:val="Heading2"/>
      </w:pPr>
      <w:r>
        <w:t>The Leverage Matrix: Where to Spend Energy</w:t>
      </w:r>
    </w:p>
    <w:p>
      <w:r>
        <w:t>Not all bottlenecks are created equal. Some take 2 hours to fix and unlock $500K in revenue. Others take 3 months and deliver 5% improvement. The Leverage Matrix is your operating tool.</w:t>
      </w:r>
    </w:p>
    <w:tbl>
      <w:tblPr>
        <w:tblStyle w:val="LightGrid-Accent1"/>
        <w:tblW w:type="auto" w:w="0"/>
        <w:tblLook w:firstColumn="1" w:firstRow="1" w:lastColumn="0" w:lastRow="0" w:noHBand="0" w:noVBand="1" w:val="04A0"/>
      </w:tblPr>
      <w:tblGrid>
        <w:gridCol w:w="3360"/>
        <w:gridCol w:w="3360"/>
        <w:gridCol w:w="3360"/>
      </w:tblGrid>
      <w:tr>
        <w:tc>
          <w:tcPr>
            <w:tcW w:type="dxa" w:w="24"/>
          </w:tcPr>
          <w:p>
            <w:r/>
          </w:p>
        </w:tc>
        <w:tc>
          <w:tcPr>
            <w:tcW w:type="dxa" w:w="48"/>
          </w:tcPr>
          <w:p>
            <w:r>
              <w:t>HIGH IMPACT</w:t>
            </w:r>
          </w:p>
        </w:tc>
        <w:tc>
          <w:tcPr>
            <w:tcW w:type="dxa" w:w="48"/>
          </w:tcPr>
          <w:p>
            <w:r/>
          </w:p>
        </w:tc>
      </w:tr>
      <w:tr>
        <w:tc>
          <w:tcPr>
            <w:tcW w:type="dxa" w:w="24"/>
          </w:tcPr>
          <w:p>
            <w:r>
              <w:t>HIGH</w:t>
              <w:br/>
              <w:t>EFFORT</w:t>
            </w:r>
          </w:p>
        </w:tc>
        <w:tc>
          <w:tcPr>
            <w:tcW w:type="dxa" w:w="48"/>
            <w:shd w:fill="FFF3CD"/>
          </w:tcPr>
          <w:p>
            <w:r>
              <w:t>PLAN FOR</w:t>
              <w:br/>
              <w:t>LATER</w:t>
            </w:r>
          </w:p>
        </w:tc>
        <w:tc>
          <w:tcPr>
            <w:tcW w:type="dxa" w:w="48"/>
            <w:shd w:fill="E8F5E9"/>
          </w:tcPr>
          <w:p>
            <w:r>
              <w:t>DO NOW</w:t>
            </w:r>
          </w:p>
        </w:tc>
      </w:tr>
      <w:tr>
        <w:tc>
          <w:tcPr>
            <w:tcW w:type="dxa" w:w="24"/>
          </w:tcPr>
          <w:p>
            <w:r>
              <w:t>LOW</w:t>
              <w:br/>
              <w:t>EFFORT</w:t>
            </w:r>
          </w:p>
        </w:tc>
        <w:tc>
          <w:tcPr>
            <w:tcW w:type="dxa" w:w="48"/>
            <w:shd w:fill="FFC8C8"/>
          </w:tcPr>
          <w:p>
            <w:r>
              <w:t>AVOID</w:t>
            </w:r>
          </w:p>
        </w:tc>
        <w:tc>
          <w:tcPr>
            <w:tcW w:type="dxa" w:w="48"/>
            <w:shd w:fill="F8F9FA"/>
          </w:tcPr>
          <w:p>
            <w:r>
              <w:t>SKIP</w:t>
            </w:r>
          </w:p>
        </w:tc>
      </w:tr>
    </w:tbl>
    <w:p>
      <w:r>
        <w:t>This is your decision filter. Ruthlessly prioritize the 'DO NOW' items.</w:t>
      </w:r>
    </w:p>
    <w:p>
      <w:pPr>
        <w:pStyle w:val="Heading2"/>
      </w:pPr>
      <w:r>
        <w:t>Building for Scaling: Architecture Principles</w:t>
      </w:r>
    </w:p>
    <w:p>
      <w:r>
        <w:t>Not all work is created equal. Some changes unlock massive value with minimal effort. Others require months of work for marginal improvements.</w:t>
      </w:r>
    </w:p>
    <w:p>
      <w:r>
        <w:t>As you grow, your organizational structure should match how work actually flows.</w:t>
      </w:r>
    </w:p>
    <w:p>
      <w:r>
        <w:t>Not all work is created equal. Some changes unlock massive value with minimal effort. Others require months of work for marginal improvements.</w:t>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br w:type="page"/>
      </w:r>
    </w:p>
    <w:p>
      <w:pPr>
        <w:pStyle w:val="Heading2"/>
        <w:shd w:fill="1B3A6B"/>
        <w:spacing w:before="0" w:after="240"/>
      </w:pPr>
      <w:r>
        <w:rPr>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w:t>
        <w:br/>
        <w:br/>
        <w:t>Executive Forge makes no guarantees about business outcomes or performance improvements.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