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B3A6B"/>
          <w:sz w:val="28"/>
        </w:rPr>
        <w:t>EXECUTIVE FORGE</w:t>
      </w:r>
    </w:p>
    <w:p>
      <w:pPr>
        <w:spacing w:before="240" w:after="480"/>
        <w:jc w:val="center"/>
      </w:pPr>
      <w:r>
        <w:rPr>
          <w:b/>
          <w:color w:val="1B3A6B"/>
          <w:sz w:val="64"/>
        </w:rPr>
        <w:t>Systems Thinking for Operators:</w:t>
        <w:br/>
        <w:t>Scaling Without Breaking</w:t>
      </w:r>
    </w:p>
    <w:p>
      <w:pPr>
        <w:jc w:val="center"/>
      </w:pPr>
      <w:r>
        <w:rPr>
          <w:b/>
          <w:color w:val="D4A574"/>
          <w:sz w:val="24"/>
        </w:rPr>
        <w:t>Premium Module | $29.99 | 75+ Pages | Expanded Edition</w:t>
      </w:r>
    </w:p>
    <w:p>
      <w:pPr>
        <w:spacing w:before="720" w:after="240"/>
        <w:jc w:val="center"/>
      </w:pPr>
      <w:r>
        <w:rPr>
          <w:color w:val="2C3E50"/>
          <w:sz w:val="22"/>
        </w:rPr>
        <w:t>Master the principles of systems thinking to eliminate bottlenecks, leverage high-impact changes, build organizational architecture that scales, and avoid the common failure patterns that destroy companies at growth inflection points.</w:t>
      </w:r>
    </w:p>
    <w:p>
      <w:r>
        <w:br w:type="page"/>
      </w:r>
    </w:p>
    <w:p>
      <w:pPr>
        <w:pStyle w:val="Heading1"/>
      </w:pPr>
      <w:r>
        <w:rPr>
          <w:color w:val="1B3A6B"/>
        </w:rPr>
        <w:t>Systems Thinking for Operators</w:t>
      </w:r>
    </w:p>
    <w:p>
      <w:r>
        <w:rPr>
          <w:color w:val="2C3E50"/>
          <w:sz w:val="22"/>
        </w:rPr>
        <w:t>Most operators hit a growth ceiling around $5–10M revenue. They've hit it because they're thinking linearly about exponential problems. This module teaches you to think in systems.</w:t>
      </w:r>
    </w:p>
    <w:p>
      <w:r>
        <w:rPr>
          <w:color w:val="2C3E50"/>
          <w:sz w:val="22"/>
        </w:rPr>
        <w:t>The companies that break are the ones that optimize locally without considering global consequences. The companies that scale are the ones that see their business as an interconnected whole.</w:t>
      </w:r>
    </w:p>
    <w:sectPr w:rsidR="00FC693F" w:rsidRPr="0006063C" w:rsidSect="00034616">
      <w:footerReference w:type="default" r:id="rId9"/>
      <w:pgSz w:w="12240" w:h="15840"/>
      <w:pgMar w:top="1080" w:right="1080" w:bottom="216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</w:tcPr>
        <w:p>
          <w:r>
            <w:rPr>
              <w:b/>
              <w:color w:val="D4A574"/>
              <w:sz w:val="18"/>
            </w:rPr>
            <w:t>Executive Forge</w:t>
          </w:r>
        </w:p>
      </w:tc>
      <w:tc>
        <w:tcPr>
          <w:tcW w:type="dxa" w:w="4680"/>
        </w:tcPr>
        <w:p>
          <w:pPr>
            <w:jc w:val="right"/>
          </w:pPr>
          <w:r>
            <w:rPr>
              <w:color w:val="1B3A6B"/>
              <w:sz w:val="18"/>
            </w:rPr>
            <w:fldChar w:fldCharType="begin"/>
            <w:instrText xml:space="preserve">PAGE</w:instrText>
            <w:fldChar w:fldCharType="end"/>
          </w:r>
          <w:r>
            <w:t xml:space="preserve"> of </w:t>
          </w:r>
          <w:r>
            <w:rPr>
              <w:color w:val="1B3A6B"/>
              <w:sz w:val="18"/>
            </w:rPr>
            <w:fldChar w:fldCharType="begin"/>
            <w:instrText xml:space="preserve">NUMPAGES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