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0"/>
        </w:rPr>
        <w:t>Public Money Tracker</w:t>
      </w:r>
    </w:p>
    <w:p>
      <w:pPr>
        <w:jc w:val="center"/>
      </w:pPr>
      <w:r>
        <w:rPr>
          <w:color w:val="333333"/>
          <w:sz w:val="26"/>
        </w:rPr>
        <w:t>Federal Money Report -- Week of March 16, 2026</w:t>
      </w:r>
    </w:p>
    <w:p>
      <w:pPr>
        <w:jc w:val="center"/>
      </w:pPr>
      <w:r>
        <w:rPr>
          <w:color w:val="C0392B"/>
          <w:sz w:val="18"/>
        </w:rPr>
        <w:t>publicmoneytracker.com  ·  publicmoneytracker.substack.com</w:t>
      </w:r>
    </w:p>
    <w:p/>
    <w:p>
      <w:pPr>
        <w:pStyle w:val="Heading2"/>
      </w:pPr>
      <w:r>
        <w:rPr>
          <w:color w:val="1A1A1A"/>
        </w:rPr>
        <w:t>Headline</w:t>
      </w:r>
    </w:p>
    <w:p>
      <w:r>
        <w:rPr>
          <w:b/>
          <w:sz w:val="28"/>
        </w:rPr>
        <w:t>Federal Awards Reach $4.3B for Week of March 16, 2026, Led by $1.7B in Homeland Security Contracts</w:t>
      </w:r>
    </w:p>
    <w:p/>
    <w:p>
      <w:pPr>
        <w:pStyle w:val="Heading2"/>
      </w:pPr>
      <w:r>
        <w:rPr>
          <w:color w:val="1A1A1A"/>
        </w:rPr>
        <w:t>Key Findings</w:t>
      </w:r>
    </w:p>
    <w:p>
      <w:pPr>
        <w:pStyle w:val="ListBullet"/>
      </w:pPr>
      <w:r>
        <w:t>Total federal contract and grant awards for the week of March 16, 2026 reached $4.3B across multiple agencies and sectors.</w:t>
      </w:r>
    </w:p>
    <w:p>
      <w:pPr>
        <w:pStyle w:val="ListBullet"/>
      </w:pPr>
      <w:r>
        <w:t>The Department of Homeland Security issued the largest agency total at $1.7B across 44 awards, including a single $1.1B contract to Spencer Construction LLC of Texas.</w:t>
      </w:r>
    </w:p>
    <w:p>
      <w:pPr>
        <w:pStyle w:val="ListBullet"/>
      </w:pPr>
      <w:r>
        <w:t>Construction &amp; Real Estate was the dominant spending sector, accounting for $1.2B or 28.4% of all tracked awards for the period.</w:t>
      </w:r>
    </w:p>
    <w:p>
      <w:pPr>
        <w:pStyle w:val="ListBullet"/>
      </w:pPr>
      <w:r>
        <w:t>Defense &amp; Aerospace recorded a chain score of 4/4, with $71.1M in lobbying activity, $3.1M in associated political donations, and $456.0M in contract awards all present in the dataset.</w:t>
      </w:r>
    </w:p>
    <w:p>
      <w:pPr>
        <w:pStyle w:val="ListBullet"/>
      </w:pPr>
      <w:r>
        <w:t>Eight organizations appear in both the federal awards dataset and campaign finance records, with combined contract values ranging from $37.1M to $175.3M alongside donation figures ranging from $88 to $191K.</w:t>
      </w:r>
    </w:p>
    <w:p/>
    <w:p>
      <w:pPr>
        <w:pStyle w:val="Heading2"/>
      </w:pPr>
      <w:r>
        <w:rPr>
          <w:color w:val="1A1A1A"/>
        </w:rPr>
        <w:t>Federal Spending Snapshot</w:t>
      </w:r>
    </w:p>
    <w:p>
      <w:r>
        <w:t>For the week of March 16, 2026, federal agencies issued a combined $4.3B in tracked awards. The Department of Homeland Security led all agencies with $1.7B distributed across 44 awards, followed by the Department of Health and Human Services at $791.3M across 515 awards. The General Services Administration, Department of Veterans Affairs, and National Aeronautics and Space Administration rounded out the top five, with totals of $324.7M, $260.8M, and $251.9M respectively.</w:t>
      </w:r>
    </w:p>
    <w:p>
      <w:r>
        <w:t>By sector, Construction &amp; Real Estate captured the largest share of spending at $1.2B, representing 28.4% of total awards. Energy &amp; Environment followed at $610.8M, or 14.2% of the total. Labor &amp; Government Services, Defense &amp; Aerospace, and Technology &amp; Telecommunications accounted for an additional $217.2M, $208.2M, and $149.4M respectively.</w:t>
      </w:r>
    </w:p>
    <w:p/>
    <w:p>
      <w:r>
        <w:rPr>
          <w:b/>
        </w:rPr>
        <w:t>Table A -- Top Federal Awards This Week</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Recipient</w:t>
            </w:r>
          </w:p>
        </w:tc>
        <w:tc>
          <w:tcPr>
            <w:tcW w:type="dxa" w:w="1728"/>
          </w:tcPr>
          <w:p>
            <w:pPr>
              <w:jc w:val="center"/>
            </w:pPr>
            <w:r>
              <w:rPr>
                <w:b/>
                <w:sz w:val="18"/>
              </w:rPr>
              <w:t>Amount</w:t>
            </w:r>
          </w:p>
        </w:tc>
        <w:tc>
          <w:tcPr>
            <w:tcW w:type="dxa" w:w="1728"/>
          </w:tcPr>
          <w:p>
            <w:pPr>
              <w:jc w:val="center"/>
            </w:pPr>
            <w:r>
              <w:rPr>
                <w:b/>
                <w:sz w:val="18"/>
              </w:rPr>
              <w:t>Agency</w:t>
            </w:r>
          </w:p>
        </w:tc>
        <w:tc>
          <w:tcPr>
            <w:tcW w:type="dxa" w:w="1728"/>
          </w:tcPr>
          <w:p>
            <w:pPr>
              <w:jc w:val="center"/>
            </w:pPr>
            <w:r>
              <w:rPr>
                <w:b/>
                <w:sz w:val="18"/>
              </w:rPr>
              <w:t>State</w:t>
            </w:r>
          </w:p>
        </w:tc>
        <w:tc>
          <w:tcPr>
            <w:tcW w:type="dxa" w:w="1728"/>
          </w:tcPr>
          <w:p>
            <w:pPr>
              <w:jc w:val="center"/>
            </w:pPr>
            <w:r>
              <w:rPr>
                <w:b/>
                <w:sz w:val="18"/>
              </w:rPr>
              <w:t>Sector</w:t>
            </w:r>
          </w:p>
        </w:tc>
      </w:tr>
      <w:tr>
        <w:tc>
          <w:tcPr>
            <w:tcW w:type="dxa" w:w="1728"/>
          </w:tcPr>
          <w:p>
            <w:r>
              <w:rPr>
                <w:sz w:val="18"/>
              </w:rPr>
              <w:t>SPENCER CONSTRUCTION LLC</w:t>
            </w:r>
          </w:p>
        </w:tc>
        <w:tc>
          <w:tcPr>
            <w:tcW w:type="dxa" w:w="1728"/>
          </w:tcPr>
          <w:p>
            <w:r>
              <w:rPr>
                <w:sz w:val="18"/>
              </w:rPr>
              <w:t>$1.1B</w:t>
            </w:r>
          </w:p>
        </w:tc>
        <w:tc>
          <w:tcPr>
            <w:tcW w:type="dxa" w:w="1728"/>
          </w:tcPr>
          <w:p>
            <w:r>
              <w:rPr>
                <w:sz w:val="18"/>
              </w:rPr>
              <w:t>Department of Homeland Security</w:t>
            </w:r>
          </w:p>
        </w:tc>
        <w:tc>
          <w:tcPr>
            <w:tcW w:type="dxa" w:w="1728"/>
          </w:tcPr>
          <w:p>
            <w:r>
              <w:rPr>
                <w:sz w:val="18"/>
              </w:rPr>
              <w:t>TX</w:t>
            </w:r>
          </w:p>
        </w:tc>
        <w:tc>
          <w:tcPr>
            <w:tcW w:type="dxa" w:w="1728"/>
          </w:tcPr>
          <w:p>
            <w:r>
              <w:rPr>
                <w:sz w:val="18"/>
              </w:rPr>
              <w:t>Construction &amp; Real Estate</w:t>
            </w:r>
          </w:p>
        </w:tc>
      </w:tr>
      <w:tr>
        <w:tc>
          <w:tcPr>
            <w:tcW w:type="dxa" w:w="1728"/>
          </w:tcPr>
          <w:p>
            <w:r>
              <w:rPr>
                <w:sz w:val="18"/>
              </w:rPr>
              <w:t>AUSTAL USA, LLC</w:t>
            </w:r>
          </w:p>
        </w:tc>
        <w:tc>
          <w:tcPr>
            <w:tcW w:type="dxa" w:w="1728"/>
          </w:tcPr>
          <w:p>
            <w:r>
              <w:rPr>
                <w:sz w:val="18"/>
              </w:rPr>
              <w:t>$175.3M</w:t>
            </w:r>
          </w:p>
        </w:tc>
        <w:tc>
          <w:tcPr>
            <w:tcW w:type="dxa" w:w="1728"/>
          </w:tcPr>
          <w:p>
            <w:r>
              <w:rPr>
                <w:sz w:val="18"/>
              </w:rPr>
              <w:t>Department of Homeland Security</w:t>
            </w:r>
          </w:p>
        </w:tc>
        <w:tc>
          <w:tcPr>
            <w:tcW w:type="dxa" w:w="1728"/>
          </w:tcPr>
          <w:p>
            <w:r>
              <w:rPr>
                <w:sz w:val="18"/>
              </w:rPr>
              <w:t>AL</w:t>
            </w:r>
          </w:p>
        </w:tc>
        <w:tc>
          <w:tcPr>
            <w:tcW w:type="dxa" w:w="1728"/>
          </w:tcPr>
          <w:p>
            <w:r>
              <w:rPr>
                <w:sz w:val="18"/>
              </w:rPr>
              <w:t>Defense &amp; Aerospace</w:t>
            </w:r>
          </w:p>
        </w:tc>
      </w:tr>
      <w:tr>
        <w:tc>
          <w:tcPr>
            <w:tcW w:type="dxa" w:w="1728"/>
          </w:tcPr>
          <w:p>
            <w:r>
              <w:rPr>
                <w:sz w:val="18"/>
              </w:rPr>
              <w:t>CALIFORNIA INSTITUTE OF TECHNOLOGY</w:t>
            </w:r>
          </w:p>
        </w:tc>
        <w:tc>
          <w:tcPr>
            <w:tcW w:type="dxa" w:w="1728"/>
          </w:tcPr>
          <w:p>
            <w:r>
              <w:rPr>
                <w:sz w:val="18"/>
              </w:rPr>
              <w:t>$134.3M</w:t>
            </w:r>
          </w:p>
        </w:tc>
        <w:tc>
          <w:tcPr>
            <w:tcW w:type="dxa" w:w="1728"/>
          </w:tcPr>
          <w:p>
            <w:r>
              <w:rPr>
                <w:sz w:val="18"/>
              </w:rPr>
              <w:t>National Aeronautics and Space Administration</w:t>
            </w:r>
          </w:p>
        </w:tc>
        <w:tc>
          <w:tcPr>
            <w:tcW w:type="dxa" w:w="1728"/>
          </w:tcPr>
          <w:p>
            <w:r>
              <w:rPr>
                <w:sz w:val="18"/>
              </w:rPr>
              <w:t>CA</w:t>
            </w:r>
          </w:p>
        </w:tc>
        <w:tc>
          <w:tcPr>
            <w:tcW w:type="dxa" w:w="1728"/>
          </w:tcPr>
          <w:p>
            <w:r>
              <w:rPr>
                <w:sz w:val="18"/>
              </w:rPr>
              <w:t>Energy &amp; Environment</w:t>
            </w:r>
          </w:p>
        </w:tc>
      </w:tr>
      <w:tr>
        <w:tc>
          <w:tcPr>
            <w:tcW w:type="dxa" w:w="1728"/>
          </w:tcPr>
          <w:p>
            <w:r>
              <w:rPr>
                <w:sz w:val="18"/>
              </w:rPr>
              <w:t>SALUS WORLDWIDE SOLUTIONS CORP.</w:t>
            </w:r>
          </w:p>
        </w:tc>
        <w:tc>
          <w:tcPr>
            <w:tcW w:type="dxa" w:w="1728"/>
          </w:tcPr>
          <w:p>
            <w:r>
              <w:rPr>
                <w:sz w:val="18"/>
              </w:rPr>
              <w:t>$124.9M</w:t>
            </w:r>
          </w:p>
        </w:tc>
        <w:tc>
          <w:tcPr>
            <w:tcW w:type="dxa" w:w="1728"/>
          </w:tcPr>
          <w:p>
            <w:r>
              <w:rPr>
                <w:sz w:val="18"/>
              </w:rPr>
              <w:t>Department of Homeland Security</w:t>
            </w:r>
          </w:p>
        </w:tc>
        <w:tc>
          <w:tcPr>
            <w:tcW w:type="dxa" w:w="1728"/>
          </w:tcPr>
          <w:p>
            <w:r>
              <w:rPr>
                <w:sz w:val="18"/>
              </w:rPr>
              <w:t>VA</w:t>
            </w:r>
          </w:p>
        </w:tc>
        <w:tc>
          <w:tcPr>
            <w:tcW w:type="dxa" w:w="1728"/>
          </w:tcPr>
          <w:p>
            <w:r>
              <w:rPr>
                <w:sz w:val="18"/>
              </w:rPr>
              <w:t>Transportation</w:t>
            </w:r>
          </w:p>
        </w:tc>
      </w:tr>
      <w:tr>
        <w:tc>
          <w:tcPr>
            <w:tcW w:type="dxa" w:w="1728"/>
          </w:tcPr>
          <w:p>
            <w:r>
              <w:rPr>
                <w:sz w:val="18"/>
              </w:rPr>
              <w:t>NEW YORK STATE OFFICE OF TEMPORARY &amp; DISABILITY ASSISTANCE</w:t>
            </w:r>
          </w:p>
        </w:tc>
        <w:tc>
          <w:tcPr>
            <w:tcW w:type="dxa" w:w="1728"/>
          </w:tcPr>
          <w:p>
            <w:r>
              <w:rPr>
                <w:sz w:val="18"/>
              </w:rPr>
              <w:t>$122.1M</w:t>
            </w:r>
          </w:p>
        </w:tc>
        <w:tc>
          <w:tcPr>
            <w:tcW w:type="dxa" w:w="1728"/>
          </w:tcPr>
          <w:p>
            <w:r>
              <w:rPr>
                <w:sz w:val="18"/>
              </w:rPr>
              <w:t>Department of Health and Human Services</w:t>
            </w:r>
          </w:p>
        </w:tc>
        <w:tc>
          <w:tcPr>
            <w:tcW w:type="dxa" w:w="1728"/>
          </w:tcPr>
          <w:p>
            <w:r>
              <w:rPr>
                <w:sz w:val="18"/>
              </w:rPr>
              <w:t>NY</w:t>
            </w:r>
          </w:p>
        </w:tc>
        <w:tc>
          <w:tcPr>
            <w:tcW w:type="dxa" w:w="1728"/>
          </w:tcPr>
          <w:p>
            <w:r>
              <w:rPr>
                <w:sz w:val="18"/>
              </w:rPr>
              <w:t>N/A</w:t>
            </w:r>
          </w:p>
        </w:tc>
      </w:tr>
      <w:tr>
        <w:tc>
          <w:tcPr>
            <w:tcW w:type="dxa" w:w="1728"/>
          </w:tcPr>
          <w:p>
            <w:r>
              <w:rPr>
                <w:sz w:val="18"/>
              </w:rPr>
              <w:t>VERTEX AEROSPACE LLC</w:t>
            </w:r>
          </w:p>
        </w:tc>
        <w:tc>
          <w:tcPr>
            <w:tcW w:type="dxa" w:w="1728"/>
          </w:tcPr>
          <w:p>
            <w:r>
              <w:rPr>
                <w:sz w:val="18"/>
              </w:rPr>
              <w:t>$68.3M</w:t>
            </w:r>
          </w:p>
        </w:tc>
        <w:tc>
          <w:tcPr>
            <w:tcW w:type="dxa" w:w="1728"/>
          </w:tcPr>
          <w:p>
            <w:r>
              <w:rPr>
                <w:sz w:val="18"/>
              </w:rPr>
              <w:t>General Services Administration</w:t>
            </w:r>
          </w:p>
        </w:tc>
        <w:tc>
          <w:tcPr>
            <w:tcW w:type="dxa" w:w="1728"/>
          </w:tcPr>
          <w:p>
            <w:r>
              <w:rPr>
                <w:sz w:val="18"/>
              </w:rPr>
              <w:t>FL</w:t>
            </w:r>
          </w:p>
        </w:tc>
        <w:tc>
          <w:tcPr>
            <w:tcW w:type="dxa" w:w="1728"/>
          </w:tcPr>
          <w:p>
            <w:r>
              <w:rPr>
                <w:sz w:val="18"/>
              </w:rPr>
              <w:t>Energy &amp; Environment</w:t>
            </w:r>
          </w:p>
        </w:tc>
      </w:tr>
      <w:tr>
        <w:tc>
          <w:tcPr>
            <w:tcW w:type="dxa" w:w="1728"/>
          </w:tcPr>
          <w:p>
            <w:r>
              <w:rPr>
                <w:sz w:val="18"/>
              </w:rPr>
              <w:t>CGI FEDERAL INC.</w:t>
            </w:r>
          </w:p>
        </w:tc>
        <w:tc>
          <w:tcPr>
            <w:tcW w:type="dxa" w:w="1728"/>
          </w:tcPr>
          <w:p>
            <w:r>
              <w:rPr>
                <w:sz w:val="18"/>
              </w:rPr>
              <w:t>$54.4M</w:t>
            </w:r>
          </w:p>
        </w:tc>
        <w:tc>
          <w:tcPr>
            <w:tcW w:type="dxa" w:w="1728"/>
          </w:tcPr>
          <w:p>
            <w:r>
              <w:rPr>
                <w:sz w:val="18"/>
              </w:rPr>
              <w:t>Social Security Administration</w:t>
            </w:r>
          </w:p>
        </w:tc>
        <w:tc>
          <w:tcPr>
            <w:tcW w:type="dxa" w:w="1728"/>
          </w:tcPr>
          <w:p>
            <w:r>
              <w:rPr>
                <w:sz w:val="18"/>
              </w:rPr>
              <w:t>VA</w:t>
            </w:r>
          </w:p>
        </w:tc>
        <w:tc>
          <w:tcPr>
            <w:tcW w:type="dxa" w:w="1728"/>
          </w:tcPr>
          <w:p>
            <w:r>
              <w:rPr>
                <w:sz w:val="18"/>
              </w:rPr>
              <w:t>N/A</w:t>
            </w:r>
          </w:p>
        </w:tc>
      </w:tr>
      <w:tr>
        <w:tc>
          <w:tcPr>
            <w:tcW w:type="dxa" w:w="1728"/>
          </w:tcPr>
          <w:p>
            <w:r>
              <w:rPr>
                <w:sz w:val="18"/>
              </w:rPr>
              <w:t>ISLAND PEER REVIEW ORGANIZATION INC</w:t>
            </w:r>
          </w:p>
        </w:tc>
        <w:tc>
          <w:tcPr>
            <w:tcW w:type="dxa" w:w="1728"/>
          </w:tcPr>
          <w:p>
            <w:r>
              <w:rPr>
                <w:sz w:val="18"/>
              </w:rPr>
              <w:t>$49.4M</w:t>
            </w:r>
          </w:p>
        </w:tc>
        <w:tc>
          <w:tcPr>
            <w:tcW w:type="dxa" w:w="1728"/>
          </w:tcPr>
          <w:p>
            <w:r>
              <w:rPr>
                <w:sz w:val="18"/>
              </w:rPr>
              <w:t>Department of Health and Human Services</w:t>
            </w:r>
          </w:p>
        </w:tc>
        <w:tc>
          <w:tcPr>
            <w:tcW w:type="dxa" w:w="1728"/>
          </w:tcPr>
          <w:p>
            <w:r>
              <w:rPr>
                <w:sz w:val="18"/>
              </w:rPr>
              <w:t>NY</w:t>
            </w:r>
          </w:p>
        </w:tc>
        <w:tc>
          <w:tcPr>
            <w:tcW w:type="dxa" w:w="1728"/>
          </w:tcPr>
          <w:p>
            <w:r>
              <w:rPr>
                <w:sz w:val="18"/>
              </w:rPr>
              <w:t>N/A</w:t>
            </w:r>
          </w:p>
        </w:tc>
      </w:tr>
      <w:tr>
        <w:tc>
          <w:tcPr>
            <w:tcW w:type="dxa" w:w="1728"/>
          </w:tcPr>
          <w:p>
            <w:r>
              <w:rPr>
                <w:sz w:val="18"/>
              </w:rPr>
              <w:t>GUIDEHOUSE INC.</w:t>
            </w:r>
          </w:p>
        </w:tc>
        <w:tc>
          <w:tcPr>
            <w:tcW w:type="dxa" w:w="1728"/>
          </w:tcPr>
          <w:p>
            <w:r>
              <w:rPr>
                <w:sz w:val="18"/>
              </w:rPr>
              <w:t>$49.3M</w:t>
            </w:r>
          </w:p>
        </w:tc>
        <w:tc>
          <w:tcPr>
            <w:tcW w:type="dxa" w:w="1728"/>
          </w:tcPr>
          <w:p>
            <w:r>
              <w:rPr>
                <w:sz w:val="18"/>
              </w:rPr>
              <w:t>Department of the Interior</w:t>
            </w:r>
          </w:p>
        </w:tc>
        <w:tc>
          <w:tcPr>
            <w:tcW w:type="dxa" w:w="1728"/>
          </w:tcPr>
          <w:p>
            <w:r>
              <w:rPr>
                <w:sz w:val="18"/>
              </w:rPr>
              <w:t>MD</w:t>
            </w:r>
          </w:p>
        </w:tc>
        <w:tc>
          <w:tcPr>
            <w:tcW w:type="dxa" w:w="1728"/>
          </w:tcPr>
          <w:p>
            <w:r>
              <w:rPr>
                <w:sz w:val="18"/>
              </w:rPr>
              <w:t>N/A</w:t>
            </w:r>
          </w:p>
        </w:tc>
      </w:tr>
      <w:tr>
        <w:tc>
          <w:tcPr>
            <w:tcW w:type="dxa" w:w="1728"/>
          </w:tcPr>
          <w:p>
            <w:r>
              <w:rPr>
                <w:sz w:val="18"/>
              </w:rPr>
              <w:t>FIRST NATION GROUP LLC</w:t>
            </w:r>
          </w:p>
        </w:tc>
        <w:tc>
          <w:tcPr>
            <w:tcW w:type="dxa" w:w="1728"/>
          </w:tcPr>
          <w:p>
            <w:r>
              <w:rPr>
                <w:sz w:val="18"/>
              </w:rPr>
              <w:t>$44.6M</w:t>
            </w:r>
          </w:p>
        </w:tc>
        <w:tc>
          <w:tcPr>
            <w:tcW w:type="dxa" w:w="1728"/>
          </w:tcPr>
          <w:p>
            <w:r>
              <w:rPr>
                <w:sz w:val="18"/>
              </w:rPr>
              <w:t>Department of Veterans Affairs</w:t>
            </w:r>
          </w:p>
        </w:tc>
        <w:tc>
          <w:tcPr>
            <w:tcW w:type="dxa" w:w="1728"/>
          </w:tcPr>
          <w:p>
            <w:r>
              <w:rPr>
                <w:sz w:val="18"/>
              </w:rPr>
              <w:t>FL</w:t>
            </w:r>
          </w:p>
        </w:tc>
        <w:tc>
          <w:tcPr>
            <w:tcW w:type="dxa" w:w="1728"/>
          </w:tcPr>
          <w:p>
            <w:r>
              <w:rPr>
                <w:sz w:val="18"/>
              </w:rPr>
              <w:t>N/A</w:t>
            </w:r>
          </w:p>
        </w:tc>
      </w:tr>
    </w:tbl>
    <w:p/>
    <w:p>
      <w:r>
        <w:rPr>
          <w:b/>
        </w:rPr>
        <w:t>Table B -- Top Awarding Agencies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jc w:val="center"/>
            </w:pPr>
            <w:r>
              <w:rPr>
                <w:b/>
                <w:sz w:val="18"/>
              </w:rPr>
              <w:t>Agency</w:t>
            </w:r>
          </w:p>
        </w:tc>
        <w:tc>
          <w:tcPr>
            <w:tcW w:type="dxa" w:w="2880"/>
          </w:tcPr>
          <w:p>
            <w:pPr>
              <w:jc w:val="center"/>
            </w:pPr>
            <w:r>
              <w:rPr>
                <w:b/>
                <w:sz w:val="18"/>
              </w:rPr>
              <w:t>Total Awards</w:t>
            </w:r>
          </w:p>
        </w:tc>
        <w:tc>
          <w:tcPr>
            <w:tcW w:type="dxa" w:w="2880"/>
          </w:tcPr>
          <w:p>
            <w:pPr>
              <w:jc w:val="center"/>
            </w:pPr>
            <w:r>
              <w:rPr>
                <w:b/>
                <w:sz w:val="18"/>
              </w:rPr>
              <w:t># Contracts</w:t>
            </w:r>
          </w:p>
        </w:tc>
      </w:tr>
      <w:tr>
        <w:tc>
          <w:tcPr>
            <w:tcW w:type="dxa" w:w="2880"/>
          </w:tcPr>
          <w:p>
            <w:r>
              <w:rPr>
                <w:sz w:val="18"/>
              </w:rPr>
              <w:t>Department of Homeland Security</w:t>
            </w:r>
          </w:p>
        </w:tc>
        <w:tc>
          <w:tcPr>
            <w:tcW w:type="dxa" w:w="2880"/>
          </w:tcPr>
          <w:p>
            <w:r>
              <w:rPr>
                <w:sz w:val="18"/>
              </w:rPr>
              <w:t>$1.7B</w:t>
            </w:r>
          </w:p>
        </w:tc>
        <w:tc>
          <w:tcPr>
            <w:tcW w:type="dxa" w:w="2880"/>
          </w:tcPr>
          <w:p>
            <w:r>
              <w:rPr>
                <w:sz w:val="18"/>
              </w:rPr>
              <w:t>44</w:t>
            </w:r>
          </w:p>
        </w:tc>
      </w:tr>
      <w:tr>
        <w:tc>
          <w:tcPr>
            <w:tcW w:type="dxa" w:w="2880"/>
          </w:tcPr>
          <w:p>
            <w:r>
              <w:rPr>
                <w:sz w:val="18"/>
              </w:rPr>
              <w:t>Department of Health and Human Services</w:t>
            </w:r>
          </w:p>
        </w:tc>
        <w:tc>
          <w:tcPr>
            <w:tcW w:type="dxa" w:w="2880"/>
          </w:tcPr>
          <w:p>
            <w:r>
              <w:rPr>
                <w:sz w:val="18"/>
              </w:rPr>
              <w:t>$791.3M</w:t>
            </w:r>
          </w:p>
        </w:tc>
        <w:tc>
          <w:tcPr>
            <w:tcW w:type="dxa" w:w="2880"/>
          </w:tcPr>
          <w:p>
            <w:r>
              <w:rPr>
                <w:sz w:val="18"/>
              </w:rPr>
              <w:t>43</w:t>
            </w:r>
          </w:p>
        </w:tc>
      </w:tr>
      <w:tr>
        <w:tc>
          <w:tcPr>
            <w:tcW w:type="dxa" w:w="2880"/>
          </w:tcPr>
          <w:p>
            <w:r>
              <w:rPr>
                <w:sz w:val="18"/>
              </w:rPr>
              <w:t>General Services Administration</w:t>
            </w:r>
          </w:p>
        </w:tc>
        <w:tc>
          <w:tcPr>
            <w:tcW w:type="dxa" w:w="2880"/>
          </w:tcPr>
          <w:p>
            <w:r>
              <w:rPr>
                <w:sz w:val="18"/>
              </w:rPr>
              <w:t>$324.7M</w:t>
            </w:r>
          </w:p>
        </w:tc>
        <w:tc>
          <w:tcPr>
            <w:tcW w:type="dxa" w:w="2880"/>
          </w:tcPr>
          <w:p>
            <w:r>
              <w:rPr>
                <w:sz w:val="18"/>
              </w:rPr>
              <w:t>49</w:t>
            </w:r>
          </w:p>
        </w:tc>
      </w:tr>
      <w:tr>
        <w:tc>
          <w:tcPr>
            <w:tcW w:type="dxa" w:w="2880"/>
          </w:tcPr>
          <w:p>
            <w:r>
              <w:rPr>
                <w:sz w:val="18"/>
              </w:rPr>
              <w:t>Department of Veterans Affairs</w:t>
            </w:r>
          </w:p>
        </w:tc>
        <w:tc>
          <w:tcPr>
            <w:tcW w:type="dxa" w:w="2880"/>
          </w:tcPr>
          <w:p>
            <w:r>
              <w:rPr>
                <w:sz w:val="18"/>
              </w:rPr>
              <w:t>$260.8M</w:t>
            </w:r>
          </w:p>
        </w:tc>
        <w:tc>
          <w:tcPr>
            <w:tcW w:type="dxa" w:w="2880"/>
          </w:tcPr>
          <w:p>
            <w:r>
              <w:rPr>
                <w:sz w:val="18"/>
              </w:rPr>
              <w:t>75</w:t>
            </w:r>
          </w:p>
        </w:tc>
      </w:tr>
      <w:tr>
        <w:tc>
          <w:tcPr>
            <w:tcW w:type="dxa" w:w="2880"/>
          </w:tcPr>
          <w:p>
            <w:r>
              <w:rPr>
                <w:sz w:val="18"/>
              </w:rPr>
              <w:t>National Aeronautics and Space Administration</w:t>
            </w:r>
          </w:p>
        </w:tc>
        <w:tc>
          <w:tcPr>
            <w:tcW w:type="dxa" w:w="2880"/>
          </w:tcPr>
          <w:p>
            <w:r>
              <w:rPr>
                <w:sz w:val="18"/>
              </w:rPr>
              <w:t>$251.9M</w:t>
            </w:r>
          </w:p>
        </w:tc>
        <w:tc>
          <w:tcPr>
            <w:tcW w:type="dxa" w:w="2880"/>
          </w:tcPr>
          <w:p>
            <w:r>
              <w:rPr>
                <w:sz w:val="18"/>
              </w:rPr>
              <w:t>30</w:t>
            </w:r>
          </w:p>
        </w:tc>
      </w:tr>
    </w:tbl>
    <w:p/>
    <w:p/>
    <w:p>
      <w:pPr>
        <w:pStyle w:val="Heading2"/>
      </w:pPr>
      <w:r>
        <w:rPr>
          <w:color w:val="1A1A1A"/>
        </w:rPr>
        <w:t>Industry Influence Chain Spotlight ★</w:t>
      </w:r>
    </w:p>
    <w:p>
      <w:r>
        <w:rPr>
          <w:b/>
        </w:rPr>
        <w:t>Featured Sector: Defense &amp; Aerospace</w:t>
      </w:r>
    </w:p>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jc w:val="center"/>
            </w:pPr>
            <w:r>
              <w:rPr>
                <w:b/>
                <w:sz w:val="18"/>
              </w:rPr>
            </w:r>
          </w:p>
        </w:tc>
        <w:tc>
          <w:tcPr>
            <w:tcW w:type="dxa" w:w="2880"/>
          </w:tcPr>
          <w:p>
            <w:pPr>
              <w:jc w:val="center"/>
            </w:pPr>
            <w:r>
              <w:rPr>
                <w:b/>
                <w:sz w:val="18"/>
              </w:rPr>
              <w:t>Amount</w:t>
            </w:r>
          </w:p>
        </w:tc>
        <w:tc>
          <w:tcPr>
            <w:tcW w:type="dxa" w:w="2880"/>
          </w:tcPr>
          <w:p>
            <w:pPr>
              <w:jc w:val="center"/>
            </w:pPr>
            <w:r>
              <w:rPr>
                <w:b/>
                <w:sz w:val="18"/>
              </w:rPr>
              <w:t>Source</w:t>
            </w:r>
          </w:p>
        </w:tc>
      </w:tr>
      <w:tr>
        <w:tc>
          <w:tcPr>
            <w:tcW w:type="dxa" w:w="2880"/>
          </w:tcPr>
          <w:p>
            <w:r>
              <w:rPr>
                <w:sz w:val="18"/>
              </w:rPr>
              <w:t>Leg 1 -- Campaign Donations</w:t>
            </w:r>
          </w:p>
        </w:tc>
        <w:tc>
          <w:tcPr>
            <w:tcW w:type="dxa" w:w="2880"/>
          </w:tcPr>
          <w:p>
            <w:r>
              <w:rPr>
                <w:sz w:val="18"/>
              </w:rPr>
              <w:t>$3.1M</w:t>
            </w:r>
          </w:p>
        </w:tc>
        <w:tc>
          <w:tcPr>
            <w:tcW w:type="dxa" w:w="2880"/>
          </w:tcPr>
          <w:p>
            <w:r>
              <w:rPr>
                <w:sz w:val="18"/>
              </w:rPr>
              <w:t>FEC</w:t>
            </w:r>
          </w:p>
        </w:tc>
      </w:tr>
      <w:tr>
        <w:tc>
          <w:tcPr>
            <w:tcW w:type="dxa" w:w="2880"/>
          </w:tcPr>
          <w:p>
            <w:r>
              <w:rPr>
                <w:sz w:val="18"/>
              </w:rPr>
              <w:t>Leg 2 -- Lobbying Activity</w:t>
            </w:r>
          </w:p>
        </w:tc>
        <w:tc>
          <w:tcPr>
            <w:tcW w:type="dxa" w:w="2880"/>
          </w:tcPr>
          <w:p>
            <w:r>
              <w:rPr>
                <w:sz w:val="18"/>
              </w:rPr>
              <w:t>$71.1M</w:t>
            </w:r>
          </w:p>
        </w:tc>
        <w:tc>
          <w:tcPr>
            <w:tcW w:type="dxa" w:w="2880"/>
          </w:tcPr>
          <w:p>
            <w:r>
              <w:rPr>
                <w:sz w:val="18"/>
              </w:rPr>
              <w:t>LDA (Q4 2025)</w:t>
            </w:r>
          </w:p>
        </w:tc>
      </w:tr>
      <w:tr>
        <w:tc>
          <w:tcPr>
            <w:tcW w:type="dxa" w:w="2880"/>
          </w:tcPr>
          <w:p>
            <w:r>
              <w:rPr>
                <w:sz w:val="18"/>
              </w:rPr>
              <w:t>Leg 3 -- Related Bills</w:t>
            </w:r>
          </w:p>
        </w:tc>
        <w:tc>
          <w:tcPr>
            <w:tcW w:type="dxa" w:w="2880"/>
          </w:tcPr>
          <w:p>
            <w:r>
              <w:rPr>
                <w:sz w:val="18"/>
              </w:rPr>
              <w:t>4 bills</w:t>
            </w:r>
          </w:p>
        </w:tc>
        <w:tc>
          <w:tcPr>
            <w:tcW w:type="dxa" w:w="2880"/>
          </w:tcPr>
          <w:p>
            <w:r>
              <w:rPr>
                <w:sz w:val="18"/>
              </w:rPr>
              <w:t>Congress.gov</w:t>
            </w:r>
          </w:p>
        </w:tc>
      </w:tr>
      <w:tr>
        <w:tc>
          <w:tcPr>
            <w:tcW w:type="dxa" w:w="2880"/>
          </w:tcPr>
          <w:p>
            <w:r>
              <w:rPr>
                <w:sz w:val="18"/>
              </w:rPr>
              <w:t>Leg 4 -- Federal Awards</w:t>
            </w:r>
          </w:p>
        </w:tc>
        <w:tc>
          <w:tcPr>
            <w:tcW w:type="dxa" w:w="2880"/>
          </w:tcPr>
          <w:p>
            <w:r>
              <w:rPr>
                <w:sz w:val="18"/>
              </w:rPr>
              <w:t>$456.0M</w:t>
            </w:r>
          </w:p>
        </w:tc>
        <w:tc>
          <w:tcPr>
            <w:tcW w:type="dxa" w:w="2880"/>
          </w:tcPr>
          <w:p>
            <w:r>
              <w:rPr>
                <w:sz w:val="18"/>
              </w:rPr>
              <w:t>USASpending.gov</w:t>
            </w:r>
          </w:p>
        </w:tc>
      </w:tr>
      <w:tr>
        <w:tc>
          <w:tcPr>
            <w:tcW w:type="dxa" w:w="2880"/>
          </w:tcPr>
          <w:p>
            <w:r>
              <w:rPr>
                <w:sz w:val="18"/>
              </w:rPr>
              <w:t>Chain Score</w:t>
            </w:r>
          </w:p>
        </w:tc>
        <w:tc>
          <w:tcPr>
            <w:tcW w:type="dxa" w:w="2880"/>
          </w:tcPr>
          <w:p>
            <w:r>
              <w:rPr>
                <w:sz w:val="18"/>
              </w:rPr>
              <w:t>4 / 4</w:t>
            </w:r>
          </w:p>
        </w:tc>
        <w:tc>
          <w:tcPr>
            <w:tcW w:type="dxa" w:w="2880"/>
          </w:tcPr>
          <w:p>
            <w:r>
              <w:rPr>
                <w:sz w:val="18"/>
              </w:rPr>
            </w:r>
          </w:p>
        </w:tc>
      </w:tr>
    </w:tbl>
    <w:p/>
    <w:p>
      <w:r>
        <w:t>The Defense &amp; Aerospace sector recorded activity across all four tracked indicators in the current dataset, earning a chain score of 4/4. The sector is associated with $456.0M in federal contract awards, $71.1M in lobbying expenditures reported during Q4 2025, $3.1M in political donations, and activity across 4 tracked legislative bills. These figures represent the full set of data points available for this sector in the current reporting period.</w:t>
      </w:r>
    </w:p>
    <w:p>
      <w:r>
        <w:t>Among the top individual award recipients in this sector, AUSTAL USA, LLC received $175.3M from the Department of Homeland Security. The presence of all four data indicators within a single sector is noted as a pattern for transparency purposes and does not indicate any determination regarding the nature of these activities.</w:t>
      </w:r>
    </w:p>
    <w:p/>
    <w:p>
      <w:pPr>
        <w:pStyle w:val="Heading2"/>
      </w:pPr>
      <w:r>
        <w:rPr>
          <w:color w:val="1A1A1A"/>
        </w:rPr>
        <w:t>Federal Spending by Sector</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jc w:val="center"/>
            </w:pPr>
            <w:r>
              <w:rPr>
                <w:b/>
                <w:sz w:val="18"/>
              </w:rPr>
              <w:t>Sector</w:t>
            </w:r>
          </w:p>
        </w:tc>
        <w:tc>
          <w:tcPr>
            <w:tcW w:type="dxa" w:w="2880"/>
          </w:tcPr>
          <w:p>
            <w:pPr>
              <w:jc w:val="center"/>
            </w:pPr>
            <w:r>
              <w:rPr>
                <w:b/>
                <w:sz w:val="18"/>
              </w:rPr>
              <w:t>Total Awards</w:t>
            </w:r>
          </w:p>
        </w:tc>
        <w:tc>
          <w:tcPr>
            <w:tcW w:type="dxa" w:w="2880"/>
          </w:tcPr>
          <w:p>
            <w:pPr>
              <w:jc w:val="center"/>
            </w:pPr>
            <w:r>
              <w:rPr>
                <w:b/>
                <w:sz w:val="18"/>
              </w:rPr>
              <w:t>% of Weekly Total</w:t>
            </w:r>
          </w:p>
        </w:tc>
      </w:tr>
      <w:tr>
        <w:tc>
          <w:tcPr>
            <w:tcW w:type="dxa" w:w="2880"/>
          </w:tcPr>
          <w:p>
            <w:r>
              <w:rPr>
                <w:sz w:val="18"/>
              </w:rPr>
              <w:t>Other</w:t>
            </w:r>
          </w:p>
        </w:tc>
        <w:tc>
          <w:tcPr>
            <w:tcW w:type="dxa" w:w="2880"/>
          </w:tcPr>
          <w:p>
            <w:r>
              <w:rPr>
                <w:sz w:val="18"/>
              </w:rPr>
              <w:t>$1.5B</w:t>
            </w:r>
          </w:p>
        </w:tc>
        <w:tc>
          <w:tcPr>
            <w:tcW w:type="dxa" w:w="2880"/>
          </w:tcPr>
          <w:p>
            <w:r>
              <w:rPr>
                <w:sz w:val="18"/>
              </w:rPr>
              <w:t>34.8%</w:t>
            </w:r>
          </w:p>
        </w:tc>
      </w:tr>
      <w:tr>
        <w:tc>
          <w:tcPr>
            <w:tcW w:type="dxa" w:w="2880"/>
          </w:tcPr>
          <w:p>
            <w:r>
              <w:rPr>
                <w:sz w:val="18"/>
              </w:rPr>
              <w:t>Construction &amp; Real Estate</w:t>
            </w:r>
          </w:p>
        </w:tc>
        <w:tc>
          <w:tcPr>
            <w:tcW w:type="dxa" w:w="2880"/>
          </w:tcPr>
          <w:p>
            <w:r>
              <w:rPr>
                <w:sz w:val="18"/>
              </w:rPr>
              <w:t>$1.2B</w:t>
            </w:r>
          </w:p>
        </w:tc>
        <w:tc>
          <w:tcPr>
            <w:tcW w:type="dxa" w:w="2880"/>
          </w:tcPr>
          <w:p>
            <w:r>
              <w:rPr>
                <w:sz w:val="18"/>
              </w:rPr>
              <w:t>28.4%</w:t>
            </w:r>
          </w:p>
        </w:tc>
      </w:tr>
      <w:tr>
        <w:tc>
          <w:tcPr>
            <w:tcW w:type="dxa" w:w="2880"/>
          </w:tcPr>
          <w:p>
            <w:r>
              <w:rPr>
                <w:sz w:val="18"/>
              </w:rPr>
              <w:t>Energy &amp; Environment</w:t>
            </w:r>
          </w:p>
        </w:tc>
        <w:tc>
          <w:tcPr>
            <w:tcW w:type="dxa" w:w="2880"/>
          </w:tcPr>
          <w:p>
            <w:r>
              <w:rPr>
                <w:sz w:val="18"/>
              </w:rPr>
              <w:t>$610.8M</w:t>
            </w:r>
          </w:p>
        </w:tc>
        <w:tc>
          <w:tcPr>
            <w:tcW w:type="dxa" w:w="2880"/>
          </w:tcPr>
          <w:p>
            <w:r>
              <w:rPr>
                <w:sz w:val="18"/>
              </w:rPr>
              <w:t>14.2%</w:t>
            </w:r>
          </w:p>
        </w:tc>
      </w:tr>
      <w:tr>
        <w:tc>
          <w:tcPr>
            <w:tcW w:type="dxa" w:w="2880"/>
          </w:tcPr>
          <w:p>
            <w:r>
              <w:rPr>
                <w:sz w:val="18"/>
              </w:rPr>
              <w:t>Labor &amp; Government Services</w:t>
            </w:r>
          </w:p>
        </w:tc>
        <w:tc>
          <w:tcPr>
            <w:tcW w:type="dxa" w:w="2880"/>
          </w:tcPr>
          <w:p>
            <w:r>
              <w:rPr>
                <w:sz w:val="18"/>
              </w:rPr>
              <w:t>$217.2M</w:t>
            </w:r>
          </w:p>
        </w:tc>
        <w:tc>
          <w:tcPr>
            <w:tcW w:type="dxa" w:w="2880"/>
          </w:tcPr>
          <w:p>
            <w:r>
              <w:rPr>
                <w:sz w:val="18"/>
              </w:rPr>
              <w:t>5.1%</w:t>
            </w:r>
          </w:p>
        </w:tc>
      </w:tr>
      <w:tr>
        <w:tc>
          <w:tcPr>
            <w:tcW w:type="dxa" w:w="2880"/>
          </w:tcPr>
          <w:p>
            <w:r>
              <w:rPr>
                <w:sz w:val="18"/>
              </w:rPr>
              <w:t>Defense &amp; Aerospace</w:t>
            </w:r>
          </w:p>
        </w:tc>
        <w:tc>
          <w:tcPr>
            <w:tcW w:type="dxa" w:w="2880"/>
          </w:tcPr>
          <w:p>
            <w:r>
              <w:rPr>
                <w:sz w:val="18"/>
              </w:rPr>
              <w:t>$208.2M</w:t>
            </w:r>
          </w:p>
        </w:tc>
        <w:tc>
          <w:tcPr>
            <w:tcW w:type="dxa" w:w="2880"/>
          </w:tcPr>
          <w:p>
            <w:r>
              <w:rPr>
                <w:sz w:val="18"/>
              </w:rPr>
              <w:t>4.8%</w:t>
            </w:r>
          </w:p>
        </w:tc>
      </w:tr>
      <w:tr>
        <w:tc>
          <w:tcPr>
            <w:tcW w:type="dxa" w:w="2880"/>
          </w:tcPr>
          <w:p>
            <w:r>
              <w:rPr>
                <w:sz w:val="18"/>
              </w:rPr>
              <w:t>Technology &amp; Telecommunications</w:t>
            </w:r>
          </w:p>
        </w:tc>
        <w:tc>
          <w:tcPr>
            <w:tcW w:type="dxa" w:w="2880"/>
          </w:tcPr>
          <w:p>
            <w:r>
              <w:rPr>
                <w:sz w:val="18"/>
              </w:rPr>
              <w:t>$149.4M</w:t>
            </w:r>
          </w:p>
        </w:tc>
        <w:tc>
          <w:tcPr>
            <w:tcW w:type="dxa" w:w="2880"/>
          </w:tcPr>
          <w:p>
            <w:r>
              <w:rPr>
                <w:sz w:val="18"/>
              </w:rPr>
              <w:t>3.5%</w:t>
            </w:r>
          </w:p>
        </w:tc>
      </w:tr>
      <w:tr>
        <w:tc>
          <w:tcPr>
            <w:tcW w:type="dxa" w:w="2880"/>
          </w:tcPr>
          <w:p>
            <w:r>
              <w:rPr>
                <w:sz w:val="18"/>
              </w:rPr>
              <w:t>Transportation &amp; Automotive</w:t>
            </w:r>
          </w:p>
        </w:tc>
        <w:tc>
          <w:tcPr>
            <w:tcW w:type="dxa" w:w="2880"/>
          </w:tcPr>
          <w:p>
            <w:r>
              <w:rPr>
                <w:sz w:val="18"/>
              </w:rPr>
              <w:t>$135.1M</w:t>
            </w:r>
          </w:p>
        </w:tc>
        <w:tc>
          <w:tcPr>
            <w:tcW w:type="dxa" w:w="2880"/>
          </w:tcPr>
          <w:p>
            <w:r>
              <w:rPr>
                <w:sz w:val="18"/>
              </w:rPr>
              <w:t>3.1%</w:t>
            </w:r>
          </w:p>
        </w:tc>
      </w:tr>
      <w:tr>
        <w:tc>
          <w:tcPr>
            <w:tcW w:type="dxa" w:w="2880"/>
          </w:tcPr>
          <w:p>
            <w:r>
              <w:rPr>
                <w:sz w:val="18"/>
              </w:rPr>
              <w:t>Healthcare &amp; Pharmaceuticals</w:t>
            </w:r>
          </w:p>
        </w:tc>
        <w:tc>
          <w:tcPr>
            <w:tcW w:type="dxa" w:w="2880"/>
          </w:tcPr>
          <w:p>
            <w:r>
              <w:rPr>
                <w:sz w:val="18"/>
              </w:rPr>
              <w:t>$129.1M</w:t>
            </w:r>
          </w:p>
        </w:tc>
        <w:tc>
          <w:tcPr>
            <w:tcW w:type="dxa" w:w="2880"/>
          </w:tcPr>
          <w:p>
            <w:r>
              <w:rPr>
                <w:sz w:val="18"/>
              </w:rPr>
              <w:t>3.0%</w:t>
            </w:r>
          </w:p>
        </w:tc>
      </w:tr>
      <w:tr>
        <w:tc>
          <w:tcPr>
            <w:tcW w:type="dxa" w:w="2880"/>
          </w:tcPr>
          <w:p>
            <w:r>
              <w:rPr>
                <w:sz w:val="18"/>
              </w:rPr>
              <w:t>Education</w:t>
            </w:r>
          </w:p>
        </w:tc>
        <w:tc>
          <w:tcPr>
            <w:tcW w:type="dxa" w:w="2880"/>
          </w:tcPr>
          <w:p>
            <w:r>
              <w:rPr>
                <w:sz w:val="18"/>
              </w:rPr>
              <w:t>$54.9M</w:t>
            </w:r>
          </w:p>
        </w:tc>
        <w:tc>
          <w:tcPr>
            <w:tcW w:type="dxa" w:w="2880"/>
          </w:tcPr>
          <w:p>
            <w:r>
              <w:rPr>
                <w:sz w:val="18"/>
              </w:rPr>
              <w:t>1.3%</w:t>
            </w:r>
          </w:p>
        </w:tc>
      </w:tr>
      <w:tr>
        <w:tc>
          <w:tcPr>
            <w:tcW w:type="dxa" w:w="2880"/>
          </w:tcPr>
          <w:p>
            <w:r>
              <w:rPr>
                <w:sz w:val="18"/>
              </w:rPr>
              <w:t>Finance &amp; Insurance</w:t>
            </w:r>
          </w:p>
        </w:tc>
        <w:tc>
          <w:tcPr>
            <w:tcW w:type="dxa" w:w="2880"/>
          </w:tcPr>
          <w:p>
            <w:r>
              <w:rPr>
                <w:sz w:val="18"/>
              </w:rPr>
              <w:t>$53.4M</w:t>
            </w:r>
          </w:p>
        </w:tc>
        <w:tc>
          <w:tcPr>
            <w:tcW w:type="dxa" w:w="2880"/>
          </w:tcPr>
          <w:p>
            <w:r>
              <w:rPr>
                <w:sz w:val="18"/>
              </w:rPr>
              <w:t>1.2%</w:t>
            </w:r>
          </w:p>
        </w:tc>
      </w:tr>
    </w:tbl>
    <w:p/>
    <w:p>
      <w:r>
        <w:t>Chart 1 -- Federal Awards by Sector (see attached PNG)</w:t>
      </w:r>
    </w:p>
    <w:p/>
    <w:p>
      <w:pPr>
        <w:pStyle w:val="Heading2"/>
      </w:pPr>
      <w:r>
        <w:rPr>
          <w:color w:val="1A1A1A"/>
        </w:rPr>
        <w:t>Lobbying Activity Snapshot</w:t>
      </w:r>
    </w:p>
    <w:p>
      <w:r>
        <w:t>Total lobbying expenditures reported for Q4 2025 reached $179.5M across all tracked sectors and clients. The largest category by spend was classified as "Other" at $168.0M across 2,870 filings, followed by Healthcare &amp; Pharmaceuticals at $19.5M across 323 filings. Energy &amp; Environment, Technology &amp; Telecommunications, and Education reported $11.2M, $10.3M, and $9.7M respectively.</w:t>
      </w:r>
    </w:p>
    <w:p>
      <w:r>
        <w:t>Among individual lobbying clients, STATE OF LOC NATION GLOBAL PUBLIC BENEFIT CORPORATION reported the highest single-client spend at $20.0M. SECURITIES INDUSTRY AND FINANCIAL MARKETS ASSOCIATION followed at $3.2M, with ELI LILLY AND COMPANY at $2.2M, AMERICAN COUNCIL OF LIFE INSURERS at $1.9M, and BECTON DICKINSON AND COMPANY at $1.5M. No anomalous lobbying clients were flagged in the current dataset.</w:t>
      </w:r>
    </w:p>
    <w:p>
      <w:r>
        <w:t>Note: LDA data reflects Q4 2025 filings. Lobbying firms report quarterly; this represents the most recent available period.</w:t>
      </w:r>
    </w:p>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jc w:val="center"/>
            </w:pPr>
            <w:r>
              <w:rPr>
                <w:b/>
                <w:sz w:val="18"/>
              </w:rPr>
              <w:t>Sector</w:t>
            </w:r>
          </w:p>
        </w:tc>
        <w:tc>
          <w:tcPr>
            <w:tcW w:type="dxa" w:w="2880"/>
          </w:tcPr>
          <w:p>
            <w:pPr>
              <w:jc w:val="center"/>
            </w:pPr>
            <w:r>
              <w:rPr>
                <w:b/>
                <w:sz w:val="18"/>
              </w:rPr>
              <w:t>Lobbying Spend</w:t>
            </w:r>
          </w:p>
        </w:tc>
        <w:tc>
          <w:tcPr>
            <w:tcW w:type="dxa" w:w="2880"/>
          </w:tcPr>
          <w:p>
            <w:pPr>
              <w:jc w:val="center"/>
            </w:pPr>
            <w:r>
              <w:rPr>
                <w:b/>
                <w:sz w:val="18"/>
              </w:rPr>
              <w:t>Filings</w:t>
            </w:r>
          </w:p>
        </w:tc>
      </w:tr>
      <w:tr>
        <w:tc>
          <w:tcPr>
            <w:tcW w:type="dxa" w:w="2880"/>
          </w:tcPr>
          <w:p>
            <w:r>
              <w:rPr>
                <w:sz w:val="18"/>
              </w:rPr>
              <w:t>Other</w:t>
            </w:r>
          </w:p>
        </w:tc>
        <w:tc>
          <w:tcPr>
            <w:tcW w:type="dxa" w:w="2880"/>
          </w:tcPr>
          <w:p>
            <w:r>
              <w:rPr>
                <w:sz w:val="18"/>
              </w:rPr>
              <w:t>$168.0M</w:t>
            </w:r>
          </w:p>
        </w:tc>
        <w:tc>
          <w:tcPr>
            <w:tcW w:type="dxa" w:w="2880"/>
          </w:tcPr>
          <w:p>
            <w:r>
              <w:rPr>
                <w:sz w:val="18"/>
              </w:rPr>
              <w:t>2870</w:t>
            </w:r>
          </w:p>
        </w:tc>
      </w:tr>
      <w:tr>
        <w:tc>
          <w:tcPr>
            <w:tcW w:type="dxa" w:w="2880"/>
          </w:tcPr>
          <w:p>
            <w:r>
              <w:rPr>
                <w:sz w:val="18"/>
              </w:rPr>
              <w:t>Healthcare &amp; Pharmaceuticals</w:t>
            </w:r>
          </w:p>
        </w:tc>
        <w:tc>
          <w:tcPr>
            <w:tcW w:type="dxa" w:w="2880"/>
          </w:tcPr>
          <w:p>
            <w:r>
              <w:rPr>
                <w:sz w:val="18"/>
              </w:rPr>
              <w:t>$19.5M</w:t>
            </w:r>
          </w:p>
        </w:tc>
        <w:tc>
          <w:tcPr>
            <w:tcW w:type="dxa" w:w="2880"/>
          </w:tcPr>
          <w:p>
            <w:r>
              <w:rPr>
                <w:sz w:val="18"/>
              </w:rPr>
              <w:t>323</w:t>
            </w:r>
          </w:p>
        </w:tc>
      </w:tr>
      <w:tr>
        <w:tc>
          <w:tcPr>
            <w:tcW w:type="dxa" w:w="2880"/>
          </w:tcPr>
          <w:p>
            <w:r>
              <w:rPr>
                <w:sz w:val="18"/>
              </w:rPr>
              <w:t>Energy &amp; Environment</w:t>
            </w:r>
          </w:p>
        </w:tc>
        <w:tc>
          <w:tcPr>
            <w:tcW w:type="dxa" w:w="2880"/>
          </w:tcPr>
          <w:p>
            <w:r>
              <w:rPr>
                <w:sz w:val="18"/>
              </w:rPr>
              <w:t>$11.2M</w:t>
            </w:r>
          </w:p>
        </w:tc>
        <w:tc>
          <w:tcPr>
            <w:tcW w:type="dxa" w:w="2880"/>
          </w:tcPr>
          <w:p>
            <w:r>
              <w:rPr>
                <w:sz w:val="18"/>
              </w:rPr>
              <w:t>201</w:t>
            </w:r>
          </w:p>
        </w:tc>
      </w:tr>
      <w:tr>
        <w:tc>
          <w:tcPr>
            <w:tcW w:type="dxa" w:w="2880"/>
          </w:tcPr>
          <w:p>
            <w:r>
              <w:rPr>
                <w:sz w:val="18"/>
              </w:rPr>
              <w:t>Technology &amp; Telecommunications</w:t>
            </w:r>
          </w:p>
        </w:tc>
        <w:tc>
          <w:tcPr>
            <w:tcW w:type="dxa" w:w="2880"/>
          </w:tcPr>
          <w:p>
            <w:r>
              <w:rPr>
                <w:sz w:val="18"/>
              </w:rPr>
              <w:t>$10.3M</w:t>
            </w:r>
          </w:p>
        </w:tc>
        <w:tc>
          <w:tcPr>
            <w:tcW w:type="dxa" w:w="2880"/>
          </w:tcPr>
          <w:p>
            <w:r>
              <w:rPr>
                <w:sz w:val="18"/>
              </w:rPr>
              <w:t>193</w:t>
            </w:r>
          </w:p>
        </w:tc>
      </w:tr>
      <w:tr>
        <w:tc>
          <w:tcPr>
            <w:tcW w:type="dxa" w:w="2880"/>
          </w:tcPr>
          <w:p>
            <w:r>
              <w:rPr>
                <w:sz w:val="18"/>
              </w:rPr>
              <w:t>Education</w:t>
            </w:r>
          </w:p>
        </w:tc>
        <w:tc>
          <w:tcPr>
            <w:tcW w:type="dxa" w:w="2880"/>
          </w:tcPr>
          <w:p>
            <w:r>
              <w:rPr>
                <w:sz w:val="18"/>
              </w:rPr>
              <w:t>$9.7M</w:t>
            </w:r>
          </w:p>
        </w:tc>
        <w:tc>
          <w:tcPr>
            <w:tcW w:type="dxa" w:w="2880"/>
          </w:tcPr>
          <w:p>
            <w:r>
              <w:rPr>
                <w:sz w:val="18"/>
              </w:rPr>
              <w:t>248</w:t>
            </w:r>
          </w:p>
        </w:tc>
      </w:tr>
    </w:tbl>
    <w:p/>
    <w:p>
      <w:r>
        <w:t>Chart 2 -- Lobbying by Sector (see attached PNG)</w:t>
      </w:r>
    </w:p>
    <w:p/>
    <w:p>
      <w:pPr>
        <w:pStyle w:val="Heading2"/>
      </w:pPr>
      <w:r>
        <w:rPr>
          <w:color w:val="1A1A1A"/>
        </w:rPr>
        <w:t>Congressional Activity</w:t>
      </w:r>
    </w:p>
    <w:p>
      <w:r>
        <w:t>A total of 30 bills were introduced during the current reporting period. Of these, 28 fell under the broad category of "Other," while one was assigned to Transportation and Public Works and one to Armed Forces and National Security.</w:t>
      </w:r>
    </w:p>
    <w:p>
      <w:r>
        <w:t>Among the highlighted bills, S4158, introduced by Sen. Cotton, Tom [R-AR] on March 20, 2026, is titled "A bill to temporarily suspend the clean electricity production credit to support the Strategic Petroleum Reserve." HR7941, introduced by Rep. Langworthy, Nicholas A. [R-NY-23] on March 16, 2026, concerns the use of passenger security fees for aviation security purposes. S4124, introduced by Sen.</w:t>
      </w:r>
    </w:p>
    <w:p>
      <w:r>
        <w:t>Schumer, Charles E. [D-NY] on March 17, 2026, addresses restrictions on the use of Department of Justice funds for certain personal payments.</w:t>
      </w:r>
    </w:p>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sz w:val="18"/>
              </w:rPr>
              <w:t>Bill #</w:t>
            </w:r>
          </w:p>
        </w:tc>
        <w:tc>
          <w:tcPr>
            <w:tcW w:type="dxa" w:w="2160"/>
          </w:tcPr>
          <w:p>
            <w:pPr>
              <w:jc w:val="center"/>
            </w:pPr>
            <w:r>
              <w:rPr>
                <w:b/>
                <w:sz w:val="18"/>
              </w:rPr>
              <w:t>Description</w:t>
            </w:r>
          </w:p>
        </w:tc>
        <w:tc>
          <w:tcPr>
            <w:tcW w:type="dxa" w:w="2160"/>
          </w:tcPr>
          <w:p>
            <w:pPr>
              <w:jc w:val="center"/>
            </w:pPr>
            <w:r>
              <w:rPr>
                <w:b/>
                <w:sz w:val="18"/>
              </w:rPr>
              <w:t>Sponsor</w:t>
            </w:r>
          </w:p>
        </w:tc>
        <w:tc>
          <w:tcPr>
            <w:tcW w:type="dxa" w:w="2160"/>
          </w:tcPr>
          <w:p>
            <w:pPr>
              <w:jc w:val="center"/>
            </w:pPr>
            <w:r>
              <w:rPr>
                <w:b/>
                <w:sz w:val="18"/>
              </w:rPr>
              <w:t>State</w:t>
            </w:r>
          </w:p>
        </w:tc>
      </w:tr>
      <w:tr>
        <w:tc>
          <w:tcPr>
            <w:tcW w:type="dxa" w:w="2160"/>
          </w:tcPr>
          <w:p>
            <w:r>
              <w:rPr>
                <w:sz w:val="18"/>
              </w:rPr>
              <w:t>S4158</w:t>
            </w:r>
          </w:p>
        </w:tc>
        <w:tc>
          <w:tcPr>
            <w:tcW w:type="dxa" w:w="2160"/>
          </w:tcPr>
          <w:p>
            <w:r>
              <w:rPr>
                <w:sz w:val="18"/>
              </w:rPr>
              <w:t>A bill to temporarily suspend the clean electricity production credit to support the Strategic Petroleum Reserve.</w:t>
            </w:r>
          </w:p>
        </w:tc>
        <w:tc>
          <w:tcPr>
            <w:tcW w:type="dxa" w:w="2160"/>
          </w:tcPr>
          <w:p>
            <w:r>
              <w:rPr>
                <w:sz w:val="18"/>
              </w:rPr>
              <w:t>Sen. Cotton, Tom [R-AR]</w:t>
            </w:r>
          </w:p>
        </w:tc>
        <w:tc>
          <w:tcPr>
            <w:tcW w:type="dxa" w:w="2160"/>
          </w:tcPr>
          <w:p>
            <w:r>
              <w:rPr>
                <w:sz w:val="18"/>
              </w:rPr>
              <w:t>AR</w:t>
            </w:r>
          </w:p>
        </w:tc>
      </w:tr>
      <w:tr>
        <w:tc>
          <w:tcPr>
            <w:tcW w:type="dxa" w:w="2160"/>
          </w:tcPr>
          <w:p>
            <w:r>
              <w:rPr>
                <w:sz w:val="18"/>
              </w:rPr>
              <w:t>HR7941</w:t>
            </w:r>
          </w:p>
        </w:tc>
        <w:tc>
          <w:tcPr>
            <w:tcW w:type="dxa" w:w="2160"/>
          </w:tcPr>
          <w:p>
            <w:r>
              <w:rPr>
                <w:sz w:val="18"/>
              </w:rPr>
              <w:t>To ensure the passenger security fee paid by airline passengers is used exclusively for aviation security, establish a T</w:t>
            </w:r>
          </w:p>
        </w:tc>
        <w:tc>
          <w:tcPr>
            <w:tcW w:type="dxa" w:w="2160"/>
          </w:tcPr>
          <w:p>
            <w:r>
              <w:rPr>
                <w:sz w:val="18"/>
              </w:rPr>
              <w:t>Rep. Langworthy, Nicholas A. [R-NY-23]</w:t>
            </w:r>
          </w:p>
        </w:tc>
        <w:tc>
          <w:tcPr>
            <w:tcW w:type="dxa" w:w="2160"/>
          </w:tcPr>
          <w:p>
            <w:r>
              <w:rPr>
                <w:sz w:val="18"/>
              </w:rPr>
              <w:t>NY</w:t>
            </w:r>
          </w:p>
        </w:tc>
      </w:tr>
      <w:tr>
        <w:tc>
          <w:tcPr>
            <w:tcW w:type="dxa" w:w="2160"/>
          </w:tcPr>
          <w:p>
            <w:r>
              <w:rPr>
                <w:sz w:val="18"/>
              </w:rPr>
              <w:t>S4124</w:t>
            </w:r>
          </w:p>
        </w:tc>
        <w:tc>
          <w:tcPr>
            <w:tcW w:type="dxa" w:w="2160"/>
          </w:tcPr>
          <w:p>
            <w:r>
              <w:rPr>
                <w:sz w:val="18"/>
              </w:rPr>
              <w:t>A bill to prohibit funds made available to the Department of Justice from being used to make a personal payment to the P</w:t>
            </w:r>
          </w:p>
        </w:tc>
        <w:tc>
          <w:tcPr>
            <w:tcW w:type="dxa" w:w="2160"/>
          </w:tcPr>
          <w:p>
            <w:r>
              <w:rPr>
                <w:sz w:val="18"/>
              </w:rPr>
              <w:t>Sen. Schumer, Charles E. [D-NY]</w:t>
            </w:r>
          </w:p>
        </w:tc>
        <w:tc>
          <w:tcPr>
            <w:tcW w:type="dxa" w:w="2160"/>
          </w:tcPr>
          <w:p>
            <w:r>
              <w:rPr>
                <w:sz w:val="18"/>
              </w:rPr>
              <w:t>NY</w:t>
            </w:r>
          </w:p>
        </w:tc>
      </w:tr>
    </w:tbl>
    <w:p/>
    <w:p/>
    <w:p>
      <w:pPr>
        <w:pStyle w:val="Heading2"/>
      </w:pPr>
      <w:r>
        <w:rPr>
          <w:color w:val="1A1A1A"/>
        </w:rPr>
        <w:t>Donor–Recipient Overlap</w:t>
      </w:r>
    </w:p>
    <w:p>
      <w:r>
        <w:t>Eight organizations appear in both the federal contract awards dataset and campaign finance contribution records for the current reporting period. AUSTAL USA appears with $88 in donations and $175.3M in contract awards, while CALIFORNIA INSTITUTE OF TECHNOLOGY appears with $107K in donations and $163.0M in contract awards. LEIDOS INC. appears with $191K in donations and $59.9M in contract awards, representing the largest donation figure among the overlapping organizations.</w:t>
      </w:r>
    </w:p>
    <w:p>
      <w:r>
        <w:t>Additional organizations appearing in both datasets include CGI FEDERAL with $9K in donations and $74.2M in contracts, GUIDEHOUSE with $14K and $51.3M, THE MEDICAL PLACE with $78K and $37.1M, IDAHO ENVIRONMENTAL COALITION with $8K and $42.0M, and VERTEX AEROSPACE with $700 and $68.3M. These overlaps are presented as patterns within the available data and reflect no determination of causation or intent.</w:t>
      </w:r>
    </w:p>
    <w:p/>
    <w:p>
      <w:r>
        <w:rPr>
          <w:i/>
          <w:sz w:val="18"/>
        </w:rPr>
        <w:t>Federal campaign contributions listed here include PAC donations and employee-associated contributions reported to the Federal Election Commission.</w:t>
      </w:r>
    </w:p>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jc w:val="center"/>
            </w:pPr>
            <w:r>
              <w:rPr>
                <w:b/>
                <w:sz w:val="18"/>
              </w:rPr>
              <w:t>Organization</w:t>
            </w:r>
          </w:p>
        </w:tc>
        <w:tc>
          <w:tcPr>
            <w:tcW w:type="dxa" w:w="2880"/>
          </w:tcPr>
          <w:p>
            <w:pPr>
              <w:jc w:val="center"/>
            </w:pPr>
            <w:r>
              <w:rPr>
                <w:b/>
                <w:sz w:val="18"/>
              </w:rPr>
              <w:t>Donated (FEC)</w:t>
            </w:r>
          </w:p>
        </w:tc>
        <w:tc>
          <w:tcPr>
            <w:tcW w:type="dxa" w:w="2880"/>
          </w:tcPr>
          <w:p>
            <w:pPr>
              <w:jc w:val="center"/>
            </w:pPr>
            <w:r>
              <w:rPr>
                <w:b/>
                <w:sz w:val="18"/>
              </w:rPr>
              <w:t>Received (USASpending)</w:t>
            </w:r>
          </w:p>
        </w:tc>
      </w:tr>
      <w:tr>
        <w:tc>
          <w:tcPr>
            <w:tcW w:type="dxa" w:w="2880"/>
          </w:tcPr>
          <w:p>
            <w:r>
              <w:rPr>
                <w:sz w:val="18"/>
              </w:rPr>
              <w:t>AUSTAL USA</w:t>
            </w:r>
          </w:p>
        </w:tc>
        <w:tc>
          <w:tcPr>
            <w:tcW w:type="dxa" w:w="2880"/>
          </w:tcPr>
          <w:p>
            <w:r>
              <w:rPr>
                <w:sz w:val="18"/>
              </w:rPr>
              <w:t>$88</w:t>
            </w:r>
          </w:p>
        </w:tc>
        <w:tc>
          <w:tcPr>
            <w:tcW w:type="dxa" w:w="2880"/>
          </w:tcPr>
          <w:p>
            <w:r>
              <w:rPr>
                <w:sz w:val="18"/>
              </w:rPr>
              <w:t>$175.3M</w:t>
            </w:r>
          </w:p>
        </w:tc>
      </w:tr>
      <w:tr>
        <w:tc>
          <w:tcPr>
            <w:tcW w:type="dxa" w:w="2880"/>
          </w:tcPr>
          <w:p>
            <w:r>
              <w:rPr>
                <w:sz w:val="18"/>
              </w:rPr>
              <w:t>CALIFORNIA INSTITUTE OF TECHNOLOGY</w:t>
            </w:r>
          </w:p>
        </w:tc>
        <w:tc>
          <w:tcPr>
            <w:tcW w:type="dxa" w:w="2880"/>
          </w:tcPr>
          <w:p>
            <w:r>
              <w:rPr>
                <w:sz w:val="18"/>
              </w:rPr>
              <w:t>$107K</w:t>
            </w:r>
          </w:p>
        </w:tc>
        <w:tc>
          <w:tcPr>
            <w:tcW w:type="dxa" w:w="2880"/>
          </w:tcPr>
          <w:p>
            <w:r>
              <w:rPr>
                <w:sz w:val="18"/>
              </w:rPr>
              <w:t>$163.0M</w:t>
            </w:r>
          </w:p>
        </w:tc>
      </w:tr>
      <w:tr>
        <w:tc>
          <w:tcPr>
            <w:tcW w:type="dxa" w:w="2880"/>
          </w:tcPr>
          <w:p>
            <w:r>
              <w:rPr>
                <w:sz w:val="18"/>
              </w:rPr>
              <w:t>CGI FEDERAL</w:t>
            </w:r>
          </w:p>
        </w:tc>
        <w:tc>
          <w:tcPr>
            <w:tcW w:type="dxa" w:w="2880"/>
          </w:tcPr>
          <w:p>
            <w:r>
              <w:rPr>
                <w:sz w:val="18"/>
              </w:rPr>
              <w:t>$9K</w:t>
            </w:r>
          </w:p>
        </w:tc>
        <w:tc>
          <w:tcPr>
            <w:tcW w:type="dxa" w:w="2880"/>
          </w:tcPr>
          <w:p>
            <w:r>
              <w:rPr>
                <w:sz w:val="18"/>
              </w:rPr>
              <w:t>$74.2M</w:t>
            </w:r>
          </w:p>
        </w:tc>
      </w:tr>
      <w:tr>
        <w:tc>
          <w:tcPr>
            <w:tcW w:type="dxa" w:w="2880"/>
          </w:tcPr>
          <w:p>
            <w:r>
              <w:rPr>
                <w:sz w:val="18"/>
              </w:rPr>
              <w:t>VERTEX AEROSPACE</w:t>
            </w:r>
          </w:p>
        </w:tc>
        <w:tc>
          <w:tcPr>
            <w:tcW w:type="dxa" w:w="2880"/>
          </w:tcPr>
          <w:p>
            <w:r>
              <w:rPr>
                <w:sz w:val="18"/>
              </w:rPr>
              <w:t>$700</w:t>
            </w:r>
          </w:p>
        </w:tc>
        <w:tc>
          <w:tcPr>
            <w:tcW w:type="dxa" w:w="2880"/>
          </w:tcPr>
          <w:p>
            <w:r>
              <w:rPr>
                <w:sz w:val="18"/>
              </w:rPr>
              <w:t>$68.3M</w:t>
            </w:r>
          </w:p>
        </w:tc>
      </w:tr>
      <w:tr>
        <w:tc>
          <w:tcPr>
            <w:tcW w:type="dxa" w:w="2880"/>
          </w:tcPr>
          <w:p>
            <w:r>
              <w:rPr>
                <w:sz w:val="18"/>
              </w:rPr>
              <w:t>LEIDOS INC.</w:t>
            </w:r>
          </w:p>
        </w:tc>
        <w:tc>
          <w:tcPr>
            <w:tcW w:type="dxa" w:w="2880"/>
          </w:tcPr>
          <w:p>
            <w:r>
              <w:rPr>
                <w:sz w:val="18"/>
              </w:rPr>
              <w:t>$191K</w:t>
            </w:r>
          </w:p>
        </w:tc>
        <w:tc>
          <w:tcPr>
            <w:tcW w:type="dxa" w:w="2880"/>
          </w:tcPr>
          <w:p>
            <w:r>
              <w:rPr>
                <w:sz w:val="18"/>
              </w:rPr>
              <w:t>$59.9M</w:t>
            </w:r>
          </w:p>
        </w:tc>
      </w:tr>
      <w:tr>
        <w:tc>
          <w:tcPr>
            <w:tcW w:type="dxa" w:w="2880"/>
          </w:tcPr>
          <w:p>
            <w:r>
              <w:rPr>
                <w:sz w:val="18"/>
              </w:rPr>
              <w:t>GUIDEHOUSE</w:t>
            </w:r>
          </w:p>
        </w:tc>
        <w:tc>
          <w:tcPr>
            <w:tcW w:type="dxa" w:w="2880"/>
          </w:tcPr>
          <w:p>
            <w:r>
              <w:rPr>
                <w:sz w:val="18"/>
              </w:rPr>
              <w:t>$14K</w:t>
            </w:r>
          </w:p>
        </w:tc>
        <w:tc>
          <w:tcPr>
            <w:tcW w:type="dxa" w:w="2880"/>
          </w:tcPr>
          <w:p>
            <w:r>
              <w:rPr>
                <w:sz w:val="18"/>
              </w:rPr>
              <w:t>$51.3M</w:t>
            </w:r>
          </w:p>
        </w:tc>
      </w:tr>
      <w:tr>
        <w:tc>
          <w:tcPr>
            <w:tcW w:type="dxa" w:w="2880"/>
          </w:tcPr>
          <w:p>
            <w:r>
              <w:rPr>
                <w:sz w:val="18"/>
              </w:rPr>
              <w:t>IDAHO ENVIRONMENTAL COALITION</w:t>
            </w:r>
          </w:p>
        </w:tc>
        <w:tc>
          <w:tcPr>
            <w:tcW w:type="dxa" w:w="2880"/>
          </w:tcPr>
          <w:p>
            <w:r>
              <w:rPr>
                <w:sz w:val="18"/>
              </w:rPr>
              <w:t>$8K</w:t>
            </w:r>
          </w:p>
        </w:tc>
        <w:tc>
          <w:tcPr>
            <w:tcW w:type="dxa" w:w="2880"/>
          </w:tcPr>
          <w:p>
            <w:r>
              <w:rPr>
                <w:sz w:val="18"/>
              </w:rPr>
              <w:t>$42.0M</w:t>
            </w:r>
          </w:p>
        </w:tc>
      </w:tr>
      <w:tr>
        <w:tc>
          <w:tcPr>
            <w:tcW w:type="dxa" w:w="2880"/>
          </w:tcPr>
          <w:p>
            <w:r>
              <w:rPr>
                <w:sz w:val="18"/>
              </w:rPr>
              <w:t>THE MEDICAL PLACE</w:t>
            </w:r>
          </w:p>
        </w:tc>
        <w:tc>
          <w:tcPr>
            <w:tcW w:type="dxa" w:w="2880"/>
          </w:tcPr>
          <w:p>
            <w:r>
              <w:rPr>
                <w:sz w:val="18"/>
              </w:rPr>
              <w:t>$78K</w:t>
            </w:r>
          </w:p>
        </w:tc>
        <w:tc>
          <w:tcPr>
            <w:tcW w:type="dxa" w:w="2880"/>
          </w:tcPr>
          <w:p>
            <w:r>
              <w:rPr>
                <w:sz w:val="18"/>
              </w:rPr>
              <w:t>$37.1M</w:t>
            </w:r>
          </w:p>
        </w:tc>
      </w:tr>
    </w:tbl>
    <w:p/>
    <w:p/>
    <w:p>
      <w:pPr>
        <w:pStyle w:val="Heading2"/>
      </w:pPr>
      <w:r>
        <w:rPr>
          <w:color w:val="1A1A1A"/>
        </w:rPr>
        <w:t>Oversight &amp; Accountability</w:t>
      </w:r>
    </w:p>
    <w:p>
      <w:r>
        <w:rPr>
          <w:b/>
        </w:rPr>
        <w:t>Inspector General offices released 20 reports this week across 5 federal agencies.</w:t>
      </w:r>
    </w:p>
    <w:p>
      <w:r>
        <w:t>Twenty Inspector General reports dated March 12, 2026 appear in the current dataset, spanning multiple federal agencies. Several reports address transportation-related audits, including quality control reviews of management letters and independent auditor reports covering the Surface Transportation Board, National Transportation Safety Board, Federal Aviation Administration, Great Lakes St. Lawrence Seaway Development Corporation, and the Department of Transportation broadly.</w:t>
      </w:r>
    </w:p>
    <w:p>
      <w:r>
        <w:t>Additional oversight reports cover NASA's management of Human Landing System contracts, HUD's oversight of public housing agency work transfers, the FAA's oversight of United Airlines maintenance practices, improper payments identified in Honolulu's ESG CARES Act program, noncompliant contracting practices within a government lending program, a performance audit of incurred costs at Cornell University, a safety and soundness review of Santa Anna National Bank, EPA grants workforce planning, and the Farm Credit Administration's emergency operations center.</w:t>
      </w:r>
    </w:p>
    <w:p>
      <w:pPr>
        <w:pStyle w:val="ListBullet"/>
      </w:pPr>
      <w:r>
        <w:t>[Inspector General] Summary Report Significant Single Audit Findings Impacting Dot Programs 3 Month 23</w:t>
      </w:r>
      <w:r>
        <w:t xml:space="preserve"> -- https://www.oversight.gov/reports/audit/summary-report-significant-single-audit-findings-impacting-dot-programs-3-month-23</w:t>
      </w:r>
    </w:p>
    <w:p>
      <w:pPr>
        <w:pStyle w:val="ListBullet"/>
      </w:pPr>
      <w:r>
        <w:t>[Inspector General] Safety And Soundness Failed Bank Limited Review Santa Anna National Bank</w:t>
      </w:r>
      <w:r>
        <w:t xml:space="preserve"> -- https://www.oversight.gov/reports/audit/safety-and-soundness-failed-bank-limited-review-santa-anna-national-bank</w:t>
      </w:r>
    </w:p>
    <w:p>
      <w:pPr>
        <w:pStyle w:val="ListBullet"/>
      </w:pPr>
      <w:r>
        <w:t>[Inspector General] Quality Control Review Management Letter Surface Transportation Boards Audited 9</w:t>
      </w:r>
      <w:r>
        <w:t xml:space="preserve"> -- https://www.oversight.gov/reports/audit/quality-control-review-management-letter-surface-transportation-boards-audited-9</w:t>
      </w:r>
    </w:p>
    <w:p>
      <w:pPr>
        <w:pStyle w:val="ListBullet"/>
      </w:pPr>
      <w:r>
        <w:t>[Inspector General] Quality Control Review Management Letter National Transportation Safety Boards 2</w:t>
      </w:r>
      <w:r>
        <w:t xml:space="preserve"> -- https://www.oversight.gov/reports/audit/quality-control-review-management-letter-national-transportation-safety-boards-2</w:t>
      </w:r>
    </w:p>
    <w:p>
      <w:pPr>
        <w:pStyle w:val="ListBullet"/>
      </w:pPr>
      <w:r>
        <w:t>[Inspector General] Quality Control Review Management Letter Great Lakes St Lawrence Seaway Development 0</w:t>
      </w:r>
      <w:r>
        <w:t xml:space="preserve"> -- https://www.oversight.gov/reports/audit/quality-control-review-management-letter-great-lakes-st-lawrence-seaway-development-0</w:t>
      </w:r>
    </w:p>
    <w:p/>
    <w:p>
      <w:pPr>
        <w:pStyle w:val="Heading2"/>
      </w:pPr>
      <w:r>
        <w:rPr>
          <w:color w:val="1A1A1A"/>
        </w:rPr>
        <w:t>Closing Summary</w:t>
      </w:r>
    </w:p>
    <w:p>
      <w:r>
        <w:t>The week of March 16, 2026 saw $4.3B in federal awards distributed across a broad range of agencies and sectors, with the Department of Homeland Security and the Construction &amp; Real Estate sector leading in total volume. Lobbying disclosures for Q4 2025 totaled $179.5M, and eight organizations appeared in both contract and campaign finance records. Thirty bills were introduced in Congress during the period, and 20 Inspector General reports were logged across agencies including NASA, HUD, EPA, and the Department of Transportation. All figures and organizations cited in this report are drawn exclusively from the structured data provided for this reporting period.</w:t>
      </w:r>
    </w:p>
    <w:p/>
    <w:p/>
    <w:p>
      <w:pPr/>
      <w:r>
        <w:rPr>
          <w:b/>
          <w:sz w:val="16"/>
        </w:rPr>
        <w:t xml:space="preserve">Methodology: </w:t>
      </w:r>
      <w:r>
        <w:rPr>
          <w:color w:val="666666"/>
          <w:sz w:val="16"/>
        </w:rPr>
        <w:t>Federal spending data sourced from USASpending.gov (action_date filter, no state restriction). Lobbying data from Senate Lobbying Disclosure Act (Q4 2025 filings). Congressional data from Congress.gov. Donor–recipient overlap computed via normalized name matching of FEC donor records against weekly award recipients. Generated: 2026-03-22 22:25 UTC. Report covers: 2026-03-16 to 2026-03-22. publicmoneytracker.com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