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IN THE 24X7 ON COURT, KOLLAM</w:t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600" w:before="800"/>
              <w:jc w:val="left"/>
            </w:pPr>
            <w:r>
              <w:rPr>
                <w:sz w:val="24"/>
                <w:szCs w:val="24"/>
              </w:rPr>
              <w:t xml:space="preserve">ST&amp;#x2F;123&amp;#x2F;2026/Case No. 12 of 2026</w:t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260" w:before="2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pPr>
              <w:spacing w:after="600" w:before="800"/>
              <w:jc w:val="left"/>
            </w:pPr>
            <w:r>
              <w:rPr>
                <w:sz w:val="24"/>
                <w:szCs w:val="24"/>
              </w:rPr>
              <w:t xml:space="preserve">Sample Complainant vs. Sample Accused: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2026-06-15T12:30:44.453Z</dcterms:created>
  <dcterms:modified xsi:type="dcterms:W3CDTF">2026-06-15T12:30:44.454Z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