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color w:val="252525"/>
          <w:sz w:val="28"/>
          <w:szCs w:val="28"/>
        </w:rPr>
        <w:t xml:space="preserve">Notice to Accused</w:t>
      </w:r>
    </w:p>
    <w:p>
      <w:pPr>
        <w:spacing w:after="400" w:before="40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8"/>
          <w:szCs w:val="28"/>
        </w:rPr>
        <w:t xml:space="preserve">(Under Sections 223, Bharatiya Nagarik Suraksha Sanhita, 2023)</w:t>
      </w:r>
    </w:p>
    <w:p>
      <w:pPr>
        <w:spacing w:after="0" w:before="10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4"/>
          <w:szCs w:val="24"/>
        </w:rPr>
        <w:t xml:space="preserve">In The &lt;courtName&gt;</w:t>
      </w:r>
    </w:p>
    <w:p>
      <w:pPr>
        <w:spacing w:after="0" w:before="10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4"/>
          <w:szCs w:val="24"/>
        </w:rPr>
        <w:t xml:space="preserve">CMP No. &lt;cmpNumber&gt;</w:t>
      </w:r>
    </w:p>
    <w:p>
      <w:pPr>
        <w:spacing w:after="0" w:before="10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4"/>
          <w:szCs w:val="24"/>
        </w:rPr>
        <w:t xml:space="preserve">Filing No. &lt;filingNumber&gt;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20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Between: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2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52525"/>
                <w:sz w:val="26"/>
                <w:szCs w:val="26"/>
              </w:rPr>
              <w:t xml:space="preserve">Petitioner: &lt;complainantName&gt;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2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52525"/>
                <w:sz w:val="26"/>
                <w:szCs w:val="26"/>
              </w:rPr>
              <w:t xml:space="preserve">and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20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52525"/>
                <w:sz w:val="26"/>
                <w:szCs w:val="26"/>
              </w:rPr>
              <w:t xml:space="preserve">Accused: &lt;respondentName&gt;</w:t>
            </w:r>
          </w:p>
        </w:tc>
      </w:tr>
    </w:tbl>
    <w:p>
      <w:pPr>
        <w:spacing w:after="0" w:before="3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To,</w:t>
      </w:r>
    </w:p>
    <w:p>
      <w:pPr>
        <w:spacing w:after="0" w:before="3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&lt;respondentName&gt;</w:t>
      </w:r>
    </w:p>
    <w:p>
      <w:pPr>
        <w:spacing w:after="0" w:before="3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R/o &lt;respondentAddress&gt;.</w:t>
      </w:r>
    </w:p>
    <w:p>
      <w:pPr>
        <w:spacing w:after="0" w:before="4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6"/>
          <w:szCs w:val="26"/>
        </w:rPr>
        <w:t xml:space="preserve">Please take notice that a complaint has been presented against you before this court by &lt;complainantName&gt; &lt;complainantAddress&gt;, alleging offence punishable under Section (s) 138 of the Negotiable Instruments Act, 1881.</w:t>
      </w:r>
    </w:p>
    <w:p>
      <w:pPr>
        <w:spacing w:after="0" w:before="4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6"/>
          <w:szCs w:val="26"/>
        </w:rPr>
        <w:t xml:space="preserve">And that this court shall hear on the question of taking cognisance of the said offence on the </w:t>
      </w:r>
      <w:r>
        <w:rPr>
          <w:rFonts w:ascii="Roboto" w:cs="Roboto" w:eastAsia="Roboto" w:hAnsi="Roboto"/>
          <w:b/>
          <w:bCs/>
          <w:i w:val="false"/>
          <w:iCs w:val="false"/>
          <w:color w:val="252525"/>
          <w:sz w:val="26"/>
          <w:szCs w:val="26"/>
        </w:rPr>
        <w:t xml:space="preserve">&lt;hearingDate&gt;.</w:t>
      </w: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6"/>
          <w:szCs w:val="26"/>
        </w:rPr>
        <w:t xml:space="preserve"> You are at liberty to show cause why this court should not take cognizance of the said complaint. </w:t>
      </w:r>
    </w:p>
    <w:p>
      <w:pPr>
        <w:spacing w:after="0" w:before="2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6"/>
          <w:szCs w:val="26"/>
        </w:rPr>
        <w:t xml:space="preserve">Given under my hand and the seal of the Court, on this &lt;issueDate&gt;.</w:t>
      </w:r>
    </w:p>
    <w:p>
      <w:pPr>
        <w:spacing w:after="0" w:before="4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8"/>
          <w:szCs w:val="28"/>
        </w:rPr>
        <w:t xml:space="preserve">(Seal of Court)</w:t>
      </w:r>
    </w:p>
    <w:p>
      <w:pPr>
        <w:spacing w:after="0" w:before="4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8"/>
          <w:szCs w:val="28"/>
        </w:rPr>
        <w:t xml:space="preserve">Signature</w:t>
      </w:r>
    </w:p>
    <w:p>
      <w:pPr>
        <w:spacing w:after="0" w:before="4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8"/>
          <w:szCs w:val="28"/>
        </w:rPr>
        <w:t xml:space="preserve">Address: &lt;courtAddress&gt;</w:t>
      </w:r>
    </w:p>
    <w:p>
      <w:pPr>
        <w:spacing w:after="0" w:before="1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8"/>
          <w:szCs w:val="28"/>
        </w:rPr>
        <w:t xml:space="preserve">Visit </w:t>
      </w:r>
      <w:r>
        <w:rPr>
          <w:rFonts w:ascii="Roboto" w:cs="Roboto" w:eastAsia="Roboto" w:hAnsi="Roboto"/>
          <w:b w:val="false"/>
          <w:bCs w:val="false"/>
          <w:i w:val="false"/>
          <w:iCs w:val="false"/>
          <w:color w:val="a62121"/>
          <w:sz w:val="28"/>
          <w:szCs w:val="28"/>
          <w:u w:val="single"/>
        </w:rPr>
        <w:t xml:space="preserve">&lt;courtUrl&gt;</w:t>
      </w: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8"/>
          <w:szCs w:val="28"/>
        </w:rPr>
        <w:t xml:space="preserve"> for more information</w:t>
      </w:r>
    </w:p>
    <w:p>
      <w:pPr>
        <w:spacing w:after="0" w:before="16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a62121"/>
          <w:sz w:val="24"/>
          <w:szCs w:val="24"/>
        </w:rPr>
        <w:t xml:space="preserve">The process is system generated and transmitted in a secured manner by authorised user, as such a physical copy is not required.</w:t>
      </w:r>
    </w:p>
    <w:p>
      <w:pPr>
        <w:spacing w:after="0" w:before="100"/>
        <w:jc w:val="righ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Next Page</w:t>
      </w:r>
    </w:p>
    <w:p>
      <w:r>
        <w:br w:type="page"/>
      </w:r>
    </w:p>
    <w:p>
      <w:pPr>
        <w:spacing w:after="400" w:before="40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30"/>
          <w:szCs w:val="30"/>
        </w:rPr>
        <w:t xml:space="preserve">Annexure</w:t>
      </w:r>
    </w:p>
    <w:p>
      <w:pPr>
        <w:spacing w:after="400" w:before="4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2"/>
          <w:szCs w:val="22"/>
        </w:rPr>
        <w:t xml:space="preserve">Please see below for further information about the private complaint against you (&lt;cmpNumber&gt;). You can also find this information and related documents on &lt;courtUrl&gt; (hereinafter referred to as “Portal”).</w:t>
      </w:r>
    </w:p>
    <w:p>
      <w:pPr>
        <w:spacing w:after="0" w:before="100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6"/>
          <w:szCs w:val="26"/>
        </w:rPr>
        <w:t xml:space="preserve">1. How to Access Your Case Information and Documents</w:t>
      </w:r>
    </w:p>
    <w:p>
      <w:pPr>
        <w:spacing w:after="400" w:before="4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2"/>
          <w:szCs w:val="22"/>
        </w:rPr>
        <w:t xml:space="preserve">Once you register on the portal, you can log in and join your case using this 6 digit code: </w:t>
      </w:r>
      <w:r>
        <w:rPr>
          <w:rFonts w:ascii="Roboto" w:cs="Roboto" w:eastAsia="Roboto" w:hAnsi="Roboto"/>
          <w:b/>
          <w:bCs/>
          <w:i w:val="false"/>
          <w:iCs w:val="false"/>
          <w:color w:val="252525"/>
          <w:sz w:val="22"/>
          <w:szCs w:val="22"/>
        </w:rPr>
        <w:t xml:space="preserve">&lt;accessCode&gt;.</w:t>
      </w: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2"/>
          <w:szCs w:val="22"/>
        </w:rPr>
        <w:t xml:space="preserve"> Do not share this code with anyone other than your lawyer. The complaint and related documents filed by the complainant are available on the complaint tab of the Portal.</w:t>
      </w:r>
    </w:p>
    <w:p>
      <w:pPr>
        <w:spacing w:after="400" w:before="4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2"/>
          <w:szCs w:val="22"/>
        </w:rPr>
        <w:t xml:space="preserve">This notice is merely to give you an opportunity of being heard even before a case is admitted, to enable you to share your version of the events with the presiding judicial officer.</w:t>
      </w:r>
    </w:p>
    <w:p>
      <w:pPr>
        <w:spacing w:after="0" w:before="100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6"/>
          <w:szCs w:val="26"/>
        </w:rPr>
        <w:t xml:space="preserve">2. What to do next if you wish to show cause to the court not to take cognisance of this case?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2"/>
          <w:szCs w:val="22"/>
        </w:rPr>
        <w:t xml:space="preserve">Confirm your representation: </w:t>
      </w: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2"/>
          <w:szCs w:val="22"/>
        </w:rPr>
        <w:t xml:space="preserve">You may hire a lawyer to represent yourself or appear as a party in person, which means you represent yourself in court proceedings. Please visit Kerala Bar Council website &lt;barCouncilUrl&gt; for a contact directory of lawyers.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2"/>
          <w:szCs w:val="22"/>
        </w:rPr>
        <w:t xml:space="preserve">Join the Case: </w:t>
      </w: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2"/>
          <w:szCs w:val="22"/>
        </w:rPr>
        <w:t xml:space="preserve">Log in to the Portal &amp; enter the 6-digit code </w:t>
      </w:r>
      <w:r>
        <w:rPr>
          <w:rFonts w:ascii="Roboto" w:cs="Roboto" w:eastAsia="Roboto" w:hAnsi="Roboto"/>
          <w:b/>
          <w:bCs/>
          <w:i w:val="false"/>
          <w:iCs w:val="false"/>
          <w:color w:val="252525"/>
          <w:sz w:val="22"/>
          <w:szCs w:val="22"/>
        </w:rPr>
        <w:t xml:space="preserve">&lt;accessCode&gt;,</w:t>
      </w: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2"/>
          <w:szCs w:val="22"/>
        </w:rPr>
        <w:t xml:space="preserve"> to access your case details. You can use your mobile number to register/login on the portal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2"/>
          <w:szCs w:val="22"/>
        </w:rPr>
        <w:t xml:space="preserve">Request a different hearing date: </w:t>
      </w: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2"/>
          <w:szCs w:val="22"/>
        </w:rPr>
        <w:t xml:space="preserve">If you cannot attend your hearing on </w:t>
      </w:r>
      <w:r>
        <w:rPr>
          <w:rFonts w:ascii="Roboto" w:cs="Roboto" w:eastAsia="Roboto" w:hAnsi="Roboto"/>
          <w:b/>
          <w:bCs/>
          <w:i w:val="false"/>
          <w:iCs w:val="false"/>
          <w:color w:val="252525"/>
          <w:sz w:val="22"/>
          <w:szCs w:val="22"/>
        </w:rPr>
        <w:t xml:space="preserve">&lt;hearingDate&gt;,</w:t>
      </w: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2"/>
          <w:szCs w:val="22"/>
        </w:rPr>
        <w:t xml:space="preserve"> you can request a new date through the Portal.</w:t>
      </w:r>
    </w:p>
    <w:p>
      <w:pPr>
        <w:spacing w:after="0" w:before="100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6"/>
          <w:szCs w:val="26"/>
        </w:rPr>
        <w:t xml:space="preserve">3. Options for Quicker Resolution of Your Case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2"/>
          <w:szCs w:val="22"/>
        </w:rPr>
        <w:t xml:space="preserve">You may choose to settle the dispute with the complainant. This can be a quicker and simpler way of resolution. For this, you may approach the complainant directly, or you may sign up for a Lok Adalat/Mediation Session that is overseen by the court. 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2"/>
          <w:szCs w:val="22"/>
        </w:rPr>
        <w:t xml:space="preserve">If you choose to settle the dispute, you may inform the court after joining the case on the Portal on the intended day of hearing.</w:t>
      </w:r>
    </w:p>
    <w:p>
      <w:pPr>
        <w:spacing w:after="0" w:before="100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6"/>
          <w:szCs w:val="26"/>
        </w:rPr>
        <w:t xml:space="preserve">Need Help?</w:t>
      </w:r>
    </w:p>
    <w:p>
      <w:pPr>
        <w:spacing w:after="400" w:before="4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2"/>
          <w:szCs w:val="22"/>
        </w:rPr>
        <w:t xml:space="preserve"> If you have any questions or need help, please visit your nearest e-Sewa Kendra or contact &lt;courtContact&gt;</w:t>
      </w:r>
    </w:p>
    <w:p>
      <w:pPr>
        <w:spacing w:after="0" w:before="100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6"/>
          <w:szCs w:val="26"/>
        </w:rPr>
        <w:t xml:space="preserve">Privacy notice:</w:t>
      </w:r>
    </w:p>
    <w:p>
      <w:pPr>
        <w:spacing w:after="400" w:before="4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2"/>
          <w:szCs w:val="22"/>
        </w:rPr>
        <w:t xml:space="preserve">The court gets a notification when you open and login through the above links. This information is only accessible to the Judiciary in accordance with this </w:t>
      </w:r>
      <w:r>
        <w:rPr>
          <w:rFonts w:ascii="Roboto" w:cs="Roboto" w:eastAsia="Roboto" w:hAnsi="Roboto"/>
          <w:b w:val="false"/>
          <w:bCs w:val="false"/>
          <w:i w:val="false"/>
          <w:iCs w:val="false"/>
          <w:color w:val="0000ff"/>
          <w:sz w:val="22"/>
          <w:szCs w:val="22"/>
          <w:u w:val="single"/>
        </w:rPr>
        <w:t xml:space="preserve">Privacy Policy</w:t>
      </w:r>
      <w:r>
        <w:rPr>
          <w:rFonts w:ascii="Roboto" w:cs="Roboto" w:eastAsia="Roboto" w:hAnsi="Roboto"/>
          <w:b w:val="false"/>
          <w:bCs w:val="false"/>
          <w:i w:val="false"/>
          <w:iCs w:val="false"/>
          <w:color w:val="252525"/>
          <w:sz w:val="22"/>
          <w:szCs w:val="22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2026-06-16T11:41:26.105Z</dcterms:created>
  <dcterms:modified xsi:type="dcterms:W3CDTF">2026-06-16T11:41:26.105Z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