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Roboto" w:cs="Roboto" w:eastAsia="Roboto" w:hAnsi="Roboto"/>
          <w:b/>
          <w:bCs/>
          <w:i w:val="false"/>
          <w:iCs w:val="false"/>
          <w:color w:val="484848"/>
          <w:sz w:val="32"/>
          <w:szCs w:val="32"/>
        </w:rPr>
        <w:t xml:space="preserve">FORM NO. 1</w:t>
      </w:r>
    </w:p>
    <w:p>
      <w:pPr>
        <w:spacing w:after="0" w:before="100"/>
        <w:jc w:val="center"/>
      </w:pPr>
      <w:r>
        <w:rPr>
          <w:rFonts w:ascii="Roboto" w:cs="Roboto" w:eastAsia="Roboto" w:hAnsi="Roboto"/>
          <w:b/>
          <w:bCs/>
          <w:i w:val="false"/>
          <w:iCs w:val="false"/>
          <w:color w:val="484848"/>
          <w:sz w:val="26"/>
          <w:szCs w:val="26"/>
        </w:rPr>
        <w:t xml:space="preserve">SUMMONS TO AN ACCUSED PERSON</w:t>
      </w:r>
    </w:p>
    <w:p>
      <w:pPr>
        <w:spacing w:after="0" w:before="100"/>
        <w:jc w:val="center"/>
      </w:pPr>
      <w:r>
        <w:rPr>
          <w:rFonts w:ascii="Roboto" w:cs="Roboto" w:eastAsia="Roboto" w:hAnsi="Roboto"/>
          <w:b/>
          <w:bCs/>
          <w:i w:val="false"/>
          <w:iCs w:val="false"/>
          <w:color w:val="484848"/>
          <w:sz w:val="26"/>
          <w:szCs w:val="26"/>
        </w:rPr>
        <w:t xml:space="preserve">Before The &lt;courtName&gt;</w:t>
      </w:r>
    </w:p>
    <w:p>
      <w:pPr>
        <w:spacing w:after="0" w:before="100"/>
        <w:jc w:val="center"/>
      </w:pPr>
      <w:r>
        <w:rPr>
          <w:rFonts w:ascii="Roboto" w:cs="Roboto" w:eastAsia="Roboto" w:hAnsi="Roboto"/>
          <w:b/>
          <w:bCs/>
          <w:i w:val="false"/>
          <w:iCs w:val="false"/>
          <w:color w:val="484848"/>
          <w:sz w:val="26"/>
          <w:szCs w:val="26"/>
        </w:rPr>
        <w:t xml:space="preserve">Case No: &lt;courtCaseNumber&gt;</w:t>
      </w:r>
    </w:p>
    <w:p>
      <w:pPr>
        <w:spacing w:after="0" w:before="100"/>
        <w:jc w:val="center"/>
      </w:pPr>
      <w:r>
        <w:rPr>
          <w:rFonts w:ascii="Roboto" w:cs="Roboto" w:eastAsia="Roboto" w:hAnsi="Roboto"/>
          <w:b/>
          <w:bCs/>
          <w:i w:val="false"/>
          <w:iCs w:val="false"/>
          <w:color w:val="484848"/>
          <w:sz w:val="26"/>
          <w:szCs w:val="26"/>
        </w:rPr>
        <w:t xml:space="preserve">In the matter of: &lt;caseName&gt;</w:t>
      </w:r>
    </w:p>
    <w:p>
      <w:pPr>
        <w:spacing w:after="0" w:before="100"/>
        <w:jc w:val="center"/>
      </w:pPr>
      <w:r>
        <w:rPr>
          <w:rFonts w:ascii="Roboto" w:cs="Roboto" w:eastAsia="Roboto" w:hAnsi="Roboto"/>
          <w:b/>
          <w:bCs/>
          <w:i w:val="false"/>
          <w:iCs w:val="false"/>
          <w:color w:val="484848"/>
          <w:sz w:val="26"/>
          <w:szCs w:val="26"/>
        </w:rPr>
        <w:t xml:space="preserve">Date: &lt;issueDate&gt;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center"/>
            </w:pPr>
            <w:r>
              <w:rPr>
                <w:rFonts w:ascii="Roboto" w:cs="Roboto" w:eastAsia="Roboto" w:hAnsi="Roboto"/>
                <w:b/>
                <w:bCs/>
                <w:i w:val="false"/>
                <w:iCs w:val="false"/>
                <w:color w:val="484848"/>
                <w:sz w:val="26"/>
                <w:szCs w:val="26"/>
              </w:rPr>
              <w:t xml:space="preserve">(See section 63)</w:t>
            </w:r>
          </w:p>
        </w:tc>
      </w:tr>
    </w:tbl>
    <w:p>
      <w:pPr>
        <w:spacing w:after="200" w:before="200"/>
      </w:pPr>
      <w:r>
        <w:rPr>
          <w:rFonts w:ascii="Roboto" w:cs="Roboto" w:eastAsia="Roboto" w:hAnsi="Roboto"/>
          <w:b w:val="false"/>
          <w:bCs w:val="false"/>
          <w:i w:val="false"/>
          <w:iCs w:val="false"/>
          <w:color w:val="484848"/>
          <w:sz w:val="24"/>
          <w:szCs w:val="24"/>
        </w:rPr>
        <w:t xml:space="preserve">To  &lt;respondentName&gt; of &lt;respondentAddress&gt;</w:t>
      </w:r>
    </w:p>
    <w:p>
      <w:pPr>
        <w:spacing w:after="200" w:before="200"/>
      </w:pPr>
      <w:r>
        <w:rPr>
          <w:rFonts w:ascii="Roboto" w:cs="Roboto" w:eastAsia="Roboto" w:hAnsi="Roboto"/>
          <w:b w:val="false"/>
          <w:bCs w:val="false"/>
          <w:i w:val="false"/>
          <w:iCs w:val="false"/>
          <w:color w:val="484848"/>
          <w:sz w:val="24"/>
          <w:szCs w:val="24"/>
        </w:rPr>
        <w:t xml:space="preserve">WHEREAS your attendance is necessary to answer to a charge U/s. 138 of Negotiable Instruments Act, 1881), you are hereby required to appear in person (or by pleader, as the case may be) &lt;courtName&gt; on the &lt;hearingDate&gt;. Herein fail not.</w:t>
      </w:r>
    </w:p>
    <w:p>
      <w:pPr>
        <w:spacing w:after="0" w:before="100"/>
        <w:jc w:val="left"/>
      </w:pPr>
      <w:r>
        <w:rPr>
          <w:rFonts w:ascii="Roboto" w:cs="Roboto" w:eastAsia="Roboto" w:hAnsi="Roboto"/>
          <w:b/>
          <w:bCs/>
          <w:i w:val="false"/>
          <w:iCs w:val="false"/>
          <w:color w:val="484848"/>
          <w:sz w:val="22"/>
          <w:szCs w:val="22"/>
        </w:rPr>
        <w:t xml:space="preserve">Dated, this &lt;issueDate&gt;.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left"/>
            </w:pPr>
            <w:r>
              <w:rPr>
                <w:rFonts w:ascii="Roboto" w:cs="Roboto" w:eastAsia="Roboto" w:hAnsi="Roboto"/>
                <w:b w:val="false"/>
                <w:bCs w:val="false"/>
                <w:i w:val="false"/>
                <w:iCs w:val="false"/>
                <w:color w:val="484848"/>
                <w:sz w:val="22"/>
                <w:szCs w:val="22"/>
              </w:rPr>
              <w:t xml:space="preserve">Seal of the Court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right"/>
            </w:pPr>
            <w:r>
              <w:rPr>
                <w:rFonts w:ascii="Roboto" w:cs="Roboto" w:eastAsia="Roboto" w:hAnsi="Roboto"/>
                <w:b w:val="false"/>
                <w:bCs w:val="false"/>
                <w:i w:val="false"/>
                <w:iCs w:val="false"/>
                <w:color w:val="484848"/>
                <w:sz w:val="22"/>
                <w:szCs w:val="22"/>
              </w:rPr>
              <w:t xml:space="preserve">Signature</w:t>
            </w:r>
          </w:p>
        </w:tc>
      </w:tr>
    </w:tbl>
    <w:p>
      <w:pPr>
        <w:spacing w:after="0" w:before="100"/>
        <w:jc w:val="left"/>
      </w:pPr>
      <w:r>
        <w:rPr>
          <w:rFonts w:ascii="Roboto" w:cs="Roboto" w:eastAsia="Roboto" w:hAnsi="Roboto"/>
          <w:b w:val="false"/>
          <w:bCs w:val="false"/>
          <w:i w:val="false"/>
          <w:iCs w:val="false"/>
          <w:color w:val="484848"/>
          <w:sz w:val="22"/>
          <w:szCs w:val="22"/>
        </w:rPr>
        <w:t xml:space="preserve">Address: &lt;courtAddress&gt;</w:t>
      </w:r>
    </w:p>
    <w:p>
      <w:pPr>
        <w:spacing w:after="0" w:before="100"/>
        <w:jc w:val="left"/>
      </w:pPr>
      <w:r>
        <w:rPr>
          <w:rFonts w:ascii="Roboto" w:cs="Roboto" w:eastAsia="Roboto" w:hAnsi="Roboto"/>
          <w:b w:val="false"/>
          <w:bCs w:val="false"/>
          <w:i w:val="false"/>
          <w:iCs w:val="false"/>
          <w:color w:val="484848"/>
          <w:sz w:val="22"/>
          <w:szCs w:val="22"/>
        </w:rPr>
        <w:t xml:space="preserve"/>
      </w:r>
    </w:p>
    <w:p>
      <w:pPr>
        <w:spacing w:after="0" w:before="160"/>
      </w:pPr>
      <w:r>
        <w:rPr>
          <w:rFonts w:ascii="Roboto" w:cs="Roboto" w:eastAsia="Roboto" w:hAnsi="Roboto"/>
          <w:b w:val="false"/>
          <w:bCs w:val="false"/>
          <w:i w:val="false"/>
          <w:iCs w:val="false"/>
          <w:color w:val="484848"/>
          <w:sz w:val="22"/>
          <w:szCs w:val="22"/>
        </w:rPr>
        <w:t xml:space="preserve">Visit </w:t>
      </w:r>
      <w:r>
        <w:rPr>
          <w:rFonts w:ascii="Roboto" w:cs="Roboto" w:eastAsia="Roboto" w:hAnsi="Roboto"/>
          <w:b w:val="false"/>
          <w:bCs w:val="false"/>
          <w:i w:val="false"/>
          <w:iCs w:val="false"/>
          <w:color w:val="a62121"/>
          <w:sz w:val="22"/>
          <w:szCs w:val="22"/>
          <w:u w:val="single"/>
        </w:rPr>
        <w:t xml:space="preserve">&lt;courtUrl&gt;</w:t>
      </w:r>
      <w:r>
        <w:rPr>
          <w:rFonts w:ascii="Roboto" w:cs="Roboto" w:eastAsia="Roboto" w:hAnsi="Roboto"/>
          <w:b w:val="false"/>
          <w:bCs w:val="false"/>
          <w:i w:val="false"/>
          <w:iCs w:val="false"/>
          <w:color w:val="484848"/>
          <w:sz w:val="22"/>
          <w:szCs w:val="22"/>
        </w:rPr>
        <w:t xml:space="preserve"> for more information</w:t>
      </w:r>
    </w:p>
    <w:p>
      <w:pPr>
        <w:spacing w:after="0" w:before="400"/>
      </w:pPr>
      <w:r>
        <w:rPr>
          <w:rFonts w:ascii="Roboto" w:cs="Roboto" w:eastAsia="Roboto" w:hAnsi="Roboto"/>
          <w:b w:val="false"/>
          <w:bCs w:val="false"/>
          <w:i w:val="false"/>
          <w:iCs w:val="false"/>
          <w:color w:val="484848"/>
          <w:sz w:val="22"/>
          <w:szCs w:val="22"/>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color w:val="484848"/>
          <w:sz w:val="22"/>
          <w:szCs w:val="22"/>
        </w:rPr>
        <w:t xml:space="preserve">Next Page</w:t>
      </w:r>
    </w:p>
    <w:p>
      <w:r>
        <w:br w:type="page"/>
      </w:r>
    </w:p>
    <w:p>
      <w:pPr>
        <w:spacing w:after="0" w:before="400"/>
      </w:pPr>
      <w:r>
        <w:rPr>
          <w:rFonts w:ascii="Roboto" w:cs="Roboto" w:eastAsia="Roboto" w:hAnsi="Roboto"/>
          <w:b w:val="false"/>
          <w:bCs w:val="false"/>
          <w:i w:val="false"/>
          <w:iCs w:val="false"/>
          <w:color w:val="484848"/>
          <w:sz w:val="22"/>
          <w:szCs w:val="22"/>
        </w:rPr>
        <w:t xml:space="preserve"/>
      </w:r>
    </w:p>
    <w:p>
      <w:pPr>
        <w:spacing w:after="100" w:before="100"/>
        <w:jc w:val="center"/>
      </w:pPr>
      <w:r>
        <w:rPr>
          <w:rFonts w:ascii="Roboto" w:cs="Roboto" w:eastAsia="Roboto" w:hAnsi="Roboto"/>
          <w:b/>
          <w:bCs/>
          <w:i w:val="false"/>
          <w:iCs w:val="false"/>
          <w:color w:val="000000"/>
          <w:sz w:val="30"/>
          <w:szCs w:val="30"/>
        </w:rPr>
        <w:t xml:space="preserve">Annexure</w:t>
      </w:r>
    </w:p>
    <w:p>
      <w:pPr>
        <w:spacing w:after="400" w:before="400"/>
      </w:pPr>
      <w:r>
        <w:rPr>
          <w:rFonts w:ascii="Roboto" w:cs="Roboto" w:eastAsia="Roboto" w:hAnsi="Roboto"/>
          <w:b w:val="false"/>
          <w:bCs w:val="false"/>
          <w:i w:val="false"/>
          <w:iCs w:val="false"/>
          <w:color w:val="484848"/>
          <w:sz w:val="22"/>
          <w:szCs w:val="22"/>
        </w:rPr>
        <w:t xml:space="preserve">Please see below for further information about your case &lt;cnrNumber&gt;. You can also find this information and related documents on &lt;courtUrl&gt; (herein after referred to as “Portal”).</w:t>
      </w:r>
    </w:p>
    <w:p>
      <w:pPr>
        <w:spacing w:after="0" w:before="100"/>
      </w:pPr>
      <w:r>
        <w:rPr>
          <w:rFonts w:ascii="Roboto" w:cs="Roboto" w:eastAsia="Roboto" w:hAnsi="Roboto"/>
          <w:b/>
          <w:bCs/>
          <w:i w:val="false"/>
          <w:iCs w:val="false"/>
          <w:color w:val="484848"/>
          <w:sz w:val="26"/>
          <w:szCs w:val="26"/>
        </w:rPr>
        <w:t xml:space="preserve">1. How to Access Your Case Information and Documents</w:t>
      </w:r>
    </w:p>
    <w:p>
      <w:pPr>
        <w:spacing w:after="400" w:before="400"/>
      </w:pPr>
      <w:r>
        <w:rPr>
          <w:rFonts w:ascii="Roboto" w:cs="Roboto" w:eastAsia="Roboto" w:hAnsi="Roboto"/>
          <w:b w:val="false"/>
          <w:bCs w:val="false"/>
          <w:i w:val="false"/>
          <w:iCs w:val="false"/>
          <w:color w:val="484848"/>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484848"/>
          <w:sz w:val="22"/>
          <w:szCs w:val="22"/>
        </w:rPr>
        <w:t xml:space="preserve"> Do not share this code with anyone other than your lawyer. The complaint and related documents filed by the complainant are available on the “Documents”, “Submissions”, and “Complaint” tab once you log on to the Portal.</w:t>
      </w:r>
    </w:p>
    <w:p>
      <w:pPr>
        <w:spacing w:after="0" w:before="100"/>
      </w:pPr>
      <w:r>
        <w:rPr>
          <w:rFonts w:ascii="Roboto" w:cs="Roboto" w:eastAsia="Roboto" w:hAnsi="Roboto"/>
          <w:b/>
          <w:bCs/>
          <w:i w:val="false"/>
          <w:iCs w:val="false"/>
          <w:color w:val="484848"/>
          <w:sz w:val="26"/>
          <w:szCs w:val="26"/>
        </w:rPr>
        <w:t xml:space="preserve">2. Understanding More About Cheque Dishonour Cases</w:t>
      </w:r>
    </w:p>
    <w:p>
      <w:pPr>
        <w:spacing w:after="400" w:before="400"/>
      </w:pPr>
      <w:r>
        <w:rPr>
          <w:rFonts w:ascii="Roboto" w:cs="Roboto" w:eastAsia="Roboto" w:hAnsi="Roboto"/>
          <w:b w:val="false"/>
          <w:bCs w:val="false"/>
          <w:i w:val="false"/>
          <w:iCs w:val="false"/>
          <w:color w:val="484848"/>
          <w:sz w:val="22"/>
          <w:szCs w:val="22"/>
        </w:rPr>
        <w:t xml:space="preserve">You can find more information about cheque bounce S138 cases, your legal rights, and obligations, in the Negotiable Instruments Act- </w:t>
      </w:r>
      <w:r>
        <w:rPr>
          <w:rFonts w:ascii="Roboto" w:cs="Roboto" w:eastAsia="Roboto" w:hAnsi="Roboto"/>
          <w:b w:val="false"/>
          <w:bCs w:val="false"/>
          <w:i w:val="false"/>
          <w:iCs w:val="false"/>
          <w:color w:val="a62121"/>
          <w:sz w:val="22"/>
          <w:szCs w:val="22"/>
          <w:u w:val="single"/>
        </w:rPr>
        <w:t xml:space="preserve">&lt;infoPdfUrl&gt;</w:t>
      </w:r>
    </w:p>
    <w:p>
      <w:pPr>
        <w:spacing w:after="0" w:before="100"/>
      </w:pPr>
      <w:r>
        <w:rPr>
          <w:rFonts w:ascii="Roboto" w:cs="Roboto" w:eastAsia="Roboto" w:hAnsi="Roboto"/>
          <w:b/>
          <w:bCs/>
          <w:i w:val="false"/>
          <w:iCs w:val="false"/>
          <w:color w:val="484848"/>
          <w:sz w:val="26"/>
          <w:szCs w:val="26"/>
        </w:rPr>
        <w:t xml:space="preserve">3. What to do next if you wish to contest the case filed against you?</w:t>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Confirm your representation: </w:t>
      </w:r>
      <w:r>
        <w:rPr>
          <w:rFonts w:ascii="Roboto" w:cs="Roboto" w:eastAsia="Roboto" w:hAnsi="Roboto"/>
          <w:b w:val="false"/>
          <w:bCs w:val="false"/>
          <w:i w:val="false"/>
          <w:iCs w:val="false"/>
          <w:color w:val="484848"/>
          <w:sz w:val="22"/>
          <w:szCs w:val="22"/>
        </w:rPr>
        <w:t xml:space="preserve">You may hire a lawyer to represent yourself or appear as a party in person, which means you represent yourself in court proceedings. Please visit Kerala Bar Council website </w:t>
      </w:r>
      <w:r>
        <w:rPr>
          <w:rFonts w:ascii="Roboto" w:cs="Roboto" w:eastAsia="Roboto" w:hAnsi="Roboto"/>
          <w:b w:val="false"/>
          <w:bCs w:val="false"/>
          <w:i w:val="false"/>
          <w:iCs w:val="false"/>
          <w:color w:val="a62121"/>
          <w:sz w:val="22"/>
          <w:szCs w:val="22"/>
          <w:u w:val="single"/>
        </w:rPr>
        <w:t xml:space="preserve">&lt;barCouncilUrl&gt;</w:t>
      </w:r>
      <w:r>
        <w:rPr>
          <w:rFonts w:ascii="Roboto" w:cs="Roboto" w:eastAsia="Roboto" w:hAnsi="Roboto"/>
          <w:b w:val="false"/>
          <w:bCs w:val="false"/>
          <w:i w:val="false"/>
          <w:iCs w:val="false"/>
          <w:color w:val="484848"/>
          <w:sz w:val="22"/>
          <w:szCs w:val="22"/>
        </w:rPr>
        <w:t xml:space="preserve"> for a contact directory of lawyers.</w:t>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Join the Case: </w:t>
      </w:r>
      <w:r>
        <w:rPr>
          <w:rFonts w:ascii="Roboto" w:cs="Roboto" w:eastAsia="Roboto" w:hAnsi="Roboto"/>
          <w:b w:val="false"/>
          <w:bCs w:val="false"/>
          <w:i w:val="false"/>
          <w:iCs w:val="false"/>
          <w:color w:val="484848"/>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 </w:t>
      </w:r>
      <w:r>
        <w:rPr>
          <w:rFonts w:ascii="Roboto" w:cs="Roboto" w:eastAsia="Roboto" w:hAnsi="Roboto"/>
          <w:b w:val="false"/>
          <w:bCs w:val="false"/>
          <w:i w:val="false"/>
          <w:iCs w:val="false"/>
          <w:color w:val="484848"/>
          <w:sz w:val="22"/>
          <w:szCs w:val="22"/>
        </w:rPr>
        <w:t xml:space="preserve">to access your case details.</w:t>
      </w:r>
    </w:p>
    <w:p>
      <w:pPr>
        <w:pStyle w:val="ListParagraph"/>
        <w:numPr>
          <w:ilvl w:val="0"/>
          <w:numId w:val="1"/>
        </w:numPr>
        <w:spacing w:after="400" w:before="400"/>
      </w:pPr>
      <w:r>
        <w:rPr>
          <w:rFonts w:ascii="Roboto" w:cs="Roboto" w:eastAsia="Roboto" w:hAnsi="Roboto"/>
          <w:b w:val="false"/>
          <w:bCs w:val="false"/>
          <w:i w:val="false"/>
          <w:iCs w:val="false"/>
          <w:sz w:val="22"/>
          <w:szCs w:val="22"/>
        </w:rPr>
        <w:t xml:space="preserve"/>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Request a different hearing date: </w:t>
      </w:r>
      <w:r>
        <w:rPr>
          <w:rFonts w:ascii="Roboto" w:cs="Roboto" w:eastAsia="Roboto" w:hAnsi="Roboto"/>
          <w:b w:val="false"/>
          <w:bCs w:val="false"/>
          <w:i w:val="false"/>
          <w:iCs w:val="false"/>
          <w:color w:val="484848"/>
          <w:sz w:val="22"/>
          <w:szCs w:val="22"/>
        </w:rPr>
        <w:t xml:space="preserve">If you cannot attend your hearing on the affixed </w:t>
      </w:r>
      <w:r>
        <w:rPr>
          <w:rFonts w:ascii="Roboto" w:cs="Roboto" w:eastAsia="Roboto" w:hAnsi="Roboto"/>
          <w:b/>
          <w:bCs/>
          <w:i w:val="false"/>
          <w:iCs w:val="false"/>
          <w:color w:val="252525"/>
          <w:sz w:val="22"/>
          <w:szCs w:val="22"/>
        </w:rPr>
        <w:t xml:space="preserve">&lt;hearingDate&gt;, </w:t>
      </w:r>
      <w:r>
        <w:rPr>
          <w:rFonts w:ascii="Roboto" w:cs="Roboto" w:eastAsia="Roboto" w:hAnsi="Roboto"/>
          <w:b w:val="false"/>
          <w:bCs w:val="false"/>
          <w:i w:val="false"/>
          <w:iCs w:val="false"/>
          <w:color w:val="484848"/>
          <w:sz w:val="22"/>
          <w:szCs w:val="22"/>
        </w:rPr>
        <w:t xml:space="preserve">you can request a new date through the Portal.</w:t>
      </w:r>
    </w:p>
    <w:p>
      <w:pPr>
        <w:spacing w:after="0" w:before="100"/>
      </w:pPr>
      <w:r>
        <w:rPr>
          <w:rFonts w:ascii="Roboto" w:cs="Roboto" w:eastAsia="Roboto" w:hAnsi="Roboto"/>
          <w:b/>
          <w:bCs/>
          <w:i w:val="false"/>
          <w:iCs w:val="false"/>
          <w:color w:val="484848"/>
          <w:sz w:val="26"/>
          <w:szCs w:val="26"/>
        </w:rPr>
        <w:t xml:space="preserve">4. Options for Quicker Resolution of Your Case</w:t>
      </w:r>
    </w:p>
    <w:p>
      <w:pPr>
        <w:pStyle w:val="ListParagraph"/>
        <w:numPr>
          <w:ilvl w:val="0"/>
          <w:numId w:val="1"/>
        </w:numPr>
        <w:spacing w:after="400" w:before="400"/>
      </w:pPr>
      <w:r>
        <w:rPr>
          <w:rFonts w:ascii="Roboto" w:cs="Roboto" w:eastAsia="Roboto" w:hAnsi="Roboto"/>
          <w:b w:val="false"/>
          <w:bCs w:val="false"/>
          <w:i w:val="false"/>
          <w:iCs w:val="false"/>
          <w:color w:val="484848"/>
          <w:sz w:val="22"/>
          <w:szCs w:val="22"/>
        </w:rPr>
        <w:t xml:space="preserve">You may choose to settle the case with the complainant. This can be a quicker and simpler way to resolve the dispute. To settle the case, you may approach the complainant directly, or you may sign up for a Lok Adalat/Mediation Session that is overseen by the court. You may find more information about Lok Adalat here &lt;lokAdalatUrl&gt;</w:t>
      </w:r>
    </w:p>
    <w:p>
      <w:pPr>
        <w:pStyle w:val="ListParagraph"/>
        <w:numPr>
          <w:ilvl w:val="0"/>
          <w:numId w:val="1"/>
        </w:numPr>
        <w:spacing w:after="400" w:before="400"/>
      </w:pPr>
      <w:r>
        <w:rPr>
          <w:rFonts w:ascii="Roboto" w:cs="Roboto" w:eastAsia="Roboto" w:hAnsi="Roboto"/>
          <w:b w:val="false"/>
          <w:bCs w:val="false"/>
          <w:i w:val="false"/>
          <w:iCs w:val="false"/>
          <w:color w:val="484848"/>
          <w:sz w:val="22"/>
          <w:szCs w:val="22"/>
        </w:rPr>
        <w:t xml:space="preserve">If you choose to settle the case, you may inform the court after joining the case on the Portal.</w:t>
      </w:r>
    </w:p>
    <w:p>
      <w:pPr>
        <w:spacing w:after="0" w:before="100"/>
      </w:pPr>
      <w:r>
        <w:rPr>
          <w:rFonts w:ascii="Roboto" w:cs="Roboto" w:eastAsia="Roboto" w:hAnsi="Roboto"/>
          <w:b/>
          <w:bCs/>
          <w:i w:val="false"/>
          <w:iCs w:val="false"/>
          <w:color w:val="484848"/>
          <w:sz w:val="26"/>
          <w:szCs w:val="26"/>
        </w:rPr>
        <w:t xml:space="preserve">Need Help?</w:t>
      </w:r>
    </w:p>
    <w:p>
      <w:pPr>
        <w:spacing w:after="400" w:before="400"/>
      </w:pPr>
      <w:r>
        <w:rPr>
          <w:rFonts w:ascii="Roboto" w:cs="Roboto" w:eastAsia="Roboto" w:hAnsi="Roboto"/>
          <w:b w:val="false"/>
          <w:bCs w:val="false"/>
          <w:i w:val="false"/>
          <w:iCs w:val="false"/>
          <w:color w:val="484848"/>
          <w:sz w:val="22"/>
          <w:szCs w:val="22"/>
        </w:rPr>
        <w:t xml:space="preserve"> If you have any questions or need help, please visit your nearest e-Sewa Kendra or contact &lt;helplineNumber&gt;</w:t>
      </w:r>
    </w:p>
    <w:p>
      <w:pPr>
        <w:spacing w:after="0" w:before="100"/>
      </w:pPr>
      <w:r>
        <w:rPr>
          <w:rFonts w:ascii="Roboto" w:cs="Roboto" w:eastAsia="Roboto" w:hAnsi="Roboto"/>
          <w:b/>
          <w:bCs/>
          <w:i w:val="false"/>
          <w:iCs w:val="false"/>
          <w:color w:val="484848"/>
          <w:sz w:val="26"/>
          <w:szCs w:val="26"/>
        </w:rPr>
        <w:t xml:space="preserve">Privacy notice:</w:t>
      </w:r>
    </w:p>
    <w:p>
      <w:pPr>
        <w:spacing w:after="400" w:before="400"/>
      </w:pPr>
      <w:r>
        <w:rPr>
          <w:rFonts w:ascii="Roboto" w:cs="Roboto" w:eastAsia="Roboto" w:hAnsi="Roboto"/>
          <w:b w:val="false"/>
          <w:bCs w:val="false"/>
          <w:i w:val="false"/>
          <w:iCs w:val="false"/>
          <w:color w:val="484848"/>
          <w:sz w:val="22"/>
          <w:szCs w:val="22"/>
        </w:rPr>
        <w:t xml:space="preserve">The court gets a notification when you open this summons or click on any of the above links. This information is only accessible to the Judiciary, and will be used only for the purpose of determining whether you received and viewed this communication,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484848"/>
          <w:sz w:val="22"/>
          <w:szCs w:val="22"/>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2026-06-16T11:41:26.174Z</dcterms:created>
  <dcterms:modified xsi:type="dcterms:W3CDTF">2026-06-16T11:41:26.174Z</dcterms:modified>
</cp:coreProperties>
</file>

<file path=docProps/custom.xml><?xml version="1.0" encoding="utf-8"?>
<Properties xmlns="http://schemas.openxmlformats.org/officeDocument/2006/custom-properties" xmlns:vt="http://schemas.openxmlformats.org/officeDocument/2006/docPropsVTypes"/>
</file>