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062C36"/>
          <w:sz w:val="72"/>
          <w:szCs w:val="72"/>
        </w:rPr>
        <w:t xml:space="preserve">tidemarq</w:t>
      </w:r>
    </w:p>
    <w:p>
      <w:pPr>
        <w:spacing w:after="80" w:before="0"/>
      </w:pPr>
      <w:r>
        <w:rPr>
          <w:rFonts w:ascii="Arial" w:cs="Arial" w:eastAsia="Arial" w:hAnsi="Arial"/>
          <w:i/>
          <w:iCs/>
          <w:color w:val="0E5F6E"/>
          <w:sz w:val="28"/>
          <w:szCs w:val="28"/>
        </w:rPr>
        <w:t xml:space="preserve">keep your directories in line</w:t>
      </w:r>
    </w:p>
    <w:p>
      <w:pPr>
        <w:spacing w:after="1600" w:before="200"/>
      </w:pPr>
      <w:r>
        <w:rPr>
          <w:rFonts w:ascii="Arial" w:cs="Arial" w:eastAsia="Arial" w:hAnsi="Arial"/>
          <w:color w:val="5F5E5A"/>
          <w:sz w:val="22"/>
          <w:szCs w:val="22"/>
        </w:rPr>
        <w:t xml:space="preserve">UX &amp; Brand Style Guide  ·  v1.0</w:t>
      </w:r>
    </w:p>
    <w:p>
      <w:pPr>
        <w:pBdr>
          <w:bottom w:val="single" w:color="A3DDE6" w:sz="4" w:space="1"/>
        </w:pBdr>
        <w:spacing w:after="200" w:before="200"/>
      </w:pPr>
    </w:p>
    <w:p>
      <w:pPr>
        <w:pStyle w:val="Heading1"/>
        <w:spacing w:after="160" w:before="400"/>
      </w:pPr>
      <w:r>
        <w:rPr>
          <w:rFonts w:ascii="Arial" w:cs="Arial" w:eastAsia="Arial" w:hAnsi="Arial"/>
          <w:b/>
          <w:bCs/>
          <w:color w:val="062C36"/>
          <w:sz w:val="36"/>
          <w:szCs w:val="36"/>
        </w:rPr>
        <w:t xml:space="preserve">1. Introduction</w:t>
      </w:r>
    </w:p>
    <w:p>
      <w:pPr>
        <w:spacing w:after="80" w:before="80"/>
      </w:pPr>
      <w:r>
        <w:rPr>
          <w:rFonts w:ascii="Arial" w:cs="Arial" w:eastAsia="Arial" w:hAnsi="Arial"/>
          <w:color w:val="2C2C2A"/>
          <w:sz w:val="22"/>
          <w:szCs w:val="22"/>
        </w:rPr>
        <w:t xml:space="preserve">This document defines the visual language for Tidemarq — a self-hosted directory sync tool. It covers brand colours, typography, UX component states, chart usage, and naming conventions. All product design work should reference this guide to ensure consistency across the application, documentation, and marketing materials.</w:t>
      </w:r>
    </w:p>
    <w:p>
      <w:pPr>
        <w:spacing w:after="0" w:before="120"/>
      </w:pPr>
    </w:p>
    <w:p>
      <w:pPr>
        <w:pBdr>
          <w:left w:val="single" w:color="5DC4D4" w:sz="6" w:space="8"/>
        </w:pBdr>
        <w:spacing w:after="60" w:before="60"/>
        <w:ind w:left="360"/>
      </w:pPr>
      <w:r>
        <w:rPr>
          <w:rFonts w:ascii="Arial" w:cs="Arial" w:eastAsia="Arial" w:hAnsi="Arial"/>
          <w:i/>
          <w:iCs/>
          <w:color w:val="5F5E5A"/>
          <w:sz w:val="20"/>
          <w:szCs w:val="20"/>
        </w:rPr>
        <w:t xml:space="preserve">This guide is intended for use in Cowork design threads and shared with anyone contributing to the Tidemarq UI. When in doubt, refer back to this document before introducing new colours, type styles, or component patterns.</w:t>
      </w:r>
    </w:p>
    <w:p>
      <w:pPr>
        <w:pBdr>
          <w:bottom w:val="single" w:color="A3DDE6" w:sz="4" w:space="1"/>
        </w:pBdr>
        <w:spacing w:after="200" w:before="200"/>
      </w:pPr>
    </w:p>
    <w:p>
      <w:pPr>
        <w:pStyle w:val="Heading1"/>
        <w:spacing w:after="160" w:before="400"/>
      </w:pPr>
      <w:r>
        <w:rPr>
          <w:rFonts w:ascii="Arial" w:cs="Arial" w:eastAsia="Arial" w:hAnsi="Arial"/>
          <w:b/>
          <w:bCs/>
          <w:color w:val="062C36"/>
          <w:sz w:val="36"/>
          <w:szCs w:val="36"/>
        </w:rPr>
        <w:t xml:space="preserve">2. Brand Identity</w:t>
      </w:r>
    </w:p>
    <w:p>
      <w:pPr>
        <w:pStyle w:val="Heading2"/>
        <w:spacing w:after="120" w:before="320"/>
      </w:pPr>
      <w:r>
        <w:rPr>
          <w:rFonts w:ascii="Arial" w:cs="Arial" w:eastAsia="Arial" w:hAnsi="Arial"/>
          <w:b/>
          <w:bCs/>
          <w:color w:val="0E5F6E"/>
          <w:sz w:val="26"/>
          <w:szCs w:val="26"/>
        </w:rPr>
        <w:t xml:space="preserve">2.1 Name &amp; wordmark</w:t>
      </w:r>
    </w:p>
    <w:p>
      <w:pPr>
        <w:spacing w:after="80" w:before="80"/>
      </w:pPr>
      <w:r>
        <w:rPr>
          <w:rFonts w:ascii="Arial" w:cs="Arial" w:eastAsia="Arial" w:hAnsi="Arial"/>
          <w:color w:val="2C2C2A"/>
          <w:sz w:val="22"/>
          <w:szCs w:val="22"/>
        </w:rPr>
        <w:t xml:space="preserve">The product name is written in lowercase: tidemarq. The Q at the end is deliberate — do not capitalise or alter the spelling.</w:t>
      </w:r>
    </w:p>
    <w:p>
      <w:pPr>
        <w:spacing w:after="0" w:before="120"/>
      </w:pPr>
    </w:p>
    <w:p>
      <w:pPr>
        <w:pStyle w:val="ListParagraph"/>
        <w:numPr>
          <w:ilvl w:val="0"/>
          <w:numId w:val="2"/>
        </w:numPr>
        <w:spacing w:after="40" w:before="40"/>
      </w:pPr>
      <w:r>
        <w:rPr>
          <w:rFonts w:ascii="Arial" w:cs="Arial" w:eastAsia="Arial" w:hAnsi="Arial"/>
          <w:color w:val="2C2C2A"/>
          <w:sz w:val="22"/>
          <w:szCs w:val="22"/>
        </w:rPr>
        <w:t xml:space="preserve">Correct: tidemarq</w:t>
      </w:r>
    </w:p>
    <w:p>
      <w:pPr>
        <w:pStyle w:val="ListParagraph"/>
        <w:numPr>
          <w:ilvl w:val="0"/>
          <w:numId w:val="2"/>
        </w:numPr>
        <w:spacing w:after="40" w:before="40"/>
      </w:pPr>
      <w:r>
        <w:rPr>
          <w:rFonts w:ascii="Arial" w:cs="Arial" w:eastAsia="Arial" w:hAnsi="Arial"/>
          <w:color w:val="2C2C2A"/>
          <w:sz w:val="22"/>
          <w:szCs w:val="22"/>
        </w:rPr>
        <w:t xml:space="preserve">Incorrect: TideMark, Tidemark, TideMarq, TIDEMARQ</w:t>
      </w:r>
    </w:p>
    <w:p>
      <w:pPr>
        <w:spacing w:after="0" w:before="120"/>
      </w:pPr>
    </w:p>
    <w:p>
      <w:pPr>
        <w:pStyle w:val="Heading2"/>
        <w:spacing w:after="120" w:before="320"/>
      </w:pPr>
      <w:r>
        <w:rPr>
          <w:rFonts w:ascii="Arial" w:cs="Arial" w:eastAsia="Arial" w:hAnsi="Arial"/>
          <w:b/>
          <w:bCs/>
          <w:color w:val="0E5F6E"/>
          <w:sz w:val="26"/>
          <w:szCs w:val="26"/>
        </w:rPr>
        <w:t xml:space="preserve">2.2 Tagline</w:t>
      </w:r>
    </w:p>
    <w:p>
      <w:pPr>
        <w:spacing w:after="80" w:before="80"/>
      </w:pPr>
      <w:r>
        <w:rPr>
          <w:rFonts w:ascii="Arial" w:cs="Arial" w:eastAsia="Arial" w:hAnsi="Arial"/>
          <w:color w:val="2C2C2A"/>
          <w:sz w:val="22"/>
          <w:szCs w:val="22"/>
        </w:rPr>
        <w:t xml:space="preserve">The official tagline is:</w:t>
      </w:r>
    </w:p>
    <w:p>
      <w:pPr>
        <w:spacing w:after="0" w:before="120"/>
      </w:pPr>
    </w:p>
    <w:p>
      <w:pPr>
        <w:spacing w:after="120" w:before="120"/>
        <w:jc w:val="center"/>
      </w:pPr>
      <w:r>
        <w:rPr>
          <w:rFonts w:ascii="Arial" w:cs="Arial" w:eastAsia="Arial" w:hAnsi="Arial"/>
          <w:i/>
          <w:iCs/>
          <w:color w:val="0E5F6E"/>
          <w:sz w:val="26"/>
          <w:szCs w:val="26"/>
        </w:rPr>
        <w:t xml:space="preserve">keep your directories in line</w:t>
      </w:r>
    </w:p>
    <w:p>
      <w:pPr>
        <w:spacing w:after="0" w:before="120"/>
      </w:pPr>
    </w:p>
    <w:p>
      <w:pPr>
        <w:spacing w:after="80" w:before="80"/>
      </w:pPr>
      <w:r>
        <w:rPr>
          <w:rFonts w:ascii="Arial" w:cs="Arial" w:eastAsia="Arial" w:hAnsi="Arial"/>
          <w:color w:val="2C2C2A"/>
          <w:sz w:val="22"/>
          <w:szCs w:val="22"/>
        </w:rPr>
        <w:t xml:space="preserve">Use sentence case only. Never title case or all caps.</w:t>
      </w:r>
    </w:p>
    <w:p>
      <w:pPr>
        <w:pStyle w:val="Heading2"/>
        <w:spacing w:after="120" w:before="320"/>
      </w:pPr>
      <w:r>
        <w:rPr>
          <w:rFonts w:ascii="Arial" w:cs="Arial" w:eastAsia="Arial" w:hAnsi="Arial"/>
          <w:b/>
          <w:bCs/>
          <w:color w:val="0E5F6E"/>
          <w:sz w:val="26"/>
          <w:szCs w:val="26"/>
        </w:rPr>
        <w:t xml:space="preserve">2.3 Logo mark</w:t>
      </w:r>
    </w:p>
    <w:p>
      <w:pPr>
        <w:spacing w:after="80" w:before="80"/>
      </w:pPr>
      <w:r>
        <w:rPr>
          <w:rFonts w:ascii="Arial" w:cs="Arial" w:eastAsia="Arial" w:hAnsi="Arial"/>
          <w:color w:val="2C2C2A"/>
          <w:sz w:val="22"/>
          <w:szCs w:val="22"/>
        </w:rPr>
        <w:t xml:space="preserve">The logo mark is a square tile containing four horizontal lines of decreasing length, stacked bottom to top. This represents tide marks receding — the visual metaphor for tracking and holding a position. The lines always anchor on the left edge. The top line is the shortest and most transparent; the bottom line is full width and full opacity.</w:t>
      </w:r>
    </w:p>
    <w:p>
      <w:pPr>
        <w:spacing w:after="0" w:before="120"/>
      </w:pPr>
    </w:p>
    <w:p>
      <w:pPr>
        <w:pStyle w:val="ListParagraph"/>
        <w:numPr>
          <w:ilvl w:val="0"/>
          <w:numId w:val="2"/>
        </w:numPr>
        <w:spacing w:after="40" w:before="40"/>
      </w:pPr>
      <w:r>
        <w:rPr>
          <w:rFonts w:ascii="Arial" w:cs="Arial" w:eastAsia="Arial" w:hAnsi="Arial"/>
          <w:color w:val="2C2C2A"/>
          <w:sz w:val="22"/>
          <w:szCs w:val="22"/>
        </w:rPr>
        <w:t xml:space="preserve">Icon background (light context): #0E5F6E</w:t>
      </w:r>
    </w:p>
    <w:p>
      <w:pPr>
        <w:pStyle w:val="ListParagraph"/>
        <w:numPr>
          <w:ilvl w:val="0"/>
          <w:numId w:val="2"/>
        </w:numPr>
        <w:spacing w:after="40" w:before="40"/>
      </w:pPr>
      <w:r>
        <w:rPr>
          <w:rFonts w:ascii="Arial" w:cs="Arial" w:eastAsia="Arial" w:hAnsi="Arial"/>
          <w:color w:val="2C2C2A"/>
          <w:sz w:val="22"/>
          <w:szCs w:val="22"/>
        </w:rPr>
        <w:t xml:space="preserve">Icon background (dark context): #1A8A9E</w:t>
      </w:r>
    </w:p>
    <w:p>
      <w:pPr>
        <w:pStyle w:val="ListParagraph"/>
        <w:numPr>
          <w:ilvl w:val="0"/>
          <w:numId w:val="2"/>
        </w:numPr>
        <w:spacing w:after="40" w:before="40"/>
      </w:pPr>
      <w:r>
        <w:rPr>
          <w:rFonts w:ascii="Arial" w:cs="Arial" w:eastAsia="Arial" w:hAnsi="Arial"/>
          <w:color w:val="2C2C2A"/>
          <w:sz w:val="22"/>
          <w:szCs w:val="22"/>
        </w:rPr>
        <w:t xml:space="preserve">Line colour: #E0F4F7</w:t>
      </w:r>
    </w:p>
    <w:p>
      <w:pPr>
        <w:pStyle w:val="ListParagraph"/>
        <w:numPr>
          <w:ilvl w:val="0"/>
          <w:numId w:val="2"/>
        </w:numPr>
        <w:spacing w:after="40" w:before="40"/>
      </w:pPr>
      <w:r>
        <w:rPr>
          <w:rFonts w:ascii="Arial" w:cs="Arial" w:eastAsia="Arial" w:hAnsi="Arial"/>
          <w:color w:val="2C2C2A"/>
          <w:sz w:val="22"/>
          <w:szCs w:val="22"/>
        </w:rPr>
        <w:t xml:space="preserve">Line opacity cascade: 100% → 75% → 50% → 28%</w:t>
      </w:r>
    </w:p>
    <w:p>
      <w:pPr>
        <w:pBdr>
          <w:bottom w:val="single" w:color="A3DDE6" w:sz="4" w:space="1"/>
        </w:pBdr>
        <w:spacing w:after="200" w:before="200"/>
      </w:pPr>
    </w:p>
    <w:p>
      <w:pPr>
        <w:pStyle w:val="Heading1"/>
        <w:spacing w:after="160" w:before="400"/>
      </w:pPr>
      <w:r>
        <w:rPr>
          <w:rFonts w:ascii="Arial" w:cs="Arial" w:eastAsia="Arial" w:hAnsi="Arial"/>
          <w:b/>
          <w:bCs/>
          <w:color w:val="062C36"/>
          <w:sz w:val="36"/>
          <w:szCs w:val="36"/>
        </w:rPr>
        <w:t xml:space="preserve">3. Colour Palette</w:t>
      </w:r>
    </w:p>
    <w:p>
      <w:pPr>
        <w:pStyle w:val="Heading2"/>
        <w:spacing w:after="120" w:before="320"/>
      </w:pPr>
      <w:r>
        <w:rPr>
          <w:rFonts w:ascii="Arial" w:cs="Arial" w:eastAsia="Arial" w:hAnsi="Arial"/>
          <w:b/>
          <w:bCs/>
          <w:color w:val="0E5F6E"/>
          <w:sz w:val="26"/>
          <w:szCs w:val="26"/>
        </w:rPr>
        <w:t xml:space="preserve">3.1 Brand core</w:t>
      </w:r>
    </w:p>
    <w:p>
      <w:pPr>
        <w:spacing w:after="80" w:before="80"/>
      </w:pPr>
      <w:r>
        <w:rPr>
          <w:rFonts w:ascii="Arial" w:cs="Arial" w:eastAsia="Arial" w:hAnsi="Arial"/>
          <w:color w:val="2C2C2A"/>
          <w:sz w:val="22"/>
          <w:szCs w:val="22"/>
        </w:rPr>
        <w:t xml:space="preserve">The primary palette runs from deep harbour (#062C36) to pale seafoam (#E0F4F7). All UI surfaces, navigation, and primary interactive elements draw from this ramp.</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D3D1C7" w:sz="1"/>
              <w:left w:val="single" w:color="D3D1C7" w:sz="1"/>
              <w:bottom w:val="single" w:color="D3D1C7" w:sz="1"/>
              <w:right w:val="single" w:color="D3D1C7" w:sz="1"/>
            </w:tcBorders>
            <w:shd w:fill="0A4452" w:val="clear"/>
            <w:tcMar>
              <w:top w:type="dxa" w:w="100"/>
              <w:left w:type="dxa" w:w="160"/>
              <w:bottom w:type="dxa" w:w="100"/>
              <w:right w:type="dxa" w:w="120"/>
            </w:tcMar>
          </w:tcPr>
          <w:p>
            <w:r>
              <w:rPr>
                <w:rFonts w:ascii="Arial" w:cs="Arial" w:eastAsia="Arial" w:hAnsi="Arial"/>
                <w:b/>
                <w:bCs/>
                <w:color w:val="FFFFFF"/>
                <w:sz w:val="20"/>
                <w:szCs w:val="20"/>
              </w:rPr>
              <w:t xml:space="preserve">Swatch</w:t>
            </w:r>
          </w:p>
        </w:tc>
        <w:tc>
          <w:tcPr>
            <w:tcW w:type="dxa" w:w="2400"/>
            <w:tcBorders>
              <w:top w:val="single" w:color="D3D1C7" w:sz="1"/>
              <w:left w:val="single" w:color="D3D1C7" w:sz="1"/>
              <w:bottom w:val="single" w:color="D3D1C7" w:sz="1"/>
              <w:right w:val="single" w:color="D3D1C7" w:sz="1"/>
            </w:tcBorders>
            <w:shd w:fill="0A4452" w:val="clear"/>
            <w:tcMar>
              <w:top w:type="dxa" w:w="100"/>
              <w:left w:type="dxa" w:w="160"/>
              <w:bottom w:type="dxa" w:w="100"/>
              <w:right w:type="dxa" w:w="120"/>
            </w:tcMar>
          </w:tcPr>
          <w:p>
            <w:r>
              <w:rPr>
                <w:rFonts w:ascii="Arial" w:cs="Arial" w:eastAsia="Arial" w:hAnsi="Arial"/>
                <w:b/>
                <w:bCs/>
                <w:color w:val="FFFFFF"/>
                <w:sz w:val="20"/>
                <w:szCs w:val="20"/>
              </w:rPr>
              <w:t xml:space="preserve">Name</w:t>
            </w:r>
          </w:p>
        </w:tc>
        <w:tc>
          <w:tcPr>
            <w:tcW w:type="dxa" w:w="5760"/>
            <w:tcBorders>
              <w:top w:val="single" w:color="D3D1C7" w:sz="1"/>
              <w:left w:val="single" w:color="D3D1C7" w:sz="1"/>
              <w:bottom w:val="single" w:color="D3D1C7" w:sz="1"/>
              <w:right w:val="single" w:color="D3D1C7" w:sz="1"/>
            </w:tcBorders>
            <w:shd w:fill="0A4452" w:val="clear"/>
            <w:tcMar>
              <w:top w:type="dxa" w:w="100"/>
              <w:left w:type="dxa" w:w="160"/>
              <w:bottom w:type="dxa" w:w="100"/>
              <w:right w:type="dxa" w:w="120"/>
            </w:tcMar>
          </w:tcPr>
          <w:p>
            <w:r>
              <w:rPr>
                <w:rFonts w:ascii="Arial" w:cs="Arial" w:eastAsia="Arial" w:hAnsi="Arial"/>
                <w:b/>
                <w:bCs/>
                <w:color w:val="FFFFFF"/>
                <w:sz w:val="20"/>
                <w:szCs w:val="20"/>
              </w:rPr>
              <w:t xml:space="preserve">Usage</w:t>
            </w:r>
          </w:p>
        </w:tc>
      </w:tr>
      <w:tr>
        <w:tc>
          <w:tcPr>
            <w:tcW w:type="dxa" w:w="1200"/>
            <w:tcBorders>
              <w:top w:val="single" w:color="D3D1C7" w:sz="1"/>
              <w:left w:val="single" w:color="D3D1C7" w:sz="1"/>
              <w:bottom w:val="single" w:color="D3D1C7" w:sz="1"/>
              <w:right w:val="single" w:color="D3D1C7" w:sz="1"/>
            </w:tcBorders>
            <w:shd w:fill="062C36" w:val="clear"/>
            <w:tcMar>
              <w:top w:type="dxa" w:w="120"/>
              <w:left w:type="dxa" w:w="120"/>
              <w:bottom w:type="dxa" w:w="120"/>
              <w:right w:type="dxa" w:w="120"/>
            </w:tcMar>
          </w:tcPr>
          <w:p>
            <w:r>
              <w:rPr>
                <w:rFonts w:ascii="Arial" w:cs="Arial" w:eastAsia="Arial" w:hAnsi="Arial"/>
                <w:b/>
                <w:bCs/>
                <w:color w:val="FFFFFF"/>
                <w:sz w:val="18"/>
                <w:szCs w:val="18"/>
              </w:rPr>
              <w:t xml:space="preserve">#062C36</w:t>
            </w:r>
          </w:p>
        </w:tc>
        <w:tc>
          <w:tcPr>
            <w:tcW w:type="dxa" w:w="240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b/>
                <w:bCs/>
                <w:color w:val="2C2C2A"/>
                <w:sz w:val="20"/>
                <w:szCs w:val="20"/>
              </w:rPr>
              <w:t xml:space="preserve">Deep teal</w:t>
            </w:r>
          </w:p>
        </w:tc>
        <w:tc>
          <w:tcPr>
            <w:tcW w:type="dxa" w:w="576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color w:val="5F5E5A"/>
                <w:sz w:val="20"/>
                <w:szCs w:val="20"/>
              </w:rPr>
              <w:t xml:space="preserve">Page backgrounds, dark UI surfaces, footer</w:t>
            </w:r>
          </w:p>
        </w:tc>
      </w:tr>
      <w:tr>
        <w:tc>
          <w:tcPr>
            <w:tcW w:type="dxa" w:w="1200"/>
            <w:tcBorders>
              <w:top w:val="single" w:color="D3D1C7" w:sz="1"/>
              <w:left w:val="single" w:color="D3D1C7" w:sz="1"/>
              <w:bottom w:val="single" w:color="D3D1C7" w:sz="1"/>
              <w:right w:val="single" w:color="D3D1C7" w:sz="1"/>
            </w:tcBorders>
            <w:shd w:fill="0A4452" w:val="clear"/>
            <w:tcMar>
              <w:top w:type="dxa" w:w="120"/>
              <w:left w:type="dxa" w:w="120"/>
              <w:bottom w:type="dxa" w:w="120"/>
              <w:right w:type="dxa" w:w="120"/>
            </w:tcMar>
          </w:tcPr>
          <w:p>
            <w:r>
              <w:rPr>
                <w:rFonts w:ascii="Arial" w:cs="Arial" w:eastAsia="Arial" w:hAnsi="Arial"/>
                <w:b/>
                <w:bCs/>
                <w:color w:val="FFFFFF"/>
                <w:sz w:val="18"/>
                <w:szCs w:val="18"/>
              </w:rPr>
              <w:t xml:space="preserve">#0A4452</w:t>
            </w:r>
          </w:p>
        </w:tc>
        <w:tc>
          <w:tcPr>
            <w:tcW w:type="dxa" w:w="240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b/>
                <w:bCs/>
                <w:color w:val="2C2C2A"/>
                <w:sz w:val="20"/>
                <w:szCs w:val="20"/>
              </w:rPr>
              <w:t xml:space="preserve">Dark teal</w:t>
            </w:r>
          </w:p>
        </w:tc>
        <w:tc>
          <w:tcPr>
            <w:tcW w:type="dxa" w:w="576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color w:val="5F5E5A"/>
                <w:sz w:val="20"/>
                <w:szCs w:val="20"/>
              </w:rPr>
              <w:t xml:space="preserve">Sidebar, nav rail, primary text on dark</w:t>
            </w:r>
          </w:p>
        </w:tc>
      </w:tr>
      <w:tr>
        <w:tc>
          <w:tcPr>
            <w:tcW w:type="dxa" w:w="1200"/>
            <w:tcBorders>
              <w:top w:val="single" w:color="D3D1C7" w:sz="1"/>
              <w:left w:val="single" w:color="D3D1C7" w:sz="1"/>
              <w:bottom w:val="single" w:color="D3D1C7" w:sz="1"/>
              <w:right w:val="single" w:color="D3D1C7" w:sz="1"/>
            </w:tcBorders>
            <w:shd w:fill="0E5F6E" w:val="clear"/>
            <w:tcMar>
              <w:top w:type="dxa" w:w="120"/>
              <w:left w:type="dxa" w:w="120"/>
              <w:bottom w:type="dxa" w:w="120"/>
              <w:right w:type="dxa" w:w="120"/>
            </w:tcMar>
          </w:tcPr>
          <w:p>
            <w:r>
              <w:rPr>
                <w:rFonts w:ascii="Arial" w:cs="Arial" w:eastAsia="Arial" w:hAnsi="Arial"/>
                <w:b/>
                <w:bCs/>
                <w:color w:val="FFFFFF"/>
                <w:sz w:val="18"/>
                <w:szCs w:val="18"/>
              </w:rPr>
              <w:t xml:space="preserve">#0E5F6E</w:t>
            </w:r>
          </w:p>
        </w:tc>
        <w:tc>
          <w:tcPr>
            <w:tcW w:type="dxa" w:w="240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b/>
                <w:bCs/>
                <w:color w:val="2C2C2A"/>
                <w:sz w:val="20"/>
                <w:szCs w:val="20"/>
              </w:rPr>
              <w:t xml:space="preserve">Mid teal</w:t>
            </w:r>
          </w:p>
        </w:tc>
        <w:tc>
          <w:tcPr>
            <w:tcW w:type="dxa" w:w="576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color w:val="5F5E5A"/>
                <w:sz w:val="20"/>
                <w:szCs w:val="20"/>
              </w:rPr>
              <w:t xml:space="preserve">Primary brand colour — icons, links, active states</w:t>
            </w:r>
          </w:p>
        </w:tc>
      </w:tr>
      <w:tr>
        <w:tc>
          <w:tcPr>
            <w:tcW w:type="dxa" w:w="1200"/>
            <w:tcBorders>
              <w:top w:val="single" w:color="D3D1C7" w:sz="1"/>
              <w:left w:val="single" w:color="D3D1C7" w:sz="1"/>
              <w:bottom w:val="single" w:color="D3D1C7" w:sz="1"/>
              <w:right w:val="single" w:color="D3D1C7" w:sz="1"/>
            </w:tcBorders>
            <w:shd w:fill="1A8A9E" w:val="clear"/>
            <w:tcMar>
              <w:top w:type="dxa" w:w="120"/>
              <w:left w:type="dxa" w:w="120"/>
              <w:bottom w:type="dxa" w:w="120"/>
              <w:right w:type="dxa" w:w="120"/>
            </w:tcMar>
          </w:tcPr>
          <w:p>
            <w:r>
              <w:rPr>
                <w:rFonts w:ascii="Arial" w:cs="Arial" w:eastAsia="Arial" w:hAnsi="Arial"/>
                <w:b/>
                <w:bCs/>
                <w:color w:val="FFFFFF"/>
                <w:sz w:val="18"/>
                <w:szCs w:val="18"/>
              </w:rPr>
              <w:t xml:space="preserve">#1A8A9E</w:t>
            </w:r>
          </w:p>
        </w:tc>
        <w:tc>
          <w:tcPr>
            <w:tcW w:type="dxa" w:w="240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b/>
                <w:bCs/>
                <w:color w:val="2C2C2A"/>
                <w:sz w:val="20"/>
                <w:szCs w:val="20"/>
              </w:rPr>
              <w:t xml:space="preserve">Bright teal</w:t>
            </w:r>
          </w:p>
        </w:tc>
        <w:tc>
          <w:tcPr>
            <w:tcW w:type="dxa" w:w="576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color w:val="5F5E5A"/>
                <w:sz w:val="20"/>
                <w:szCs w:val="20"/>
              </w:rPr>
              <w:t xml:space="preserve">Dark mode icon background, hover highlights</w:t>
            </w:r>
          </w:p>
        </w:tc>
      </w:tr>
      <w:tr>
        <w:tc>
          <w:tcPr>
            <w:tcW w:type="dxa" w:w="1200"/>
            <w:tcBorders>
              <w:top w:val="single" w:color="D3D1C7" w:sz="1"/>
              <w:left w:val="single" w:color="D3D1C7" w:sz="1"/>
              <w:bottom w:val="single" w:color="D3D1C7" w:sz="1"/>
              <w:right w:val="single" w:color="D3D1C7" w:sz="1"/>
            </w:tcBorders>
            <w:shd w:fill="5DC4D4" w:val="clear"/>
            <w:tcMar>
              <w:top w:type="dxa" w:w="120"/>
              <w:left w:type="dxa" w:w="120"/>
              <w:bottom w:type="dxa" w:w="120"/>
              <w:right w:type="dxa" w:w="120"/>
            </w:tcMar>
          </w:tcPr>
          <w:p>
            <w:r>
              <w:rPr>
                <w:rFonts w:ascii="Arial" w:cs="Arial" w:eastAsia="Arial" w:hAnsi="Arial"/>
                <w:b/>
                <w:bCs/>
                <w:color w:val="062C36"/>
                <w:sz w:val="18"/>
                <w:szCs w:val="18"/>
              </w:rPr>
              <w:t xml:space="preserve">#5DC4D4</w:t>
            </w:r>
          </w:p>
        </w:tc>
        <w:tc>
          <w:tcPr>
            <w:tcW w:type="dxa" w:w="240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b/>
                <w:bCs/>
                <w:color w:val="2C2C2A"/>
                <w:sz w:val="20"/>
                <w:szCs w:val="20"/>
              </w:rPr>
              <w:t xml:space="preserve">Light teal</w:t>
            </w:r>
          </w:p>
        </w:tc>
        <w:tc>
          <w:tcPr>
            <w:tcW w:type="dxa" w:w="576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color w:val="5F5E5A"/>
                <w:sz w:val="20"/>
                <w:szCs w:val="20"/>
              </w:rPr>
              <w:t xml:space="preserve">Tagline colour on dark, secondary links</w:t>
            </w:r>
          </w:p>
        </w:tc>
      </w:tr>
      <w:tr>
        <w:tc>
          <w:tcPr>
            <w:tcW w:type="dxa" w:w="1200"/>
            <w:tcBorders>
              <w:top w:val="single" w:color="D3D1C7" w:sz="1"/>
              <w:left w:val="single" w:color="D3D1C7" w:sz="1"/>
              <w:bottom w:val="single" w:color="D3D1C7" w:sz="1"/>
              <w:right w:val="single" w:color="D3D1C7" w:sz="1"/>
            </w:tcBorders>
            <w:shd w:fill="A3DDE6" w:val="clear"/>
            <w:tcMar>
              <w:top w:type="dxa" w:w="120"/>
              <w:left w:type="dxa" w:w="120"/>
              <w:bottom w:type="dxa" w:w="120"/>
              <w:right w:type="dxa" w:w="120"/>
            </w:tcMar>
          </w:tcPr>
          <w:p>
            <w:r>
              <w:rPr>
                <w:rFonts w:ascii="Arial" w:cs="Arial" w:eastAsia="Arial" w:hAnsi="Arial"/>
                <w:b/>
                <w:bCs/>
                <w:color w:val="062C36"/>
                <w:sz w:val="18"/>
                <w:szCs w:val="18"/>
              </w:rPr>
              <w:t xml:space="preserve">#A3DDE6</w:t>
            </w:r>
          </w:p>
        </w:tc>
        <w:tc>
          <w:tcPr>
            <w:tcW w:type="dxa" w:w="240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b/>
                <w:bCs/>
                <w:color w:val="2C2C2A"/>
                <w:sz w:val="20"/>
                <w:szCs w:val="20"/>
              </w:rPr>
              <w:t xml:space="preserve">Pale teal</w:t>
            </w:r>
          </w:p>
        </w:tc>
        <w:tc>
          <w:tcPr>
            <w:tcW w:type="dxa" w:w="576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color w:val="5F5E5A"/>
                <w:sz w:val="20"/>
                <w:szCs w:val="20"/>
              </w:rPr>
              <w:t xml:space="preserve">Dividers, subtle borders, chart fills</w:t>
            </w:r>
          </w:p>
        </w:tc>
      </w:tr>
      <w:tr>
        <w:tc>
          <w:tcPr>
            <w:tcW w:type="dxa" w:w="1200"/>
            <w:tcBorders>
              <w:top w:val="single" w:color="D3D1C7" w:sz="1"/>
              <w:left w:val="single" w:color="D3D1C7" w:sz="1"/>
              <w:bottom w:val="single" w:color="D3D1C7" w:sz="1"/>
              <w:right w:val="single" w:color="D3D1C7" w:sz="1"/>
            </w:tcBorders>
            <w:shd w:fill="E0F4F7" w:val="clear"/>
            <w:tcMar>
              <w:top w:type="dxa" w:w="120"/>
              <w:left w:type="dxa" w:w="120"/>
              <w:bottom w:type="dxa" w:w="120"/>
              <w:right w:type="dxa" w:w="120"/>
            </w:tcMar>
          </w:tcPr>
          <w:p>
            <w:r>
              <w:rPr>
                <w:rFonts w:ascii="Arial" w:cs="Arial" w:eastAsia="Arial" w:hAnsi="Arial"/>
                <w:b/>
                <w:bCs/>
                <w:color w:val="062C36"/>
                <w:sz w:val="18"/>
                <w:szCs w:val="18"/>
              </w:rPr>
              <w:t xml:space="preserve">#E0F4F7</w:t>
            </w:r>
          </w:p>
        </w:tc>
        <w:tc>
          <w:tcPr>
            <w:tcW w:type="dxa" w:w="240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b/>
                <w:bCs/>
                <w:color w:val="2C2C2A"/>
                <w:sz w:val="20"/>
                <w:szCs w:val="20"/>
              </w:rPr>
              <w:t xml:space="preserve">Ghost teal</w:t>
            </w:r>
          </w:p>
        </w:tc>
        <w:tc>
          <w:tcPr>
            <w:tcW w:type="dxa" w:w="576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color w:val="5F5E5A"/>
                <w:sz w:val="20"/>
                <w:szCs w:val="20"/>
              </w:rPr>
              <w:t xml:space="preserve">Light backgrounds, table row alternates, input fill</w:t>
            </w:r>
          </w:p>
        </w:tc>
      </w:tr>
    </w:tbl>
    <w:p>
      <w:pPr>
        <w:spacing w:after="0" w:before="320"/>
      </w:pPr>
    </w:p>
    <w:p>
      <w:pPr>
        <w:pStyle w:val="Heading2"/>
        <w:spacing w:after="120" w:before="320"/>
      </w:pPr>
      <w:r>
        <w:rPr>
          <w:rFonts w:ascii="Arial" w:cs="Arial" w:eastAsia="Arial" w:hAnsi="Arial"/>
          <w:b/>
          <w:bCs/>
          <w:color w:val="0E5F6E"/>
          <w:sz w:val="26"/>
          <w:szCs w:val="26"/>
        </w:rPr>
        <w:t xml:space="preserve">3.2 Chart &amp; accent colours</w:t>
      </w:r>
    </w:p>
    <w:p>
      <w:pPr>
        <w:spacing w:after="80" w:before="80"/>
      </w:pPr>
      <w:r>
        <w:rPr>
          <w:rFonts w:ascii="Arial" w:cs="Arial" w:eastAsia="Arial" w:hAnsi="Arial"/>
          <w:color w:val="2C2C2A"/>
          <w:sz w:val="22"/>
          <w:szCs w:val="22"/>
        </w:rPr>
        <w:t xml:space="preserve">These five colours are used for data visualisation and semantic UI states. They are chosen to be visually distinct from the teal core while remaining cohesive with the overall palette.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D3D1C7" w:sz="1"/>
              <w:left w:val="single" w:color="D3D1C7" w:sz="1"/>
              <w:bottom w:val="single" w:color="D3D1C7" w:sz="1"/>
              <w:right w:val="single" w:color="D3D1C7" w:sz="1"/>
            </w:tcBorders>
            <w:shd w:fill="0A4452" w:val="clear"/>
            <w:tcMar>
              <w:top w:type="dxa" w:w="100"/>
              <w:left w:type="dxa" w:w="160"/>
              <w:bottom w:type="dxa" w:w="100"/>
              <w:right w:type="dxa" w:w="120"/>
            </w:tcMar>
          </w:tcPr>
          <w:p>
            <w:r>
              <w:rPr>
                <w:rFonts w:ascii="Arial" w:cs="Arial" w:eastAsia="Arial" w:hAnsi="Arial"/>
                <w:b/>
                <w:bCs/>
                <w:color w:val="FFFFFF"/>
                <w:sz w:val="20"/>
                <w:szCs w:val="20"/>
              </w:rPr>
              <w:t xml:space="preserve">Swatch</w:t>
            </w:r>
          </w:p>
        </w:tc>
        <w:tc>
          <w:tcPr>
            <w:tcW w:type="dxa" w:w="2400"/>
            <w:tcBorders>
              <w:top w:val="single" w:color="D3D1C7" w:sz="1"/>
              <w:left w:val="single" w:color="D3D1C7" w:sz="1"/>
              <w:bottom w:val="single" w:color="D3D1C7" w:sz="1"/>
              <w:right w:val="single" w:color="D3D1C7" w:sz="1"/>
            </w:tcBorders>
            <w:shd w:fill="0A4452" w:val="clear"/>
            <w:tcMar>
              <w:top w:type="dxa" w:w="100"/>
              <w:left w:type="dxa" w:w="160"/>
              <w:bottom w:type="dxa" w:w="100"/>
              <w:right w:type="dxa" w:w="120"/>
            </w:tcMar>
          </w:tcPr>
          <w:p>
            <w:r>
              <w:rPr>
                <w:rFonts w:ascii="Arial" w:cs="Arial" w:eastAsia="Arial" w:hAnsi="Arial"/>
                <w:b/>
                <w:bCs/>
                <w:color w:val="FFFFFF"/>
                <w:sz w:val="20"/>
                <w:szCs w:val="20"/>
              </w:rPr>
              <w:t xml:space="preserve">Name</w:t>
            </w:r>
          </w:p>
        </w:tc>
        <w:tc>
          <w:tcPr>
            <w:tcW w:type="dxa" w:w="5760"/>
            <w:tcBorders>
              <w:top w:val="single" w:color="D3D1C7" w:sz="1"/>
              <w:left w:val="single" w:color="D3D1C7" w:sz="1"/>
              <w:bottom w:val="single" w:color="D3D1C7" w:sz="1"/>
              <w:right w:val="single" w:color="D3D1C7" w:sz="1"/>
            </w:tcBorders>
            <w:shd w:fill="0A4452" w:val="clear"/>
            <w:tcMar>
              <w:top w:type="dxa" w:w="100"/>
              <w:left w:type="dxa" w:w="160"/>
              <w:bottom w:type="dxa" w:w="100"/>
              <w:right w:type="dxa" w:w="120"/>
            </w:tcMar>
          </w:tcPr>
          <w:p>
            <w:r>
              <w:rPr>
                <w:rFonts w:ascii="Arial" w:cs="Arial" w:eastAsia="Arial" w:hAnsi="Arial"/>
                <w:b/>
                <w:bCs/>
                <w:color w:val="FFFFFF"/>
                <w:sz w:val="20"/>
                <w:szCs w:val="20"/>
              </w:rPr>
              <w:t xml:space="preserve">Usage</w:t>
            </w:r>
          </w:p>
        </w:tc>
      </w:tr>
      <w:tr>
        <w:tc>
          <w:tcPr>
            <w:tcW w:type="dxa" w:w="1200"/>
            <w:tcBorders>
              <w:top w:val="single" w:color="D3D1C7" w:sz="1"/>
              <w:left w:val="single" w:color="D3D1C7" w:sz="1"/>
              <w:bottom w:val="single" w:color="D3D1C7" w:sz="1"/>
              <w:right w:val="single" w:color="D3D1C7" w:sz="1"/>
            </w:tcBorders>
            <w:shd w:fill="C27D1A" w:val="clear"/>
            <w:tcMar>
              <w:top w:type="dxa" w:w="120"/>
              <w:left w:type="dxa" w:w="120"/>
              <w:bottom w:type="dxa" w:w="120"/>
              <w:right w:type="dxa" w:w="120"/>
            </w:tcMar>
          </w:tcPr>
          <w:p>
            <w:r>
              <w:rPr>
                <w:rFonts w:ascii="Arial" w:cs="Arial" w:eastAsia="Arial" w:hAnsi="Arial"/>
                <w:b/>
                <w:bCs/>
                <w:color w:val="FFFFFF"/>
                <w:sz w:val="18"/>
                <w:szCs w:val="18"/>
              </w:rPr>
              <w:t xml:space="preserve">#C27D1A</w:t>
            </w:r>
          </w:p>
        </w:tc>
        <w:tc>
          <w:tcPr>
            <w:tcW w:type="dxa" w:w="240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b/>
                <w:bCs/>
                <w:color w:val="2C2C2A"/>
                <w:sz w:val="20"/>
                <w:szCs w:val="20"/>
              </w:rPr>
              <w:t xml:space="preserve">Amber</w:t>
            </w:r>
          </w:p>
        </w:tc>
        <w:tc>
          <w:tcPr>
            <w:tcW w:type="dxa" w:w="576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color w:val="5F5E5A"/>
                <w:sz w:val="20"/>
                <w:szCs w:val="20"/>
              </w:rPr>
              <w:t xml:space="preserve">Warnings, pending states, highlights in charts</w:t>
            </w:r>
          </w:p>
        </w:tc>
      </w:tr>
      <w:tr>
        <w:tc>
          <w:tcPr>
            <w:tcW w:type="dxa" w:w="1200"/>
            <w:tcBorders>
              <w:top w:val="single" w:color="D3D1C7" w:sz="1"/>
              <w:left w:val="single" w:color="D3D1C7" w:sz="1"/>
              <w:bottom w:val="single" w:color="D3D1C7" w:sz="1"/>
              <w:right w:val="single" w:color="D3D1C7" w:sz="1"/>
            </w:tcBorders>
            <w:shd w:fill="F5C842" w:val="clear"/>
            <w:tcMar>
              <w:top w:type="dxa" w:w="120"/>
              <w:left w:type="dxa" w:w="120"/>
              <w:bottom w:type="dxa" w:w="120"/>
              <w:right w:type="dxa" w:w="120"/>
            </w:tcMar>
          </w:tcPr>
          <w:p>
            <w:r>
              <w:rPr>
                <w:rFonts w:ascii="Arial" w:cs="Arial" w:eastAsia="Arial" w:hAnsi="Arial"/>
                <w:b/>
                <w:bCs/>
                <w:color w:val="062C36"/>
                <w:sz w:val="18"/>
                <w:szCs w:val="18"/>
              </w:rPr>
              <w:t xml:space="preserve">#F5C842</w:t>
            </w:r>
          </w:p>
        </w:tc>
        <w:tc>
          <w:tcPr>
            <w:tcW w:type="dxa" w:w="240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b/>
                <w:bCs/>
                <w:color w:val="2C2C2A"/>
                <w:sz w:val="20"/>
                <w:szCs w:val="20"/>
              </w:rPr>
              <w:t xml:space="preserve">Amber light</w:t>
            </w:r>
          </w:p>
        </w:tc>
        <w:tc>
          <w:tcPr>
            <w:tcW w:type="dxa" w:w="576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color w:val="5F5E5A"/>
                <w:sz w:val="20"/>
                <w:szCs w:val="20"/>
              </w:rPr>
              <w:t xml:space="preserve">Amber chart fills, tag backgrounds</w:t>
            </w:r>
          </w:p>
        </w:tc>
      </w:tr>
      <w:tr>
        <w:tc>
          <w:tcPr>
            <w:tcW w:type="dxa" w:w="1200"/>
            <w:tcBorders>
              <w:top w:val="single" w:color="D3D1C7" w:sz="1"/>
              <w:left w:val="single" w:color="D3D1C7" w:sz="1"/>
              <w:bottom w:val="single" w:color="D3D1C7" w:sz="1"/>
              <w:right w:val="single" w:color="D3D1C7" w:sz="1"/>
            </w:tcBorders>
            <w:shd w:fill="C4432A" w:val="clear"/>
            <w:tcMar>
              <w:top w:type="dxa" w:w="120"/>
              <w:left w:type="dxa" w:w="120"/>
              <w:bottom w:type="dxa" w:w="120"/>
              <w:right w:type="dxa" w:w="120"/>
            </w:tcMar>
          </w:tcPr>
          <w:p>
            <w:r>
              <w:rPr>
                <w:rFonts w:ascii="Arial" w:cs="Arial" w:eastAsia="Arial" w:hAnsi="Arial"/>
                <w:b/>
                <w:bCs/>
                <w:color w:val="FFFFFF"/>
                <w:sz w:val="18"/>
                <w:szCs w:val="18"/>
              </w:rPr>
              <w:t xml:space="preserve">#C4432A</w:t>
            </w:r>
          </w:p>
        </w:tc>
        <w:tc>
          <w:tcPr>
            <w:tcW w:type="dxa" w:w="240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b/>
                <w:bCs/>
                <w:color w:val="2C2C2A"/>
                <w:sz w:val="20"/>
                <w:szCs w:val="20"/>
              </w:rPr>
              <w:t xml:space="preserve">Coral</w:t>
            </w:r>
          </w:p>
        </w:tc>
        <w:tc>
          <w:tcPr>
            <w:tcW w:type="dxa" w:w="576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color w:val="5F5E5A"/>
                <w:sz w:val="20"/>
                <w:szCs w:val="20"/>
              </w:rPr>
              <w:t xml:space="preserve">Errors, danger states, destructive actions</w:t>
            </w:r>
          </w:p>
        </w:tc>
      </w:tr>
      <w:tr>
        <w:tc>
          <w:tcPr>
            <w:tcW w:type="dxa" w:w="1200"/>
            <w:tcBorders>
              <w:top w:val="single" w:color="D3D1C7" w:sz="1"/>
              <w:left w:val="single" w:color="D3D1C7" w:sz="1"/>
              <w:bottom w:val="single" w:color="D3D1C7" w:sz="1"/>
              <w:right w:val="single" w:color="D3D1C7" w:sz="1"/>
            </w:tcBorders>
            <w:shd w:fill="F28B74" w:val="clear"/>
            <w:tcMar>
              <w:top w:type="dxa" w:w="120"/>
              <w:left w:type="dxa" w:w="120"/>
              <w:bottom w:type="dxa" w:w="120"/>
              <w:right w:type="dxa" w:w="120"/>
            </w:tcMar>
          </w:tcPr>
          <w:p>
            <w:r>
              <w:rPr>
                <w:rFonts w:ascii="Arial" w:cs="Arial" w:eastAsia="Arial" w:hAnsi="Arial"/>
                <w:b/>
                <w:bCs/>
                <w:color w:val="062C36"/>
                <w:sz w:val="18"/>
                <w:szCs w:val="18"/>
              </w:rPr>
              <w:t xml:space="preserve">#F28B74</w:t>
            </w:r>
          </w:p>
        </w:tc>
        <w:tc>
          <w:tcPr>
            <w:tcW w:type="dxa" w:w="240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b/>
                <w:bCs/>
                <w:color w:val="2C2C2A"/>
                <w:sz w:val="20"/>
                <w:szCs w:val="20"/>
              </w:rPr>
              <w:t xml:space="preserve">Coral light</w:t>
            </w:r>
          </w:p>
        </w:tc>
        <w:tc>
          <w:tcPr>
            <w:tcW w:type="dxa" w:w="576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color w:val="5F5E5A"/>
                <w:sz w:val="20"/>
                <w:szCs w:val="20"/>
              </w:rPr>
              <w:t xml:space="preserve">Coral chart fills, error backgrounds</w:t>
            </w:r>
          </w:p>
        </w:tc>
      </w:tr>
      <w:tr>
        <w:tc>
          <w:tcPr>
            <w:tcW w:type="dxa" w:w="1200"/>
            <w:tcBorders>
              <w:top w:val="single" w:color="D3D1C7" w:sz="1"/>
              <w:left w:val="single" w:color="D3D1C7" w:sz="1"/>
              <w:bottom w:val="single" w:color="D3D1C7" w:sz="1"/>
              <w:right w:val="single" w:color="D3D1C7" w:sz="1"/>
            </w:tcBorders>
            <w:shd w:fill="5B3FA6" w:val="clear"/>
            <w:tcMar>
              <w:top w:type="dxa" w:w="120"/>
              <w:left w:type="dxa" w:w="120"/>
              <w:bottom w:type="dxa" w:w="120"/>
              <w:right w:type="dxa" w:w="120"/>
            </w:tcMar>
          </w:tcPr>
          <w:p>
            <w:r>
              <w:rPr>
                <w:rFonts w:ascii="Arial" w:cs="Arial" w:eastAsia="Arial" w:hAnsi="Arial"/>
                <w:b/>
                <w:bCs/>
                <w:color w:val="FFFFFF"/>
                <w:sz w:val="18"/>
                <w:szCs w:val="18"/>
              </w:rPr>
              <w:t xml:space="preserve">#5B3FA6</w:t>
            </w:r>
          </w:p>
        </w:tc>
        <w:tc>
          <w:tcPr>
            <w:tcW w:type="dxa" w:w="240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b/>
                <w:bCs/>
                <w:color w:val="2C2C2A"/>
                <w:sz w:val="20"/>
                <w:szCs w:val="20"/>
              </w:rPr>
              <w:t xml:space="preserve">Violet</w:t>
            </w:r>
          </w:p>
        </w:tc>
        <w:tc>
          <w:tcPr>
            <w:tcW w:type="dxa" w:w="576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color w:val="5F5E5A"/>
                <w:sz w:val="20"/>
                <w:szCs w:val="20"/>
              </w:rPr>
              <w:t xml:space="preserve">Secondary data series in charts, badges</w:t>
            </w:r>
          </w:p>
        </w:tc>
      </w:tr>
      <w:tr>
        <w:tc>
          <w:tcPr>
            <w:tcW w:type="dxa" w:w="1200"/>
            <w:tcBorders>
              <w:top w:val="single" w:color="D3D1C7" w:sz="1"/>
              <w:left w:val="single" w:color="D3D1C7" w:sz="1"/>
              <w:bottom w:val="single" w:color="D3D1C7" w:sz="1"/>
              <w:right w:val="single" w:color="D3D1C7" w:sz="1"/>
            </w:tcBorders>
            <w:shd w:fill="A98FE0" w:val="clear"/>
            <w:tcMar>
              <w:top w:type="dxa" w:w="120"/>
              <w:left w:type="dxa" w:w="120"/>
              <w:bottom w:type="dxa" w:w="120"/>
              <w:right w:type="dxa" w:w="120"/>
            </w:tcMar>
          </w:tcPr>
          <w:p>
            <w:r>
              <w:rPr>
                <w:rFonts w:ascii="Arial" w:cs="Arial" w:eastAsia="Arial" w:hAnsi="Arial"/>
                <w:b/>
                <w:bCs/>
                <w:color w:val="062C36"/>
                <w:sz w:val="18"/>
                <w:szCs w:val="18"/>
              </w:rPr>
              <w:t xml:space="preserve">#A98FE0</w:t>
            </w:r>
          </w:p>
        </w:tc>
        <w:tc>
          <w:tcPr>
            <w:tcW w:type="dxa" w:w="240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b/>
                <w:bCs/>
                <w:color w:val="2C2C2A"/>
                <w:sz w:val="20"/>
                <w:szCs w:val="20"/>
              </w:rPr>
              <w:t xml:space="preserve">Violet light</w:t>
            </w:r>
          </w:p>
        </w:tc>
        <w:tc>
          <w:tcPr>
            <w:tcW w:type="dxa" w:w="576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color w:val="5F5E5A"/>
                <w:sz w:val="20"/>
                <w:szCs w:val="20"/>
              </w:rPr>
              <w:t xml:space="preserve">Violet chart fills, info highlights</w:t>
            </w:r>
          </w:p>
        </w:tc>
      </w:tr>
      <w:tr>
        <w:tc>
          <w:tcPr>
            <w:tcW w:type="dxa" w:w="1200"/>
            <w:tcBorders>
              <w:top w:val="single" w:color="D3D1C7" w:sz="1"/>
              <w:left w:val="single" w:color="D3D1C7" w:sz="1"/>
              <w:bottom w:val="single" w:color="D3D1C7" w:sz="1"/>
              <w:right w:val="single" w:color="D3D1C7" w:sz="1"/>
            </w:tcBorders>
            <w:shd w:fill="3D5166" w:val="clear"/>
            <w:tcMar>
              <w:top w:type="dxa" w:w="120"/>
              <w:left w:type="dxa" w:w="120"/>
              <w:bottom w:type="dxa" w:w="120"/>
              <w:right w:type="dxa" w:w="120"/>
            </w:tcMar>
          </w:tcPr>
          <w:p>
            <w:r>
              <w:rPr>
                <w:rFonts w:ascii="Arial" w:cs="Arial" w:eastAsia="Arial" w:hAnsi="Arial"/>
                <w:b/>
                <w:bCs/>
                <w:color w:val="FFFFFF"/>
                <w:sz w:val="18"/>
                <w:szCs w:val="18"/>
              </w:rPr>
              <w:t xml:space="preserve">#3D5166</w:t>
            </w:r>
          </w:p>
        </w:tc>
        <w:tc>
          <w:tcPr>
            <w:tcW w:type="dxa" w:w="240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b/>
                <w:bCs/>
                <w:color w:val="2C2C2A"/>
                <w:sz w:val="20"/>
                <w:szCs w:val="20"/>
              </w:rPr>
              <w:t xml:space="preserve">Slate</w:t>
            </w:r>
          </w:p>
        </w:tc>
        <w:tc>
          <w:tcPr>
            <w:tcW w:type="dxa" w:w="576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color w:val="5F5E5A"/>
                <w:sz w:val="20"/>
                <w:szCs w:val="20"/>
              </w:rPr>
              <w:t xml:space="preserve">Neutral data, disabled states, metadata</w:t>
            </w:r>
          </w:p>
        </w:tc>
      </w:tr>
      <w:tr>
        <w:tc>
          <w:tcPr>
            <w:tcW w:type="dxa" w:w="1200"/>
            <w:tcBorders>
              <w:top w:val="single" w:color="D3D1C7" w:sz="1"/>
              <w:left w:val="single" w:color="D3D1C7" w:sz="1"/>
              <w:bottom w:val="single" w:color="D3D1C7" w:sz="1"/>
              <w:right w:val="single" w:color="D3D1C7" w:sz="1"/>
            </w:tcBorders>
            <w:shd w:fill="8DA5B8" w:val="clear"/>
            <w:tcMar>
              <w:top w:type="dxa" w:w="120"/>
              <w:left w:type="dxa" w:w="120"/>
              <w:bottom w:type="dxa" w:w="120"/>
              <w:right w:type="dxa" w:w="120"/>
            </w:tcMar>
          </w:tcPr>
          <w:p>
            <w:r>
              <w:rPr>
                <w:rFonts w:ascii="Arial" w:cs="Arial" w:eastAsia="Arial" w:hAnsi="Arial"/>
                <w:b/>
                <w:bCs/>
                <w:color w:val="062C36"/>
                <w:sz w:val="18"/>
                <w:szCs w:val="18"/>
              </w:rPr>
              <w:t xml:space="preserve">#8DA5B8</w:t>
            </w:r>
          </w:p>
        </w:tc>
        <w:tc>
          <w:tcPr>
            <w:tcW w:type="dxa" w:w="240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b/>
                <w:bCs/>
                <w:color w:val="2C2C2A"/>
                <w:sz w:val="20"/>
                <w:szCs w:val="20"/>
              </w:rPr>
              <w:t xml:space="preserve">Slate light</w:t>
            </w:r>
          </w:p>
        </w:tc>
        <w:tc>
          <w:tcPr>
            <w:tcW w:type="dxa" w:w="576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color w:val="5F5E5A"/>
                <w:sz w:val="20"/>
                <w:szCs w:val="20"/>
              </w:rPr>
              <w:t xml:space="preserve">Slate chart fills, secondary borders</w:t>
            </w:r>
          </w:p>
        </w:tc>
      </w:tr>
      <w:tr>
        <w:tc>
          <w:tcPr>
            <w:tcW w:type="dxa" w:w="1200"/>
            <w:tcBorders>
              <w:top w:val="single" w:color="D3D1C7" w:sz="1"/>
              <w:left w:val="single" w:color="D3D1C7" w:sz="1"/>
              <w:bottom w:val="single" w:color="D3D1C7" w:sz="1"/>
              <w:right w:val="single" w:color="D3D1C7" w:sz="1"/>
            </w:tcBorders>
            <w:shd w:fill="2E7D4F" w:val="clear"/>
            <w:tcMar>
              <w:top w:type="dxa" w:w="120"/>
              <w:left w:type="dxa" w:w="120"/>
              <w:bottom w:type="dxa" w:w="120"/>
              <w:right w:type="dxa" w:w="120"/>
            </w:tcMar>
          </w:tcPr>
          <w:p>
            <w:r>
              <w:rPr>
                <w:rFonts w:ascii="Arial" w:cs="Arial" w:eastAsia="Arial" w:hAnsi="Arial"/>
                <w:b/>
                <w:bCs/>
                <w:color w:val="FFFFFF"/>
                <w:sz w:val="18"/>
                <w:szCs w:val="18"/>
              </w:rPr>
              <w:t xml:space="preserve">#2E7D4F</w:t>
            </w:r>
          </w:p>
        </w:tc>
        <w:tc>
          <w:tcPr>
            <w:tcW w:type="dxa" w:w="240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b/>
                <w:bCs/>
                <w:color w:val="2C2C2A"/>
                <w:sz w:val="20"/>
                <w:szCs w:val="20"/>
              </w:rPr>
              <w:t xml:space="preserve">Grass</w:t>
            </w:r>
          </w:p>
        </w:tc>
        <w:tc>
          <w:tcPr>
            <w:tcW w:type="dxa" w:w="576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color w:val="5F5E5A"/>
                <w:sz w:val="20"/>
                <w:szCs w:val="20"/>
              </w:rPr>
              <w:t xml:space="preserve">Success, synced states, positive indicators</w:t>
            </w:r>
          </w:p>
        </w:tc>
      </w:tr>
      <w:tr>
        <w:tc>
          <w:tcPr>
            <w:tcW w:type="dxa" w:w="1200"/>
            <w:tcBorders>
              <w:top w:val="single" w:color="D3D1C7" w:sz="1"/>
              <w:left w:val="single" w:color="D3D1C7" w:sz="1"/>
              <w:bottom w:val="single" w:color="D3D1C7" w:sz="1"/>
              <w:right w:val="single" w:color="D3D1C7" w:sz="1"/>
            </w:tcBorders>
            <w:shd w:fill="7EC99A" w:val="clear"/>
            <w:tcMar>
              <w:top w:type="dxa" w:w="120"/>
              <w:left w:type="dxa" w:w="120"/>
              <w:bottom w:type="dxa" w:w="120"/>
              <w:right w:type="dxa" w:w="120"/>
            </w:tcMar>
          </w:tcPr>
          <w:p>
            <w:r>
              <w:rPr>
                <w:rFonts w:ascii="Arial" w:cs="Arial" w:eastAsia="Arial" w:hAnsi="Arial"/>
                <w:b/>
                <w:bCs/>
                <w:color w:val="062C36"/>
                <w:sz w:val="18"/>
                <w:szCs w:val="18"/>
              </w:rPr>
              <w:t xml:space="preserve">#7EC99A</w:t>
            </w:r>
          </w:p>
        </w:tc>
        <w:tc>
          <w:tcPr>
            <w:tcW w:type="dxa" w:w="240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b/>
                <w:bCs/>
                <w:color w:val="2C2C2A"/>
                <w:sz w:val="20"/>
                <w:szCs w:val="20"/>
              </w:rPr>
              <w:t xml:space="preserve">Grass light</w:t>
            </w:r>
          </w:p>
        </w:tc>
        <w:tc>
          <w:tcPr>
            <w:tcW w:type="dxa" w:w="576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color w:val="5F5E5A"/>
                <w:sz w:val="20"/>
                <w:szCs w:val="20"/>
              </w:rPr>
              <w:t xml:space="preserve">Grass chart fills, success backgrounds</w:t>
            </w:r>
          </w:p>
        </w:tc>
      </w:tr>
    </w:tbl>
    <w:p>
      <w:pPr>
        <w:spacing w:after="0" w:before="320"/>
      </w:pPr>
    </w:p>
    <w:p>
      <w:pPr>
        <w:pStyle w:val="Heading2"/>
        <w:spacing w:after="120" w:before="320"/>
      </w:pPr>
      <w:r>
        <w:rPr>
          <w:rFonts w:ascii="Arial" w:cs="Arial" w:eastAsia="Arial" w:hAnsi="Arial"/>
          <w:b/>
          <w:bCs/>
          <w:color w:val="0E5F6E"/>
          <w:sz w:val="26"/>
          <w:szCs w:val="26"/>
        </w:rPr>
        <w:t xml:space="preserve">3.3 Neutral greys</w:t>
      </w:r>
    </w:p>
    <w:p>
      <w:pPr>
        <w:spacing w:after="80" w:before="80"/>
      </w:pPr>
      <w:r>
        <w:rPr>
          <w:rFonts w:ascii="Arial" w:cs="Arial" w:eastAsia="Arial" w:hAnsi="Arial"/>
          <w:color w:val="2C2C2A"/>
          <w:sz w:val="22"/>
          <w:szCs w:val="22"/>
        </w:rPr>
        <w:t xml:space="preserve">Use these for text, borders, and UI chrome. Do not substitute brand teal for these roles.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D3D1C7" w:sz="1"/>
              <w:left w:val="single" w:color="D3D1C7" w:sz="1"/>
              <w:bottom w:val="single" w:color="D3D1C7" w:sz="1"/>
              <w:right w:val="single" w:color="D3D1C7" w:sz="1"/>
            </w:tcBorders>
            <w:shd w:fill="0A4452" w:val="clear"/>
            <w:tcMar>
              <w:top w:type="dxa" w:w="100"/>
              <w:left w:type="dxa" w:w="160"/>
              <w:bottom w:type="dxa" w:w="100"/>
              <w:right w:type="dxa" w:w="120"/>
            </w:tcMar>
          </w:tcPr>
          <w:p>
            <w:r>
              <w:rPr>
                <w:rFonts w:ascii="Arial" w:cs="Arial" w:eastAsia="Arial" w:hAnsi="Arial"/>
                <w:b/>
                <w:bCs/>
                <w:color w:val="FFFFFF"/>
                <w:sz w:val="20"/>
                <w:szCs w:val="20"/>
              </w:rPr>
              <w:t xml:space="preserve">Swatch</w:t>
            </w:r>
          </w:p>
        </w:tc>
        <w:tc>
          <w:tcPr>
            <w:tcW w:type="dxa" w:w="2400"/>
            <w:tcBorders>
              <w:top w:val="single" w:color="D3D1C7" w:sz="1"/>
              <w:left w:val="single" w:color="D3D1C7" w:sz="1"/>
              <w:bottom w:val="single" w:color="D3D1C7" w:sz="1"/>
              <w:right w:val="single" w:color="D3D1C7" w:sz="1"/>
            </w:tcBorders>
            <w:shd w:fill="0A4452" w:val="clear"/>
            <w:tcMar>
              <w:top w:type="dxa" w:w="100"/>
              <w:left w:type="dxa" w:w="160"/>
              <w:bottom w:type="dxa" w:w="100"/>
              <w:right w:type="dxa" w:w="120"/>
            </w:tcMar>
          </w:tcPr>
          <w:p>
            <w:r>
              <w:rPr>
                <w:rFonts w:ascii="Arial" w:cs="Arial" w:eastAsia="Arial" w:hAnsi="Arial"/>
                <w:b/>
                <w:bCs/>
                <w:color w:val="FFFFFF"/>
                <w:sz w:val="20"/>
                <w:szCs w:val="20"/>
              </w:rPr>
              <w:t xml:space="preserve">Name</w:t>
            </w:r>
          </w:p>
        </w:tc>
        <w:tc>
          <w:tcPr>
            <w:tcW w:type="dxa" w:w="5760"/>
            <w:tcBorders>
              <w:top w:val="single" w:color="D3D1C7" w:sz="1"/>
              <w:left w:val="single" w:color="D3D1C7" w:sz="1"/>
              <w:bottom w:val="single" w:color="D3D1C7" w:sz="1"/>
              <w:right w:val="single" w:color="D3D1C7" w:sz="1"/>
            </w:tcBorders>
            <w:shd w:fill="0A4452" w:val="clear"/>
            <w:tcMar>
              <w:top w:type="dxa" w:w="100"/>
              <w:left w:type="dxa" w:w="160"/>
              <w:bottom w:type="dxa" w:w="100"/>
              <w:right w:type="dxa" w:w="120"/>
            </w:tcMar>
          </w:tcPr>
          <w:p>
            <w:r>
              <w:rPr>
                <w:rFonts w:ascii="Arial" w:cs="Arial" w:eastAsia="Arial" w:hAnsi="Arial"/>
                <w:b/>
                <w:bCs/>
                <w:color w:val="FFFFFF"/>
                <w:sz w:val="20"/>
                <w:szCs w:val="20"/>
              </w:rPr>
              <w:t xml:space="preserve">Usage</w:t>
            </w:r>
          </w:p>
        </w:tc>
      </w:tr>
      <w:tr>
        <w:tc>
          <w:tcPr>
            <w:tcW w:type="dxa" w:w="1200"/>
            <w:tcBorders>
              <w:top w:val="single" w:color="D3D1C7" w:sz="1"/>
              <w:left w:val="single" w:color="D3D1C7" w:sz="1"/>
              <w:bottom w:val="single" w:color="D3D1C7" w:sz="1"/>
              <w:right w:val="single" w:color="D3D1C7" w:sz="1"/>
            </w:tcBorders>
            <w:shd w:fill="111111" w:val="clear"/>
            <w:tcMar>
              <w:top w:type="dxa" w:w="120"/>
              <w:left w:type="dxa" w:w="120"/>
              <w:bottom w:type="dxa" w:w="120"/>
              <w:right w:type="dxa" w:w="120"/>
            </w:tcMar>
          </w:tcPr>
          <w:p>
            <w:r>
              <w:rPr>
                <w:rFonts w:ascii="Arial" w:cs="Arial" w:eastAsia="Arial" w:hAnsi="Arial"/>
                <w:b/>
                <w:bCs/>
                <w:color w:val="FFFFFF"/>
                <w:sz w:val="18"/>
                <w:szCs w:val="18"/>
              </w:rPr>
              <w:t xml:space="preserve">#111111</w:t>
            </w:r>
          </w:p>
        </w:tc>
        <w:tc>
          <w:tcPr>
            <w:tcW w:type="dxa" w:w="240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b/>
                <w:bCs/>
                <w:color w:val="2C2C2A"/>
                <w:sz w:val="20"/>
                <w:szCs w:val="20"/>
              </w:rPr>
              <w:t xml:space="preserve">Black</w:t>
            </w:r>
          </w:p>
        </w:tc>
        <w:tc>
          <w:tcPr>
            <w:tcW w:type="dxa" w:w="576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color w:val="5F5E5A"/>
                <w:sz w:val="20"/>
                <w:szCs w:val="20"/>
              </w:rPr>
              <w:t xml:space="preserve">Primary body text</w:t>
            </w:r>
          </w:p>
        </w:tc>
      </w:tr>
      <w:tr>
        <w:tc>
          <w:tcPr>
            <w:tcW w:type="dxa" w:w="1200"/>
            <w:tcBorders>
              <w:top w:val="single" w:color="D3D1C7" w:sz="1"/>
              <w:left w:val="single" w:color="D3D1C7" w:sz="1"/>
              <w:bottom w:val="single" w:color="D3D1C7" w:sz="1"/>
              <w:right w:val="single" w:color="D3D1C7" w:sz="1"/>
            </w:tcBorders>
            <w:shd w:fill="2C2C2A" w:val="clear"/>
            <w:tcMar>
              <w:top w:type="dxa" w:w="120"/>
              <w:left w:type="dxa" w:w="120"/>
              <w:bottom w:type="dxa" w:w="120"/>
              <w:right w:type="dxa" w:w="120"/>
            </w:tcMar>
          </w:tcPr>
          <w:p>
            <w:r>
              <w:rPr>
                <w:rFonts w:ascii="Arial" w:cs="Arial" w:eastAsia="Arial" w:hAnsi="Arial"/>
                <w:b/>
                <w:bCs/>
                <w:color w:val="FFFFFF"/>
                <w:sz w:val="18"/>
                <w:szCs w:val="18"/>
              </w:rPr>
              <w:t xml:space="preserve">#2C2C2A</w:t>
            </w:r>
          </w:p>
        </w:tc>
        <w:tc>
          <w:tcPr>
            <w:tcW w:type="dxa" w:w="240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b/>
                <w:bCs/>
                <w:color w:val="2C2C2A"/>
                <w:sz w:val="20"/>
                <w:szCs w:val="20"/>
              </w:rPr>
              <w:t xml:space="preserve">Dark</w:t>
            </w:r>
          </w:p>
        </w:tc>
        <w:tc>
          <w:tcPr>
            <w:tcW w:type="dxa" w:w="576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color w:val="5F5E5A"/>
                <w:sz w:val="20"/>
                <w:szCs w:val="20"/>
              </w:rPr>
              <w:t xml:space="preserve">Headings, strong labels</w:t>
            </w:r>
          </w:p>
        </w:tc>
      </w:tr>
      <w:tr>
        <w:tc>
          <w:tcPr>
            <w:tcW w:type="dxa" w:w="1200"/>
            <w:tcBorders>
              <w:top w:val="single" w:color="D3D1C7" w:sz="1"/>
              <w:left w:val="single" w:color="D3D1C7" w:sz="1"/>
              <w:bottom w:val="single" w:color="D3D1C7" w:sz="1"/>
              <w:right w:val="single" w:color="D3D1C7" w:sz="1"/>
            </w:tcBorders>
            <w:shd w:fill="5F5E5A" w:val="clear"/>
            <w:tcMar>
              <w:top w:type="dxa" w:w="120"/>
              <w:left w:type="dxa" w:w="120"/>
              <w:bottom w:type="dxa" w:w="120"/>
              <w:right w:type="dxa" w:w="120"/>
            </w:tcMar>
          </w:tcPr>
          <w:p>
            <w:r>
              <w:rPr>
                <w:rFonts w:ascii="Arial" w:cs="Arial" w:eastAsia="Arial" w:hAnsi="Arial"/>
                <w:b/>
                <w:bCs/>
                <w:color w:val="FFFFFF"/>
                <w:sz w:val="18"/>
                <w:szCs w:val="18"/>
              </w:rPr>
              <w:t xml:space="preserve">#5F5E5A</w:t>
            </w:r>
          </w:p>
        </w:tc>
        <w:tc>
          <w:tcPr>
            <w:tcW w:type="dxa" w:w="240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b/>
                <w:bCs/>
                <w:color w:val="2C2C2A"/>
                <w:sz w:val="20"/>
                <w:szCs w:val="20"/>
              </w:rPr>
              <w:t xml:space="preserve">Mid</w:t>
            </w:r>
          </w:p>
        </w:tc>
        <w:tc>
          <w:tcPr>
            <w:tcW w:type="dxa" w:w="576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color w:val="5F5E5A"/>
                <w:sz w:val="20"/>
                <w:szCs w:val="20"/>
              </w:rPr>
              <w:t xml:space="preserve">Secondary text, metadata, placeholders</w:t>
            </w:r>
          </w:p>
        </w:tc>
      </w:tr>
      <w:tr>
        <w:tc>
          <w:tcPr>
            <w:tcW w:type="dxa" w:w="1200"/>
            <w:tcBorders>
              <w:top w:val="single" w:color="D3D1C7" w:sz="1"/>
              <w:left w:val="single" w:color="D3D1C7" w:sz="1"/>
              <w:bottom w:val="single" w:color="D3D1C7" w:sz="1"/>
              <w:right w:val="single" w:color="D3D1C7" w:sz="1"/>
            </w:tcBorders>
            <w:shd w:fill="D3D1C7" w:val="clear"/>
            <w:tcMar>
              <w:top w:type="dxa" w:w="120"/>
              <w:left w:type="dxa" w:w="120"/>
              <w:bottom w:type="dxa" w:w="120"/>
              <w:right w:type="dxa" w:w="120"/>
            </w:tcMar>
          </w:tcPr>
          <w:p>
            <w:r>
              <w:rPr>
                <w:rFonts w:ascii="Arial" w:cs="Arial" w:eastAsia="Arial" w:hAnsi="Arial"/>
                <w:b/>
                <w:bCs/>
                <w:color w:val="2C2C2A"/>
                <w:sz w:val="18"/>
                <w:szCs w:val="18"/>
              </w:rPr>
              <w:t xml:space="preserve">#D3D1C7</w:t>
            </w:r>
          </w:p>
        </w:tc>
        <w:tc>
          <w:tcPr>
            <w:tcW w:type="dxa" w:w="240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b/>
                <w:bCs/>
                <w:color w:val="2C2C2A"/>
                <w:sz w:val="20"/>
                <w:szCs w:val="20"/>
              </w:rPr>
              <w:t xml:space="preserve">Light</w:t>
            </w:r>
          </w:p>
        </w:tc>
        <w:tc>
          <w:tcPr>
            <w:tcW w:type="dxa" w:w="576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color w:val="5F5E5A"/>
                <w:sz w:val="20"/>
                <w:szCs w:val="20"/>
              </w:rPr>
              <w:t xml:space="preserve">Borders, dividers, table lines</w:t>
            </w:r>
          </w:p>
        </w:tc>
      </w:tr>
      <w:tr>
        <w:tc>
          <w:tcPr>
            <w:tcW w:type="dxa" w:w="1200"/>
            <w:tcBorders>
              <w:top w:val="single" w:color="D3D1C7" w:sz="1"/>
              <w:left w:val="single" w:color="D3D1C7" w:sz="1"/>
              <w:bottom w:val="single" w:color="D3D1C7" w:sz="1"/>
              <w:right w:val="single" w:color="D3D1C7" w:sz="1"/>
            </w:tcBorders>
            <w:shd w:fill="FFFFFF" w:val="clear"/>
            <w:tcMar>
              <w:top w:type="dxa" w:w="120"/>
              <w:left w:type="dxa" w:w="120"/>
              <w:bottom w:type="dxa" w:w="120"/>
              <w:right w:type="dxa" w:w="120"/>
            </w:tcMar>
          </w:tcPr>
          <w:p>
            <w:r>
              <w:rPr>
                <w:rFonts w:ascii="Arial" w:cs="Arial" w:eastAsia="Arial" w:hAnsi="Arial"/>
                <w:b/>
                <w:bCs/>
                <w:color w:val="D3D1C7"/>
                <w:sz w:val="18"/>
                <w:szCs w:val="18"/>
              </w:rPr>
              <w:t xml:space="preserve">#FFFFFF</w:t>
            </w:r>
          </w:p>
        </w:tc>
        <w:tc>
          <w:tcPr>
            <w:tcW w:type="dxa" w:w="240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b/>
                <w:bCs/>
                <w:color w:val="2C2C2A"/>
                <w:sz w:val="20"/>
                <w:szCs w:val="20"/>
              </w:rPr>
              <w:t xml:space="preserve">White</w:t>
            </w:r>
          </w:p>
        </w:tc>
        <w:tc>
          <w:tcPr>
            <w:tcW w:type="dxa" w:w="5760"/>
            <w:tcBorders>
              <w:top w:val="single" w:color="D3D1C7" w:sz="1"/>
              <w:left w:val="single" w:color="D3D1C7" w:sz="1"/>
              <w:bottom w:val="single" w:color="D3D1C7" w:sz="1"/>
              <w:right w:val="single" w:color="D3D1C7" w:sz="1"/>
            </w:tcBorders>
            <w:tcMar>
              <w:top w:type="dxa" w:w="120"/>
              <w:left w:type="dxa" w:w="160"/>
              <w:bottom w:type="dxa" w:w="120"/>
              <w:right w:type="dxa" w:w="120"/>
            </w:tcMar>
          </w:tcPr>
          <w:p>
            <w:r>
              <w:rPr>
                <w:rFonts w:ascii="Arial" w:cs="Arial" w:eastAsia="Arial" w:hAnsi="Arial"/>
                <w:color w:val="5F5E5A"/>
                <w:sz w:val="20"/>
                <w:szCs w:val="20"/>
              </w:rPr>
              <w:t xml:space="preserve">Primary surface, card backgrounds</w:t>
            </w:r>
          </w:p>
        </w:tc>
      </w:tr>
    </w:tbl>
    <w:p>
      <w:pPr>
        <w:pBdr>
          <w:bottom w:val="single" w:color="A3DDE6" w:sz="4" w:space="1"/>
        </w:pBdr>
        <w:spacing w:after="200" w:before="200"/>
      </w:pPr>
    </w:p>
    <w:p>
      <w:pPr>
        <w:pStyle w:val="Heading1"/>
        <w:spacing w:after="160" w:before="400"/>
      </w:pPr>
      <w:r>
        <w:rPr>
          <w:rFonts w:ascii="Arial" w:cs="Arial" w:eastAsia="Arial" w:hAnsi="Arial"/>
          <w:b/>
          <w:bCs/>
          <w:color w:val="062C36"/>
          <w:sz w:val="36"/>
          <w:szCs w:val="36"/>
        </w:rPr>
        <w:t xml:space="preserve">4. Typography</w:t>
      </w:r>
    </w:p>
    <w:p>
      <w:pPr>
        <w:spacing w:after="80" w:before="80"/>
      </w:pPr>
      <w:r>
        <w:rPr>
          <w:rFonts w:ascii="Arial" w:cs="Arial" w:eastAsia="Arial" w:hAnsi="Arial"/>
          <w:color w:val="2C2C2A"/>
          <w:sz w:val="22"/>
          <w:szCs w:val="22"/>
        </w:rPr>
        <w:t xml:space="preserve">The product uses a single typeface family throughout: Arial. It is universally available and renders cleanly at all UI sizes without requiring a web font.</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rPr>
          <w:tblHeader/>
        </w:trPr>
        <w:tc>
          <w:tcPr>
            <w:tcW w:type="dxa" w:w="2400"/>
            <w:tcBorders>
              <w:top w:val="single" w:color="D3D1C7" w:sz="1"/>
              <w:left w:val="single" w:color="D3D1C7" w:sz="1"/>
              <w:bottom w:val="single" w:color="D3D1C7" w:sz="1"/>
              <w:right w:val="single" w:color="D3D1C7" w:sz="1"/>
            </w:tcBorders>
            <w:shd w:fill="0A4452" w:val="clear"/>
            <w:tcMar>
              <w:top w:type="dxa" w:w="100"/>
              <w:left w:type="dxa" w:w="160"/>
              <w:bottom w:type="dxa" w:w="100"/>
              <w:right w:type="dxa" w:w="120"/>
            </w:tcMar>
          </w:tcPr>
          <w:p>
            <w:r>
              <w:rPr>
                <w:rFonts w:ascii="Arial" w:cs="Arial" w:eastAsia="Arial" w:hAnsi="Arial"/>
                <w:b/>
                <w:bCs/>
                <w:color w:val="FFFFFF"/>
                <w:sz w:val="20"/>
                <w:szCs w:val="20"/>
              </w:rPr>
              <w:t xml:space="preserve">Role</w:t>
            </w:r>
          </w:p>
        </w:tc>
        <w:tc>
          <w:tcPr>
            <w:tcW w:type="dxa" w:w="1400"/>
            <w:tcBorders>
              <w:top w:val="single" w:color="D3D1C7" w:sz="1"/>
              <w:left w:val="single" w:color="D3D1C7" w:sz="1"/>
              <w:bottom w:val="single" w:color="D3D1C7" w:sz="1"/>
              <w:right w:val="single" w:color="D3D1C7" w:sz="1"/>
            </w:tcBorders>
            <w:shd w:fill="0A4452" w:val="clear"/>
            <w:tcMar>
              <w:top w:type="dxa" w:w="100"/>
              <w:left w:type="dxa" w:w="160"/>
              <w:bottom w:type="dxa" w:w="100"/>
              <w:right w:type="dxa" w:w="120"/>
            </w:tcMar>
          </w:tcPr>
          <w:p>
            <w:r>
              <w:rPr>
                <w:rFonts w:ascii="Arial" w:cs="Arial" w:eastAsia="Arial" w:hAnsi="Arial"/>
                <w:b/>
                <w:bCs/>
                <w:color w:val="FFFFFF"/>
                <w:sz w:val="20"/>
                <w:szCs w:val="20"/>
              </w:rPr>
              <w:t xml:space="preserve">Size</w:t>
            </w:r>
          </w:p>
        </w:tc>
        <w:tc>
          <w:tcPr>
            <w:tcW w:type="dxa" w:w="1400"/>
            <w:tcBorders>
              <w:top w:val="single" w:color="D3D1C7" w:sz="1"/>
              <w:left w:val="single" w:color="D3D1C7" w:sz="1"/>
              <w:bottom w:val="single" w:color="D3D1C7" w:sz="1"/>
              <w:right w:val="single" w:color="D3D1C7" w:sz="1"/>
            </w:tcBorders>
            <w:shd w:fill="0A4452" w:val="clear"/>
            <w:tcMar>
              <w:top w:type="dxa" w:w="100"/>
              <w:left w:type="dxa" w:w="160"/>
              <w:bottom w:type="dxa" w:w="100"/>
              <w:right w:type="dxa" w:w="120"/>
            </w:tcMar>
          </w:tcPr>
          <w:p>
            <w:r>
              <w:rPr>
                <w:rFonts w:ascii="Arial" w:cs="Arial" w:eastAsia="Arial" w:hAnsi="Arial"/>
                <w:b/>
                <w:bCs/>
                <w:color w:val="FFFFFF"/>
                <w:sz w:val="20"/>
                <w:szCs w:val="20"/>
              </w:rPr>
              <w:t xml:space="preserve">Weight</w:t>
            </w:r>
          </w:p>
        </w:tc>
        <w:tc>
          <w:tcPr>
            <w:tcW w:type="dxa" w:w="4160"/>
            <w:tcBorders>
              <w:top w:val="single" w:color="D3D1C7" w:sz="1"/>
              <w:left w:val="single" w:color="D3D1C7" w:sz="1"/>
              <w:bottom w:val="single" w:color="D3D1C7" w:sz="1"/>
              <w:right w:val="single" w:color="D3D1C7" w:sz="1"/>
            </w:tcBorders>
            <w:shd w:fill="0A4452" w:val="clear"/>
            <w:tcMar>
              <w:top w:type="dxa" w:w="100"/>
              <w:left w:type="dxa" w:w="160"/>
              <w:bottom w:type="dxa" w:w="100"/>
              <w:right w:type="dxa" w:w="120"/>
            </w:tcMar>
          </w:tcPr>
          <w:p>
            <w:r>
              <w:rPr>
                <w:rFonts w:ascii="Arial" w:cs="Arial" w:eastAsia="Arial" w:hAnsi="Arial"/>
                <w:b/>
                <w:bCs/>
                <w:color w:val="FFFFFF"/>
                <w:sz w:val="20"/>
                <w:szCs w:val="20"/>
              </w:rPr>
              <w:t xml:space="preserve">Usage</w:t>
            </w:r>
          </w:p>
        </w:tc>
      </w:tr>
      <w:tr>
        <w:tc>
          <w:tcPr>
            <w:tcW w:type="dxa" w:w="24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Display</w:t>
            </w:r>
          </w:p>
        </w:tc>
        <w:tc>
          <w:tcPr>
            <w:tcW w:type="dxa" w:w="14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32px</w:t>
            </w:r>
          </w:p>
        </w:tc>
        <w:tc>
          <w:tcPr>
            <w:tcW w:type="dxa" w:w="14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700</w:t>
            </w:r>
          </w:p>
        </w:tc>
        <w:tc>
          <w:tcPr>
            <w:tcW w:type="dxa" w:w="41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Page titles, onboarding headers</w:t>
            </w:r>
          </w:p>
        </w:tc>
      </w:tr>
      <w:tr>
        <w:tc>
          <w:tcPr>
            <w:tcW w:type="dxa" w:w="24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Heading 1</w:t>
            </w:r>
          </w:p>
        </w:tc>
        <w:tc>
          <w:tcPr>
            <w:tcW w:type="dxa" w:w="14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24px</w:t>
            </w:r>
          </w:p>
        </w:tc>
        <w:tc>
          <w:tcPr>
            <w:tcW w:type="dxa" w:w="14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700</w:t>
            </w:r>
          </w:p>
        </w:tc>
        <w:tc>
          <w:tcPr>
            <w:tcW w:type="dxa" w:w="41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Section headings</w:t>
            </w:r>
          </w:p>
        </w:tc>
      </w:tr>
      <w:tr>
        <w:tc>
          <w:tcPr>
            <w:tcW w:type="dxa" w:w="24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Heading 2</w:t>
            </w:r>
          </w:p>
        </w:tc>
        <w:tc>
          <w:tcPr>
            <w:tcW w:type="dxa" w:w="14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18px</w:t>
            </w:r>
          </w:p>
        </w:tc>
        <w:tc>
          <w:tcPr>
            <w:tcW w:type="dxa" w:w="14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600</w:t>
            </w:r>
          </w:p>
        </w:tc>
        <w:tc>
          <w:tcPr>
            <w:tcW w:type="dxa" w:w="41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Subsection headings, card titles</w:t>
            </w:r>
          </w:p>
        </w:tc>
      </w:tr>
      <w:tr>
        <w:tc>
          <w:tcPr>
            <w:tcW w:type="dxa" w:w="24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Heading 3</w:t>
            </w:r>
          </w:p>
        </w:tc>
        <w:tc>
          <w:tcPr>
            <w:tcW w:type="dxa" w:w="14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15px</w:t>
            </w:r>
          </w:p>
        </w:tc>
        <w:tc>
          <w:tcPr>
            <w:tcW w:type="dxa" w:w="14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600</w:t>
            </w:r>
          </w:p>
        </w:tc>
        <w:tc>
          <w:tcPr>
            <w:tcW w:type="dxa" w:w="41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Group labels, sidebar headings</w:t>
            </w:r>
          </w:p>
        </w:tc>
      </w:tr>
      <w:tr>
        <w:tc>
          <w:tcPr>
            <w:tcW w:type="dxa" w:w="24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Body</w:t>
            </w:r>
          </w:p>
        </w:tc>
        <w:tc>
          <w:tcPr>
            <w:tcW w:type="dxa" w:w="14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14px</w:t>
            </w:r>
          </w:p>
        </w:tc>
        <w:tc>
          <w:tcPr>
            <w:tcW w:type="dxa" w:w="14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400</w:t>
            </w:r>
          </w:p>
        </w:tc>
        <w:tc>
          <w:tcPr>
            <w:tcW w:type="dxa" w:w="41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General UI text, descriptions</w:t>
            </w:r>
          </w:p>
        </w:tc>
      </w:tr>
      <w:tr>
        <w:tc>
          <w:tcPr>
            <w:tcW w:type="dxa" w:w="24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Small</w:t>
            </w:r>
          </w:p>
        </w:tc>
        <w:tc>
          <w:tcPr>
            <w:tcW w:type="dxa" w:w="14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12px</w:t>
            </w:r>
          </w:p>
        </w:tc>
        <w:tc>
          <w:tcPr>
            <w:tcW w:type="dxa" w:w="14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400</w:t>
            </w:r>
          </w:p>
        </w:tc>
        <w:tc>
          <w:tcPr>
            <w:tcW w:type="dxa" w:w="41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Metadata, timestamps, captions</w:t>
            </w:r>
          </w:p>
        </w:tc>
      </w:tr>
      <w:tr>
        <w:tc>
          <w:tcPr>
            <w:tcW w:type="dxa" w:w="24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Mono</w:t>
            </w:r>
          </w:p>
        </w:tc>
        <w:tc>
          <w:tcPr>
            <w:tcW w:type="dxa" w:w="14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13px</w:t>
            </w:r>
          </w:p>
        </w:tc>
        <w:tc>
          <w:tcPr>
            <w:tcW w:type="dxa" w:w="14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400</w:t>
            </w:r>
          </w:p>
        </w:tc>
        <w:tc>
          <w:tcPr>
            <w:tcW w:type="dxa" w:w="41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File paths, directory names, code</w:t>
            </w:r>
          </w:p>
        </w:tc>
      </w:tr>
      <w:tr>
        <w:tc>
          <w:tcPr>
            <w:tcW w:type="dxa" w:w="24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Label</w:t>
            </w:r>
          </w:p>
        </w:tc>
        <w:tc>
          <w:tcPr>
            <w:tcW w:type="dxa" w:w="14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11px</w:t>
            </w:r>
          </w:p>
        </w:tc>
        <w:tc>
          <w:tcPr>
            <w:tcW w:type="dxa" w:w="14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500</w:t>
            </w:r>
          </w:p>
        </w:tc>
        <w:tc>
          <w:tcPr>
            <w:tcW w:type="dxa" w:w="41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Form labels, table headers, badges</w:t>
            </w:r>
          </w:p>
        </w:tc>
      </w:tr>
    </w:tbl>
    <w:p>
      <w:pPr>
        <w:spacing w:after="0" w:before="200"/>
      </w:pPr>
    </w:p>
    <w:p>
      <w:pPr>
        <w:pBdr>
          <w:left w:val="single" w:color="5DC4D4" w:sz="6" w:space="8"/>
        </w:pBdr>
        <w:spacing w:after="60" w:before="60"/>
        <w:ind w:left="360"/>
      </w:pPr>
      <w:r>
        <w:rPr>
          <w:rFonts w:ascii="Arial" w:cs="Arial" w:eastAsia="Arial" w:hAnsi="Arial"/>
          <w:i/>
          <w:iCs/>
          <w:color w:val="5F5E5A"/>
          <w:sz w:val="20"/>
          <w:szCs w:val="20"/>
        </w:rPr>
        <w:t xml:space="preserve">File paths and directory names should always render in a monospace font (Courier New or system-mono) at 13px. This makes paths scannable and distinct from descriptive text.</w:t>
      </w:r>
    </w:p>
    <w:p>
      <w:pPr>
        <w:pBdr>
          <w:bottom w:val="single" w:color="A3DDE6" w:sz="4" w:space="1"/>
        </w:pBdr>
        <w:spacing w:after="200" w:before="200"/>
      </w:pPr>
    </w:p>
    <w:p>
      <w:pPr>
        <w:pStyle w:val="Heading1"/>
        <w:spacing w:after="160" w:before="400"/>
      </w:pPr>
      <w:r>
        <w:rPr>
          <w:rFonts w:ascii="Arial" w:cs="Arial" w:eastAsia="Arial" w:hAnsi="Arial"/>
          <w:b/>
          <w:bCs/>
          <w:color w:val="062C36"/>
          <w:sz w:val="36"/>
          <w:szCs w:val="36"/>
        </w:rPr>
        <w:t xml:space="preserve">5. UX Semantic States</w:t>
      </w:r>
    </w:p>
    <w:p>
      <w:pPr>
        <w:spacing w:after="80" w:before="80"/>
      </w:pPr>
      <w:r>
        <w:rPr>
          <w:rFonts w:ascii="Arial" w:cs="Arial" w:eastAsia="Arial" w:hAnsi="Arial"/>
          <w:color w:val="2C2C2A"/>
          <w:sz w:val="22"/>
          <w:szCs w:val="22"/>
        </w:rPr>
        <w:t xml:space="preserve">Every sync job and directory entry sits in one of four states at any given time. These states map consistently to colours, icons, and label text across the entire application.</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60"/>
      </w:tblGrid>
      <w:tr>
        <w:trPr>
          <w:tblHeader/>
        </w:trPr>
        <w:tc>
          <w:tcPr>
            <w:tcW w:type="dxa" w:w="1800"/>
            <w:tcBorders>
              <w:top w:val="single" w:color="D3D1C7" w:sz="1"/>
              <w:left w:val="single" w:color="D3D1C7" w:sz="1"/>
              <w:bottom w:val="single" w:color="D3D1C7" w:sz="1"/>
              <w:right w:val="single" w:color="D3D1C7" w:sz="1"/>
            </w:tcBorders>
            <w:shd w:fill="0A4452" w:val="clear"/>
            <w:tcMar>
              <w:top w:type="dxa" w:w="100"/>
              <w:left w:type="dxa" w:w="160"/>
              <w:bottom w:type="dxa" w:w="100"/>
              <w:right w:type="dxa" w:w="120"/>
            </w:tcMar>
          </w:tcPr>
          <w:p>
            <w:r>
              <w:rPr>
                <w:rFonts w:ascii="Arial" w:cs="Arial" w:eastAsia="Arial" w:hAnsi="Arial"/>
                <w:b/>
                <w:bCs/>
                <w:color w:val="FFFFFF"/>
                <w:sz w:val="20"/>
                <w:szCs w:val="20"/>
              </w:rPr>
              <w:t xml:space="preserve">State</w:t>
            </w:r>
          </w:p>
        </w:tc>
        <w:tc>
          <w:tcPr>
            <w:tcW w:type="dxa" w:w="1400"/>
            <w:tcBorders>
              <w:top w:val="single" w:color="D3D1C7" w:sz="1"/>
              <w:left w:val="single" w:color="D3D1C7" w:sz="1"/>
              <w:bottom w:val="single" w:color="D3D1C7" w:sz="1"/>
              <w:right w:val="single" w:color="D3D1C7" w:sz="1"/>
            </w:tcBorders>
            <w:shd w:fill="0A4452" w:val="clear"/>
            <w:tcMar>
              <w:top w:type="dxa" w:w="100"/>
              <w:left w:type="dxa" w:w="160"/>
              <w:bottom w:type="dxa" w:w="100"/>
              <w:right w:type="dxa" w:w="120"/>
            </w:tcMar>
          </w:tcPr>
          <w:p>
            <w:r>
              <w:rPr>
                <w:rFonts w:ascii="Arial" w:cs="Arial" w:eastAsia="Arial" w:hAnsi="Arial"/>
                <w:b/>
                <w:bCs/>
                <w:color w:val="FFFFFF"/>
                <w:sz w:val="20"/>
                <w:szCs w:val="20"/>
              </w:rPr>
              <w:t xml:space="preserve">Colour</w:t>
            </w:r>
          </w:p>
        </w:tc>
        <w:tc>
          <w:tcPr>
            <w:tcW w:type="dxa" w:w="1400"/>
            <w:tcBorders>
              <w:top w:val="single" w:color="D3D1C7" w:sz="1"/>
              <w:left w:val="single" w:color="D3D1C7" w:sz="1"/>
              <w:bottom w:val="single" w:color="D3D1C7" w:sz="1"/>
              <w:right w:val="single" w:color="D3D1C7" w:sz="1"/>
            </w:tcBorders>
            <w:shd w:fill="0A4452" w:val="clear"/>
            <w:tcMar>
              <w:top w:type="dxa" w:w="100"/>
              <w:left w:type="dxa" w:w="160"/>
              <w:bottom w:type="dxa" w:w="100"/>
              <w:right w:type="dxa" w:w="120"/>
            </w:tcMar>
          </w:tcPr>
          <w:p>
            <w:r>
              <w:rPr>
                <w:rFonts w:ascii="Arial" w:cs="Arial" w:eastAsia="Arial" w:hAnsi="Arial"/>
                <w:b/>
                <w:bCs/>
                <w:color w:val="FFFFFF"/>
                <w:sz w:val="20"/>
                <w:szCs w:val="20"/>
              </w:rPr>
              <w:t xml:space="preserve">Hex</w:t>
            </w:r>
          </w:p>
        </w:tc>
        <w:tc>
          <w:tcPr>
            <w:tcW w:type="dxa" w:w="4760"/>
            <w:tcBorders>
              <w:top w:val="single" w:color="D3D1C7" w:sz="1"/>
              <w:left w:val="single" w:color="D3D1C7" w:sz="1"/>
              <w:bottom w:val="single" w:color="D3D1C7" w:sz="1"/>
              <w:right w:val="single" w:color="D3D1C7" w:sz="1"/>
            </w:tcBorders>
            <w:shd w:fill="0A4452"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r>
      <w:tr>
        <w:tc>
          <w:tcPr>
            <w:tcW w:type="dxa" w:w="18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Synced</w:t>
            </w:r>
          </w:p>
        </w:tc>
        <w:tc>
          <w:tcPr>
            <w:tcW w:type="dxa" w:w="14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Grass</w:t>
            </w:r>
          </w:p>
        </w:tc>
        <w:tc>
          <w:tcPr>
            <w:tcW w:type="dxa" w:w="14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#2E7D4F</w:t>
            </w:r>
          </w:p>
        </w:tc>
        <w:tc>
          <w:tcPr>
            <w:tcW w:type="dxa" w:w="47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Both source and target are in agreement. No action needed.</w:t>
            </w:r>
          </w:p>
        </w:tc>
      </w:tr>
      <w:tr>
        <w:tc>
          <w:tcPr>
            <w:tcW w:type="dxa" w:w="18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Pending</w:t>
            </w:r>
          </w:p>
        </w:tc>
        <w:tc>
          <w:tcPr>
            <w:tcW w:type="dxa" w:w="14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Amber</w:t>
            </w:r>
          </w:p>
        </w:tc>
        <w:tc>
          <w:tcPr>
            <w:tcW w:type="dxa" w:w="14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#C27D1A</w:t>
            </w:r>
          </w:p>
        </w:tc>
        <w:tc>
          <w:tcPr>
            <w:tcW w:type="dxa" w:w="47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A sync is queued or in progress. Do not interrupt.</w:t>
            </w:r>
          </w:p>
        </w:tc>
      </w:tr>
      <w:tr>
        <w:tc>
          <w:tcPr>
            <w:tcW w:type="dxa" w:w="18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Error</w:t>
            </w:r>
          </w:p>
        </w:tc>
        <w:tc>
          <w:tcPr>
            <w:tcW w:type="dxa" w:w="14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Coral</w:t>
            </w:r>
          </w:p>
        </w:tc>
        <w:tc>
          <w:tcPr>
            <w:tcW w:type="dxa" w:w="14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#C4432A</w:t>
            </w:r>
          </w:p>
        </w:tc>
        <w:tc>
          <w:tcPr>
            <w:tcW w:type="dxa" w:w="47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Sync failed. User action required. Always show reason.</w:t>
            </w:r>
          </w:p>
        </w:tc>
      </w:tr>
      <w:tr>
        <w:tc>
          <w:tcPr>
            <w:tcW w:type="dxa" w:w="18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Ignored</w:t>
            </w:r>
          </w:p>
        </w:tc>
        <w:tc>
          <w:tcPr>
            <w:tcW w:type="dxa" w:w="14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Slate</w:t>
            </w:r>
          </w:p>
        </w:tc>
        <w:tc>
          <w:tcPr>
            <w:tcW w:type="dxa" w:w="14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#3D5166</w:t>
            </w:r>
          </w:p>
        </w:tc>
        <w:tc>
          <w:tcPr>
            <w:tcW w:type="dxa" w:w="47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Excluded by user rule. Not an error, not synced intentionally.</w:t>
            </w:r>
          </w:p>
        </w:tc>
      </w:tr>
    </w:tbl>
    <w:p>
      <w:pPr>
        <w:spacing w:after="0" w:before="200"/>
      </w:pPr>
    </w:p>
    <w:p>
      <w:pPr>
        <w:pBdr>
          <w:left w:val="single" w:color="5DC4D4" w:sz="6" w:space="8"/>
        </w:pBdr>
        <w:spacing w:after="60" w:before="60"/>
        <w:ind w:left="360"/>
      </w:pPr>
      <w:r>
        <w:rPr>
          <w:rFonts w:ascii="Arial" w:cs="Arial" w:eastAsia="Arial" w:hAnsi="Arial"/>
          <w:i/>
          <w:iCs/>
          <w:color w:val="5F5E5A"/>
          <w:sz w:val="20"/>
          <w:szCs w:val="20"/>
        </w:rPr>
        <w:t xml:space="preserve">Never use the brand teal (#0E5F6E) as a semantic state colour — it belongs to navigation and primary interactive elements only. If a new state is needed, choose from the accent palette and document it here first.</w:t>
      </w:r>
    </w:p>
    <w:p>
      <w:pPr>
        <w:pBdr>
          <w:bottom w:val="single" w:color="A3DDE6" w:sz="4" w:space="1"/>
        </w:pBdr>
        <w:spacing w:after="200" w:before="200"/>
      </w:pPr>
    </w:p>
    <w:p>
      <w:pPr>
        <w:pStyle w:val="Heading1"/>
        <w:spacing w:after="160" w:before="400"/>
      </w:pPr>
      <w:r>
        <w:rPr>
          <w:rFonts w:ascii="Arial" w:cs="Arial" w:eastAsia="Arial" w:hAnsi="Arial"/>
          <w:b/>
          <w:bCs/>
          <w:color w:val="062C36"/>
          <w:sz w:val="36"/>
          <w:szCs w:val="36"/>
        </w:rPr>
        <w:t xml:space="preserve">6. Chart &amp; Data Visualisation</w:t>
      </w:r>
    </w:p>
    <w:p>
      <w:pPr>
        <w:pStyle w:val="Heading2"/>
        <w:spacing w:after="120" w:before="320"/>
      </w:pPr>
      <w:r>
        <w:rPr>
          <w:rFonts w:ascii="Arial" w:cs="Arial" w:eastAsia="Arial" w:hAnsi="Arial"/>
          <w:b/>
          <w:bCs/>
          <w:color w:val="0E5F6E"/>
          <w:sz w:val="26"/>
          <w:szCs w:val="26"/>
        </w:rPr>
        <w:t xml:space="preserve">6.1 Colour assignment</w:t>
      </w:r>
    </w:p>
    <w:p>
      <w:pPr>
        <w:spacing w:after="80" w:before="80"/>
      </w:pPr>
      <w:r>
        <w:rPr>
          <w:rFonts w:ascii="Arial" w:cs="Arial" w:eastAsia="Arial" w:hAnsi="Arial"/>
          <w:color w:val="2C2C2A"/>
          <w:sz w:val="22"/>
          <w:szCs w:val="22"/>
        </w:rPr>
        <w:t xml:space="preserve">When plotting multiple data series, assign colours in this order to maximise contrast and accessibility:</w:t>
      </w:r>
    </w:p>
    <w:p>
      <w:pPr>
        <w:spacing w:after="0" w:before="120"/>
      </w:pPr>
    </w:p>
    <w:p>
      <w:pPr>
        <w:pStyle w:val="ListParagraph"/>
        <w:numPr>
          <w:ilvl w:val="0"/>
          <w:numId w:val="2"/>
        </w:numPr>
        <w:spacing w:after="40" w:before="40"/>
      </w:pPr>
      <w:r>
        <w:rPr>
          <w:rFonts w:ascii="Arial" w:cs="Arial" w:eastAsia="Arial" w:hAnsi="Arial"/>
          <w:color w:val="2C2C2A"/>
          <w:sz w:val="22"/>
          <w:szCs w:val="22"/>
        </w:rPr>
        <w:t xml:space="preserve">Series 1: Mid teal (#0E5F6E) — primary metric</w:t>
      </w:r>
    </w:p>
    <w:p>
      <w:pPr>
        <w:pStyle w:val="ListParagraph"/>
        <w:numPr>
          <w:ilvl w:val="0"/>
          <w:numId w:val="2"/>
        </w:numPr>
        <w:spacing w:after="40" w:before="40"/>
      </w:pPr>
      <w:r>
        <w:rPr>
          <w:rFonts w:ascii="Arial" w:cs="Arial" w:eastAsia="Arial" w:hAnsi="Arial"/>
          <w:color w:val="2C2C2A"/>
          <w:sz w:val="22"/>
          <w:szCs w:val="22"/>
        </w:rPr>
        <w:t xml:space="preserve">Series 2: Violet (#5B3FA6) — secondary metric</w:t>
      </w:r>
    </w:p>
    <w:p>
      <w:pPr>
        <w:pStyle w:val="ListParagraph"/>
        <w:numPr>
          <w:ilvl w:val="0"/>
          <w:numId w:val="2"/>
        </w:numPr>
        <w:spacing w:after="40" w:before="40"/>
      </w:pPr>
      <w:r>
        <w:rPr>
          <w:rFonts w:ascii="Arial" w:cs="Arial" w:eastAsia="Arial" w:hAnsi="Arial"/>
          <w:color w:val="2C2C2A"/>
          <w:sz w:val="22"/>
          <w:szCs w:val="22"/>
        </w:rPr>
        <w:t xml:space="preserve">Series 3: Amber (#C27D1A) — tertiary metric or threshold</w:t>
      </w:r>
    </w:p>
    <w:p>
      <w:pPr>
        <w:pStyle w:val="ListParagraph"/>
        <w:numPr>
          <w:ilvl w:val="0"/>
          <w:numId w:val="2"/>
        </w:numPr>
        <w:spacing w:after="40" w:before="40"/>
      </w:pPr>
      <w:r>
        <w:rPr>
          <w:rFonts w:ascii="Arial" w:cs="Arial" w:eastAsia="Arial" w:hAnsi="Arial"/>
          <w:color w:val="2C2C2A"/>
          <w:sz w:val="22"/>
          <w:szCs w:val="22"/>
        </w:rPr>
        <w:t xml:space="preserve">Series 4: Grass (#2E7D4F) — positive comparison</w:t>
      </w:r>
    </w:p>
    <w:p>
      <w:pPr>
        <w:pStyle w:val="ListParagraph"/>
        <w:numPr>
          <w:ilvl w:val="0"/>
          <w:numId w:val="2"/>
        </w:numPr>
        <w:spacing w:after="40" w:before="40"/>
      </w:pPr>
      <w:r>
        <w:rPr>
          <w:rFonts w:ascii="Arial" w:cs="Arial" w:eastAsia="Arial" w:hAnsi="Arial"/>
          <w:color w:val="2C2C2A"/>
          <w:sz w:val="22"/>
          <w:szCs w:val="22"/>
        </w:rPr>
        <w:t xml:space="preserve">Series 5: Coral (#C4432A) — negative or error metric</w:t>
      </w:r>
    </w:p>
    <w:p>
      <w:pPr>
        <w:spacing w:after="0" w:before="120"/>
      </w:pPr>
    </w:p>
    <w:p>
      <w:pPr>
        <w:spacing w:after="80" w:before="80"/>
      </w:pPr>
      <w:r>
        <w:rPr>
          <w:rFonts w:ascii="Arial" w:cs="Arial" w:eastAsia="Arial" w:hAnsi="Arial"/>
          <w:color w:val="2C2C2A"/>
          <w:sz w:val="22"/>
          <w:szCs w:val="22"/>
        </w:rPr>
        <w:t xml:space="preserve">For single-series charts, always use mid teal. Slate (#3D5166) is reserved for neutral or background reference lines.</w:t>
      </w:r>
    </w:p>
    <w:p>
      <w:pPr>
        <w:pStyle w:val="Heading2"/>
        <w:spacing w:after="120" w:before="320"/>
      </w:pPr>
      <w:r>
        <w:rPr>
          <w:rFonts w:ascii="Arial" w:cs="Arial" w:eastAsia="Arial" w:hAnsi="Arial"/>
          <w:b/>
          <w:bCs/>
          <w:color w:val="0E5F6E"/>
          <w:sz w:val="26"/>
          <w:szCs w:val="26"/>
        </w:rPr>
        <w:t xml:space="preserve">6.2 Chart rules</w:t>
      </w:r>
    </w:p>
    <w:p>
      <w:pPr>
        <w:pStyle w:val="ListParagraph"/>
        <w:numPr>
          <w:ilvl w:val="0"/>
          <w:numId w:val="2"/>
        </w:numPr>
        <w:spacing w:after="40" w:before="40"/>
      </w:pPr>
      <w:r>
        <w:rPr>
          <w:rFonts w:ascii="Arial" w:cs="Arial" w:eastAsia="Arial" w:hAnsi="Arial"/>
          <w:color w:val="2C2C2A"/>
          <w:sz w:val="22"/>
          <w:szCs w:val="22"/>
        </w:rPr>
        <w:t xml:space="preserve">Always include a legend when more than one series is present</w:t>
      </w:r>
    </w:p>
    <w:p>
      <w:pPr>
        <w:pStyle w:val="ListParagraph"/>
        <w:numPr>
          <w:ilvl w:val="0"/>
          <w:numId w:val="2"/>
        </w:numPr>
        <w:spacing w:after="40" w:before="40"/>
      </w:pPr>
      <w:r>
        <w:rPr>
          <w:rFonts w:ascii="Arial" w:cs="Arial" w:eastAsia="Arial" w:hAnsi="Arial"/>
          <w:color w:val="2C2C2A"/>
          <w:sz w:val="22"/>
          <w:szCs w:val="22"/>
        </w:rPr>
        <w:t xml:space="preserve">Grid lines should use the light grey border colour (#D3D1C7) at 0.5px</w:t>
      </w:r>
    </w:p>
    <w:p>
      <w:pPr>
        <w:pStyle w:val="ListParagraph"/>
        <w:numPr>
          <w:ilvl w:val="0"/>
          <w:numId w:val="2"/>
        </w:numPr>
        <w:spacing w:after="40" w:before="40"/>
      </w:pPr>
      <w:r>
        <w:rPr>
          <w:rFonts w:ascii="Arial" w:cs="Arial" w:eastAsia="Arial" w:hAnsi="Arial"/>
          <w:color w:val="2C2C2A"/>
          <w:sz w:val="22"/>
          <w:szCs w:val="22"/>
        </w:rPr>
        <w:t xml:space="preserve">Axes and baselines use #D3D1C7 at 1px</w:t>
      </w:r>
    </w:p>
    <w:p>
      <w:pPr>
        <w:pStyle w:val="ListParagraph"/>
        <w:numPr>
          <w:ilvl w:val="0"/>
          <w:numId w:val="2"/>
        </w:numPr>
        <w:spacing w:after="40" w:before="40"/>
      </w:pPr>
      <w:r>
        <w:rPr>
          <w:rFonts w:ascii="Arial" w:cs="Arial" w:eastAsia="Arial" w:hAnsi="Arial"/>
          <w:color w:val="2C2C2A"/>
          <w:sz w:val="22"/>
          <w:szCs w:val="22"/>
        </w:rPr>
        <w:t xml:space="preserve">Bar corners should be rounded (radius 4px)</w:t>
      </w:r>
    </w:p>
    <w:p>
      <w:pPr>
        <w:pStyle w:val="ListParagraph"/>
        <w:numPr>
          <w:ilvl w:val="0"/>
          <w:numId w:val="2"/>
        </w:numPr>
        <w:spacing w:after="40" w:before="40"/>
      </w:pPr>
      <w:r>
        <w:rPr>
          <w:rFonts w:ascii="Arial" w:cs="Arial" w:eastAsia="Arial" w:hAnsi="Arial"/>
          <w:color w:val="2C2C2A"/>
          <w:sz w:val="22"/>
          <w:szCs w:val="22"/>
        </w:rPr>
        <w:t xml:space="preserve">Use the light variant of each colour for filled areas and bar chart fills when a darker stroke is also present</w:t>
      </w:r>
    </w:p>
    <w:p>
      <w:pPr>
        <w:pStyle w:val="ListParagraph"/>
        <w:numPr>
          <w:ilvl w:val="0"/>
          <w:numId w:val="2"/>
        </w:numPr>
        <w:spacing w:after="40" w:before="40"/>
      </w:pPr>
      <w:r>
        <w:rPr>
          <w:rFonts w:ascii="Arial" w:cs="Arial" w:eastAsia="Arial" w:hAnsi="Arial"/>
          <w:color w:val="2C2C2A"/>
          <w:sz w:val="22"/>
          <w:szCs w:val="22"/>
        </w:rPr>
        <w:t xml:space="preserve">Never use opacity to simulate a new colour — use the defined light variants instead</w:t>
      </w:r>
    </w:p>
    <w:p>
      <w:pPr>
        <w:pStyle w:val="Heading2"/>
        <w:spacing w:after="120" w:before="320"/>
      </w:pPr>
      <w:r>
        <w:rPr>
          <w:rFonts w:ascii="Arial" w:cs="Arial" w:eastAsia="Arial" w:hAnsi="Arial"/>
          <w:b/>
          <w:bCs/>
          <w:color w:val="0E5F6E"/>
          <w:sz w:val="26"/>
          <w:szCs w:val="26"/>
        </w:rPr>
        <w:t xml:space="preserve">6.3 Common chart types</w:t>
      </w:r>
    </w:p>
    <w:p>
      <w:pPr>
        <w:pStyle w:val="Heading3"/>
        <w:spacing w:after="80" w:before="240"/>
      </w:pPr>
      <w:r>
        <w:rPr>
          <w:rFonts w:ascii="Arial" w:cs="Arial" w:eastAsia="Arial" w:hAnsi="Arial"/>
          <w:b/>
          <w:bCs/>
          <w:color w:val="0A4452"/>
          <w:sz w:val="22"/>
          <w:szCs w:val="22"/>
        </w:rPr>
        <w:t xml:space="preserve">Bar chart</w:t>
      </w:r>
    </w:p>
    <w:p>
      <w:pPr>
        <w:spacing w:after="80" w:before="80"/>
      </w:pPr>
      <w:r>
        <w:rPr>
          <w:rFonts w:ascii="Arial" w:cs="Arial" w:eastAsia="Arial" w:hAnsi="Arial"/>
          <w:color w:val="2C2C2A"/>
          <w:sz w:val="22"/>
          <w:szCs w:val="22"/>
        </w:rPr>
        <w:t xml:space="preserve">Use for comparing values across time periods or categories. Group related series side by side. Maximum four series per chart before switching to a line chart.</w:t>
      </w:r>
    </w:p>
    <w:p>
      <w:pPr>
        <w:pStyle w:val="Heading3"/>
        <w:spacing w:after="80" w:before="240"/>
      </w:pPr>
      <w:r>
        <w:rPr>
          <w:rFonts w:ascii="Arial" w:cs="Arial" w:eastAsia="Arial" w:hAnsi="Arial"/>
          <w:b/>
          <w:bCs/>
          <w:color w:val="0A4452"/>
          <w:sz w:val="22"/>
          <w:szCs w:val="22"/>
        </w:rPr>
        <w:t xml:space="preserve">Line chart</w:t>
      </w:r>
    </w:p>
    <w:p>
      <w:pPr>
        <w:spacing w:after="80" w:before="80"/>
      </w:pPr>
      <w:r>
        <w:rPr>
          <w:rFonts w:ascii="Arial" w:cs="Arial" w:eastAsia="Arial" w:hAnsi="Arial"/>
          <w:color w:val="2C2C2A"/>
          <w:sz w:val="22"/>
          <w:szCs w:val="22"/>
        </w:rPr>
        <w:t xml:space="preserve">Use for trends over time. Minimum line weight 2px. Points optional — use only when individual values matter.</w:t>
      </w:r>
    </w:p>
    <w:p>
      <w:pPr>
        <w:pStyle w:val="Heading3"/>
        <w:spacing w:after="80" w:before="240"/>
      </w:pPr>
      <w:r>
        <w:rPr>
          <w:rFonts w:ascii="Arial" w:cs="Arial" w:eastAsia="Arial" w:hAnsi="Arial"/>
          <w:b/>
          <w:bCs/>
          <w:color w:val="0A4452"/>
          <w:sz w:val="22"/>
          <w:szCs w:val="22"/>
        </w:rPr>
        <w:t xml:space="preserve">Donut / ring chart</w:t>
      </w:r>
    </w:p>
    <w:p>
      <w:pPr>
        <w:spacing w:after="80" w:before="80"/>
      </w:pPr>
      <w:r>
        <w:rPr>
          <w:rFonts w:ascii="Arial" w:cs="Arial" w:eastAsia="Arial" w:hAnsi="Arial"/>
          <w:color w:val="2C2C2A"/>
          <w:sz w:val="22"/>
          <w:szCs w:val="22"/>
        </w:rPr>
        <w:t xml:space="preserve">Use for showing proportion of sync states across a directory set. Maximum five segments. Always label the centre with the total file count.</w:t>
      </w:r>
    </w:p>
    <w:p>
      <w:pPr>
        <w:pStyle w:val="Heading3"/>
        <w:spacing w:after="80" w:before="240"/>
      </w:pPr>
      <w:r>
        <w:rPr>
          <w:rFonts w:ascii="Arial" w:cs="Arial" w:eastAsia="Arial" w:hAnsi="Arial"/>
          <w:b/>
          <w:bCs/>
          <w:color w:val="0A4452"/>
          <w:sz w:val="22"/>
          <w:szCs w:val="22"/>
        </w:rPr>
        <w:t xml:space="preserve">Sparkline</w:t>
      </w:r>
    </w:p>
    <w:p>
      <w:pPr>
        <w:spacing w:after="80" w:before="80"/>
      </w:pPr>
      <w:r>
        <w:rPr>
          <w:rFonts w:ascii="Arial" w:cs="Arial" w:eastAsia="Arial" w:hAnsi="Arial"/>
          <w:color w:val="2C2C2A"/>
          <w:sz w:val="22"/>
          <w:szCs w:val="22"/>
        </w:rPr>
        <w:t xml:space="preserve">Use inline with directory rows to show recent sync activity. Single colour (mid teal). No axes or labels.</w:t>
      </w:r>
    </w:p>
    <w:p>
      <w:pPr>
        <w:pBdr>
          <w:bottom w:val="single" w:color="A3DDE6" w:sz="4" w:space="1"/>
        </w:pBdr>
        <w:spacing w:after="200" w:before="200"/>
      </w:pPr>
    </w:p>
    <w:p>
      <w:pPr>
        <w:pStyle w:val="Heading1"/>
        <w:spacing w:after="160" w:before="400"/>
      </w:pPr>
      <w:r>
        <w:rPr>
          <w:rFonts w:ascii="Arial" w:cs="Arial" w:eastAsia="Arial" w:hAnsi="Arial"/>
          <w:b/>
          <w:bCs/>
          <w:color w:val="062C36"/>
          <w:sz w:val="36"/>
          <w:szCs w:val="36"/>
        </w:rPr>
        <w:t xml:space="preserve">7. UI Component Guidelines</w:t>
      </w:r>
    </w:p>
    <w:p>
      <w:pPr>
        <w:pStyle w:val="Heading2"/>
        <w:spacing w:after="120" w:before="320"/>
      </w:pPr>
      <w:r>
        <w:rPr>
          <w:rFonts w:ascii="Arial" w:cs="Arial" w:eastAsia="Arial" w:hAnsi="Arial"/>
          <w:b/>
          <w:bCs/>
          <w:color w:val="0E5F6E"/>
          <w:sz w:val="26"/>
          <w:szCs w:val="26"/>
        </w:rPr>
        <w:t xml:space="preserve">7.1 Buttons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D3D1C7" w:sz="1"/>
              <w:left w:val="single" w:color="D3D1C7" w:sz="1"/>
              <w:bottom w:val="single" w:color="D3D1C7" w:sz="1"/>
              <w:right w:val="single" w:color="D3D1C7" w:sz="1"/>
            </w:tcBorders>
            <w:shd w:fill="0A4452" w:val="clear"/>
            <w:tcMar>
              <w:top w:type="dxa" w:w="100"/>
              <w:left w:type="dxa" w:w="160"/>
              <w:bottom w:type="dxa" w:w="100"/>
              <w:right w:type="dxa" w:w="120"/>
            </w:tcMar>
          </w:tcPr>
          <w:p>
            <w:r>
              <w:rPr>
                <w:rFonts w:ascii="Arial" w:cs="Arial" w:eastAsia="Arial" w:hAnsi="Arial"/>
                <w:b/>
                <w:bCs/>
                <w:color w:val="FFFFFF"/>
                <w:sz w:val="20"/>
                <w:szCs w:val="20"/>
              </w:rPr>
              <w:t xml:space="preserve">Variant</w:t>
            </w:r>
          </w:p>
        </w:tc>
        <w:tc>
          <w:tcPr>
            <w:tcW w:type="dxa" w:w="2000"/>
            <w:tcBorders>
              <w:top w:val="single" w:color="D3D1C7" w:sz="1"/>
              <w:left w:val="single" w:color="D3D1C7" w:sz="1"/>
              <w:bottom w:val="single" w:color="D3D1C7" w:sz="1"/>
              <w:right w:val="single" w:color="D3D1C7" w:sz="1"/>
            </w:tcBorders>
            <w:shd w:fill="0A4452" w:val="clear"/>
            <w:tcMar>
              <w:top w:type="dxa" w:w="100"/>
              <w:left w:type="dxa" w:w="160"/>
              <w:bottom w:type="dxa" w:w="100"/>
              <w:right w:type="dxa" w:w="120"/>
            </w:tcMar>
          </w:tcPr>
          <w:p>
            <w:r>
              <w:rPr>
                <w:rFonts w:ascii="Arial" w:cs="Arial" w:eastAsia="Arial" w:hAnsi="Arial"/>
                <w:b/>
                <w:bCs/>
                <w:color w:val="FFFFFF"/>
                <w:sz w:val="20"/>
                <w:szCs w:val="20"/>
              </w:rPr>
              <w:t xml:space="preserve">Background</w:t>
            </w:r>
          </w:p>
        </w:tc>
        <w:tc>
          <w:tcPr>
            <w:tcW w:type="dxa" w:w="2000"/>
            <w:tcBorders>
              <w:top w:val="single" w:color="D3D1C7" w:sz="1"/>
              <w:left w:val="single" w:color="D3D1C7" w:sz="1"/>
              <w:bottom w:val="single" w:color="D3D1C7" w:sz="1"/>
              <w:right w:val="single" w:color="D3D1C7" w:sz="1"/>
            </w:tcBorders>
            <w:shd w:fill="0A4452" w:val="clear"/>
            <w:tcMar>
              <w:top w:type="dxa" w:w="100"/>
              <w:left w:type="dxa" w:w="160"/>
              <w:bottom w:type="dxa" w:w="100"/>
              <w:right w:type="dxa" w:w="120"/>
            </w:tcMar>
          </w:tcPr>
          <w:p>
            <w:r>
              <w:rPr>
                <w:rFonts w:ascii="Arial" w:cs="Arial" w:eastAsia="Arial" w:hAnsi="Arial"/>
                <w:b/>
                <w:bCs/>
                <w:color w:val="FFFFFF"/>
                <w:sz w:val="20"/>
                <w:szCs w:val="20"/>
              </w:rPr>
              <w:t xml:space="preserve">Text</w:t>
            </w:r>
          </w:p>
        </w:tc>
        <w:tc>
          <w:tcPr>
            <w:tcW w:type="dxa" w:w="3360"/>
            <w:tcBorders>
              <w:top w:val="single" w:color="D3D1C7" w:sz="1"/>
              <w:left w:val="single" w:color="D3D1C7" w:sz="1"/>
              <w:bottom w:val="single" w:color="D3D1C7" w:sz="1"/>
              <w:right w:val="single" w:color="D3D1C7" w:sz="1"/>
            </w:tcBorders>
            <w:shd w:fill="0A4452" w:val="clear"/>
            <w:tcMar>
              <w:top w:type="dxa" w:w="100"/>
              <w:left w:type="dxa" w:w="160"/>
              <w:bottom w:type="dxa" w:w="100"/>
              <w:right w:type="dxa" w:w="120"/>
            </w:tcMar>
          </w:tcPr>
          <w:p>
            <w:r>
              <w:rPr>
                <w:rFonts w:ascii="Arial" w:cs="Arial" w:eastAsia="Arial" w:hAnsi="Arial"/>
                <w:b/>
                <w:bCs/>
                <w:color w:val="FFFFFF"/>
                <w:sz w:val="20"/>
                <w:szCs w:val="20"/>
              </w:rPr>
              <w:t xml:space="preserve">Use for</w:t>
            </w:r>
          </w:p>
        </w:tc>
      </w:tr>
      <w:tr>
        <w:tc>
          <w:tcPr>
            <w:tcW w:type="dxa" w:w="20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Primary</w:t>
            </w:r>
          </w:p>
        </w:tc>
        <w:tc>
          <w:tcPr>
            <w:tcW w:type="dxa" w:w="20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#0E5F6E</w:t>
            </w:r>
          </w:p>
        </w:tc>
        <w:tc>
          <w:tcPr>
            <w:tcW w:type="dxa" w:w="20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#E0F4F7</w:t>
            </w:r>
          </w:p>
        </w:tc>
        <w:tc>
          <w:tcPr>
            <w:tcW w:type="dxa" w:w="33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Main CTA — sync now, save, confirm</w:t>
            </w:r>
          </w:p>
        </w:tc>
      </w:tr>
      <w:tr>
        <w:tc>
          <w:tcPr>
            <w:tcW w:type="dxa" w:w="20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Secondary</w:t>
            </w:r>
          </w:p>
        </w:tc>
        <w:tc>
          <w:tcPr>
            <w:tcW w:type="dxa" w:w="20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#E0F4F7</w:t>
            </w:r>
          </w:p>
        </w:tc>
        <w:tc>
          <w:tcPr>
            <w:tcW w:type="dxa" w:w="20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#062C36</w:t>
            </w:r>
          </w:p>
        </w:tc>
        <w:tc>
          <w:tcPr>
            <w:tcW w:type="dxa" w:w="33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Supporting actions — edit, view details</w:t>
            </w:r>
          </w:p>
        </w:tc>
      </w:tr>
      <w:tr>
        <w:tc>
          <w:tcPr>
            <w:tcW w:type="dxa" w:w="20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Danger</w:t>
            </w:r>
          </w:p>
        </w:tc>
        <w:tc>
          <w:tcPr>
            <w:tcW w:type="dxa" w:w="20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#C4432A</w:t>
            </w:r>
          </w:p>
        </w:tc>
        <w:tc>
          <w:tcPr>
            <w:tcW w:type="dxa" w:w="20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#FFFFFF</w:t>
            </w:r>
          </w:p>
        </w:tc>
        <w:tc>
          <w:tcPr>
            <w:tcW w:type="dxa" w:w="33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Destructive — delete, remove, revoke</w:t>
            </w:r>
          </w:p>
        </w:tc>
      </w:tr>
      <w:tr>
        <w:tc>
          <w:tcPr>
            <w:tcW w:type="dxa" w:w="20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Ghost</w:t>
            </w:r>
          </w:p>
        </w:tc>
        <w:tc>
          <w:tcPr>
            <w:tcW w:type="dxa" w:w="20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none</w:t>
            </w:r>
          </w:p>
        </w:tc>
        <w:tc>
          <w:tcPr>
            <w:tcW w:type="dxa" w:w="20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#0E5F6E</w:t>
            </w:r>
          </w:p>
        </w:tc>
        <w:tc>
          <w:tcPr>
            <w:tcW w:type="dxa" w:w="33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Low-emphasis — cancel, dismiss, skip</w:t>
            </w:r>
          </w:p>
        </w:tc>
      </w:tr>
      <w:tr>
        <w:tc>
          <w:tcPr>
            <w:tcW w:type="dxa" w:w="20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Disabled</w:t>
            </w:r>
          </w:p>
        </w:tc>
        <w:tc>
          <w:tcPr>
            <w:tcW w:type="dxa" w:w="20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#D3D1C7</w:t>
            </w:r>
          </w:p>
        </w:tc>
        <w:tc>
          <w:tcPr>
            <w:tcW w:type="dxa" w:w="20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#888780</w:t>
            </w:r>
          </w:p>
        </w:tc>
        <w:tc>
          <w:tcPr>
            <w:tcW w:type="dxa" w:w="33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Any disabled state — no interaction</w:t>
            </w:r>
          </w:p>
        </w:tc>
      </w:tr>
    </w:tbl>
    <w:p>
      <w:pPr>
        <w:spacing w:after="0" w:before="160"/>
      </w:pPr>
    </w:p>
    <w:p>
      <w:pPr>
        <w:pStyle w:val="ListParagraph"/>
        <w:numPr>
          <w:ilvl w:val="0"/>
          <w:numId w:val="2"/>
        </w:numPr>
        <w:spacing w:after="40" w:before="40"/>
      </w:pPr>
      <w:r>
        <w:rPr>
          <w:rFonts w:ascii="Arial" w:cs="Arial" w:eastAsia="Arial" w:hAnsi="Arial"/>
          <w:color w:val="2C2C2A"/>
          <w:sz w:val="22"/>
          <w:szCs w:val="22"/>
        </w:rPr>
        <w:t xml:space="preserve">Border radius: 6px on all buttons</w:t>
      </w:r>
    </w:p>
    <w:p>
      <w:pPr>
        <w:pStyle w:val="ListParagraph"/>
        <w:numPr>
          <w:ilvl w:val="0"/>
          <w:numId w:val="2"/>
        </w:numPr>
        <w:spacing w:after="40" w:before="40"/>
      </w:pPr>
      <w:r>
        <w:rPr>
          <w:rFonts w:ascii="Arial" w:cs="Arial" w:eastAsia="Arial" w:hAnsi="Arial"/>
          <w:color w:val="2C2C2A"/>
          <w:sz w:val="22"/>
          <w:szCs w:val="22"/>
        </w:rPr>
        <w:t xml:space="preserve">Padding: 8px vertical, 16px horizontal</w:t>
      </w:r>
    </w:p>
    <w:p>
      <w:pPr>
        <w:pStyle w:val="ListParagraph"/>
        <w:numPr>
          <w:ilvl w:val="0"/>
          <w:numId w:val="2"/>
        </w:numPr>
        <w:spacing w:after="40" w:before="40"/>
      </w:pPr>
      <w:r>
        <w:rPr>
          <w:rFonts w:ascii="Arial" w:cs="Arial" w:eastAsia="Arial" w:hAnsi="Arial"/>
          <w:color w:val="2C2C2A"/>
          <w:sz w:val="22"/>
          <w:szCs w:val="22"/>
        </w:rPr>
        <w:t xml:space="preserve">Font: Arial 14px, weight 500</w:t>
      </w:r>
    </w:p>
    <w:p>
      <w:pPr>
        <w:pStyle w:val="ListParagraph"/>
        <w:numPr>
          <w:ilvl w:val="0"/>
          <w:numId w:val="2"/>
        </w:numPr>
        <w:spacing w:after="40" w:before="40"/>
      </w:pPr>
      <w:r>
        <w:rPr>
          <w:rFonts w:ascii="Arial" w:cs="Arial" w:eastAsia="Arial" w:hAnsi="Arial"/>
          <w:color w:val="2C2C2A"/>
          <w:sz w:val="22"/>
          <w:szCs w:val="22"/>
        </w:rPr>
        <w:t xml:space="preserve">Never use brand colours for disabled states</w:t>
      </w:r>
    </w:p>
    <w:p>
      <w:pPr>
        <w:pStyle w:val="Heading2"/>
        <w:spacing w:after="120" w:before="320"/>
      </w:pPr>
      <w:r>
        <w:rPr>
          <w:rFonts w:ascii="Arial" w:cs="Arial" w:eastAsia="Arial" w:hAnsi="Arial"/>
          <w:b/>
          <w:bCs/>
          <w:color w:val="0E5F6E"/>
          <w:sz w:val="26"/>
          <w:szCs w:val="26"/>
        </w:rPr>
        <w:t xml:space="preserve">7.2 Badges &amp; tags</w:t>
      </w:r>
    </w:p>
    <w:p>
      <w:pPr>
        <w:spacing w:after="80" w:before="80"/>
      </w:pPr>
      <w:r>
        <w:rPr>
          <w:rFonts w:ascii="Arial" w:cs="Arial" w:eastAsia="Arial" w:hAnsi="Arial"/>
          <w:color w:val="2C2C2A"/>
          <w:sz w:val="22"/>
          <w:szCs w:val="22"/>
        </w:rPr>
        <w:t xml:space="preserve">Use the semantic state colours for sync-state badges. For general categorisation tags (file type, source, etc.) use the ghost teal background (#E0F4F7) with dark teal text (#0A4452).</w:t>
      </w:r>
    </w:p>
    <w:p>
      <w:pPr>
        <w:pStyle w:val="Heading2"/>
        <w:spacing w:after="120" w:before="320"/>
      </w:pPr>
      <w:r>
        <w:rPr>
          <w:rFonts w:ascii="Arial" w:cs="Arial" w:eastAsia="Arial" w:hAnsi="Arial"/>
          <w:b/>
          <w:bCs/>
          <w:color w:val="0E5F6E"/>
          <w:sz w:val="26"/>
          <w:szCs w:val="26"/>
        </w:rPr>
        <w:t xml:space="preserve">7.3 Form inputs</w:t>
      </w:r>
    </w:p>
    <w:p>
      <w:pPr>
        <w:pStyle w:val="ListParagraph"/>
        <w:numPr>
          <w:ilvl w:val="0"/>
          <w:numId w:val="2"/>
        </w:numPr>
        <w:spacing w:after="40" w:before="40"/>
      </w:pPr>
      <w:r>
        <w:rPr>
          <w:rFonts w:ascii="Arial" w:cs="Arial" w:eastAsia="Arial" w:hAnsi="Arial"/>
          <w:color w:val="2C2C2A"/>
          <w:sz w:val="22"/>
          <w:szCs w:val="22"/>
        </w:rPr>
        <w:t xml:space="preserve">Default border: #D3D1C7, 1px</w:t>
      </w:r>
    </w:p>
    <w:p>
      <w:pPr>
        <w:pStyle w:val="ListParagraph"/>
        <w:numPr>
          <w:ilvl w:val="0"/>
          <w:numId w:val="2"/>
        </w:numPr>
        <w:spacing w:after="40" w:before="40"/>
      </w:pPr>
      <w:r>
        <w:rPr>
          <w:rFonts w:ascii="Arial" w:cs="Arial" w:eastAsia="Arial" w:hAnsi="Arial"/>
          <w:color w:val="2C2C2A"/>
          <w:sz w:val="22"/>
          <w:szCs w:val="22"/>
        </w:rPr>
        <w:t xml:space="preserve">Focus border: #1A8A9E, 2px</w:t>
      </w:r>
    </w:p>
    <w:p>
      <w:pPr>
        <w:pStyle w:val="ListParagraph"/>
        <w:numPr>
          <w:ilvl w:val="0"/>
          <w:numId w:val="2"/>
        </w:numPr>
        <w:spacing w:after="40" w:before="40"/>
      </w:pPr>
      <w:r>
        <w:rPr>
          <w:rFonts w:ascii="Arial" w:cs="Arial" w:eastAsia="Arial" w:hAnsi="Arial"/>
          <w:color w:val="2C2C2A"/>
          <w:sz w:val="22"/>
          <w:szCs w:val="22"/>
        </w:rPr>
        <w:t xml:space="preserve">Error border: #C4432A, 2px with coral-tinted background #FDECEA</w:t>
      </w:r>
    </w:p>
    <w:p>
      <w:pPr>
        <w:pStyle w:val="ListParagraph"/>
        <w:numPr>
          <w:ilvl w:val="0"/>
          <w:numId w:val="2"/>
        </w:numPr>
        <w:spacing w:after="40" w:before="40"/>
      </w:pPr>
      <w:r>
        <w:rPr>
          <w:rFonts w:ascii="Arial" w:cs="Arial" w:eastAsia="Arial" w:hAnsi="Arial"/>
          <w:color w:val="2C2C2A"/>
          <w:sz w:val="22"/>
          <w:szCs w:val="22"/>
        </w:rPr>
        <w:t xml:space="preserve">Input background: #E0F4F7 (ghost teal) for subtle distinction from pure white surfaces</w:t>
      </w:r>
    </w:p>
    <w:p>
      <w:pPr>
        <w:pStyle w:val="ListParagraph"/>
        <w:numPr>
          <w:ilvl w:val="0"/>
          <w:numId w:val="2"/>
        </w:numPr>
        <w:spacing w:after="40" w:before="40"/>
      </w:pPr>
      <w:r>
        <w:rPr>
          <w:rFonts w:ascii="Arial" w:cs="Arial" w:eastAsia="Arial" w:hAnsi="Arial"/>
          <w:color w:val="2C2C2A"/>
          <w:sz w:val="22"/>
          <w:szCs w:val="22"/>
        </w:rPr>
        <w:t xml:space="preserve">Label: Arial 11px, weight 500, colour #3D5166 (slate)</w:t>
      </w:r>
    </w:p>
    <w:p>
      <w:pPr>
        <w:pStyle w:val="Heading2"/>
        <w:spacing w:after="120" w:before="320"/>
      </w:pPr>
      <w:r>
        <w:rPr>
          <w:rFonts w:ascii="Arial" w:cs="Arial" w:eastAsia="Arial" w:hAnsi="Arial"/>
          <w:b/>
          <w:bCs/>
          <w:color w:val="0E5F6E"/>
          <w:sz w:val="26"/>
          <w:szCs w:val="26"/>
        </w:rPr>
        <w:t xml:space="preserve">7.4 Directory tree</w:t>
      </w:r>
    </w:p>
    <w:p>
      <w:pPr>
        <w:spacing w:after="80" w:before="80"/>
      </w:pPr>
      <w:r>
        <w:rPr>
          <w:rFonts w:ascii="Arial" w:cs="Arial" w:eastAsia="Arial" w:hAnsi="Arial"/>
          <w:color w:val="2C2C2A"/>
          <w:sz w:val="22"/>
          <w:szCs w:val="22"/>
        </w:rPr>
        <w:t xml:space="preserve">Directories in the sync tree follow these visual rules:</w:t>
      </w:r>
    </w:p>
    <w:p>
      <w:pPr>
        <w:spacing w:after="0" w:before="120"/>
      </w:pPr>
    </w:p>
    <w:p>
      <w:pPr>
        <w:pStyle w:val="ListParagraph"/>
        <w:numPr>
          <w:ilvl w:val="0"/>
          <w:numId w:val="2"/>
        </w:numPr>
        <w:spacing w:after="40" w:before="40"/>
      </w:pPr>
      <w:r>
        <w:rPr>
          <w:rFonts w:ascii="Arial" w:cs="Arial" w:eastAsia="Arial" w:hAnsi="Arial"/>
          <w:color w:val="2C2C2A"/>
          <w:sz w:val="22"/>
          <w:szCs w:val="22"/>
        </w:rPr>
        <w:t xml:space="preserve">Indent per level: 20px</w:t>
      </w:r>
    </w:p>
    <w:p>
      <w:pPr>
        <w:pStyle w:val="ListParagraph"/>
        <w:numPr>
          <w:ilvl w:val="0"/>
          <w:numId w:val="2"/>
        </w:numPr>
        <w:spacing w:after="40" w:before="40"/>
      </w:pPr>
      <w:r>
        <w:rPr>
          <w:rFonts w:ascii="Arial" w:cs="Arial" w:eastAsia="Arial" w:hAnsi="Arial"/>
          <w:color w:val="2C2C2A"/>
          <w:sz w:val="22"/>
          <w:szCs w:val="22"/>
        </w:rPr>
        <w:t xml:space="preserve">Active/selected row: ghost teal background (#E0F4F7)</w:t>
      </w:r>
    </w:p>
    <w:p>
      <w:pPr>
        <w:pStyle w:val="ListParagraph"/>
        <w:numPr>
          <w:ilvl w:val="0"/>
          <w:numId w:val="2"/>
        </w:numPr>
        <w:spacing w:after="40" w:before="40"/>
      </w:pPr>
      <w:r>
        <w:rPr>
          <w:rFonts w:ascii="Arial" w:cs="Arial" w:eastAsia="Arial" w:hAnsi="Arial"/>
          <w:color w:val="2C2C2A"/>
          <w:sz w:val="22"/>
          <w:szCs w:val="22"/>
        </w:rPr>
        <w:t xml:space="preserve">Hover row: pale teal (#A3DDE6) at 30% opacity</w:t>
      </w:r>
    </w:p>
    <w:p>
      <w:pPr>
        <w:pStyle w:val="ListParagraph"/>
        <w:numPr>
          <w:ilvl w:val="0"/>
          <w:numId w:val="2"/>
        </w:numPr>
        <w:spacing w:after="40" w:before="40"/>
      </w:pPr>
      <w:r>
        <w:rPr>
          <w:rFonts w:ascii="Arial" w:cs="Arial" w:eastAsia="Arial" w:hAnsi="Arial"/>
          <w:color w:val="2C2C2A"/>
          <w:sz w:val="22"/>
          <w:szCs w:val="22"/>
        </w:rPr>
        <w:t xml:space="preserve">State indicator dot: 8px circle, positioned left of the row label, semantic state colour</w:t>
      </w:r>
    </w:p>
    <w:p>
      <w:pPr>
        <w:pStyle w:val="ListParagraph"/>
        <w:numPr>
          <w:ilvl w:val="0"/>
          <w:numId w:val="2"/>
        </w:numPr>
        <w:spacing w:after="40" w:before="40"/>
      </w:pPr>
      <w:r>
        <w:rPr>
          <w:rFonts w:ascii="Arial" w:cs="Arial" w:eastAsia="Arial" w:hAnsi="Arial"/>
          <w:color w:val="2C2C2A"/>
          <w:sz w:val="22"/>
          <w:szCs w:val="22"/>
        </w:rPr>
        <w:t xml:space="preserve">Directory path text: monospace, 13px</w:t>
      </w:r>
    </w:p>
    <w:p>
      <w:pPr>
        <w:pStyle w:val="ListParagraph"/>
        <w:numPr>
          <w:ilvl w:val="0"/>
          <w:numId w:val="2"/>
        </w:numPr>
        <w:spacing w:after="40" w:before="40"/>
      </w:pPr>
      <w:r>
        <w:rPr>
          <w:rFonts w:ascii="Arial" w:cs="Arial" w:eastAsia="Arial" w:hAnsi="Arial"/>
          <w:color w:val="2C2C2A"/>
          <w:sz w:val="22"/>
          <w:szCs w:val="22"/>
        </w:rPr>
        <w:t xml:space="preserve">File count metadata: Arial, 12px, slate (#3D5166)</w:t>
      </w:r>
    </w:p>
    <w:p>
      <w:pPr>
        <w:pBdr>
          <w:bottom w:val="single" w:color="A3DDE6" w:sz="4" w:space="1"/>
        </w:pBdr>
        <w:spacing w:after="200" w:before="200"/>
      </w:pPr>
    </w:p>
    <w:p>
      <w:pPr>
        <w:pStyle w:val="Heading1"/>
        <w:spacing w:after="160" w:before="400"/>
      </w:pPr>
      <w:r>
        <w:rPr>
          <w:rFonts w:ascii="Arial" w:cs="Arial" w:eastAsia="Arial" w:hAnsi="Arial"/>
          <w:b/>
          <w:bCs/>
          <w:color w:val="062C36"/>
          <w:sz w:val="36"/>
          <w:szCs w:val="36"/>
        </w:rPr>
        <w:t xml:space="preserve">8. Spacing &amp; Layout</w:t>
      </w:r>
    </w:p>
    <w:p>
      <w:pPr>
        <w:spacing w:after="80" w:before="80"/>
      </w:pPr>
      <w:r>
        <w:rPr>
          <w:rFonts w:ascii="Arial" w:cs="Arial" w:eastAsia="Arial" w:hAnsi="Arial"/>
          <w:color w:val="2C2C2A"/>
          <w:sz w:val="22"/>
          <w:szCs w:val="22"/>
        </w:rPr>
        <w:t xml:space="preserve">All spacing uses a base unit of 4px. Common values:</w:t>
      </w:r>
    </w:p>
    <w:p>
      <w:pPr>
        <w:spacing w:after="0" w:before="120"/>
      </w:pPr>
    </w:p>
    <w:p>
      <w:pPr>
        <w:pStyle w:val="ListParagraph"/>
        <w:numPr>
          <w:ilvl w:val="0"/>
          <w:numId w:val="2"/>
        </w:numPr>
        <w:spacing w:after="40" w:before="40"/>
      </w:pPr>
      <w:r>
        <w:rPr>
          <w:rFonts w:ascii="Arial" w:cs="Arial" w:eastAsia="Arial" w:hAnsi="Arial"/>
          <w:color w:val="2C2C2A"/>
          <w:sz w:val="22"/>
          <w:szCs w:val="22"/>
        </w:rPr>
        <w:t xml:space="preserve">4px — inline gaps between icon and label</w:t>
      </w:r>
    </w:p>
    <w:p>
      <w:pPr>
        <w:pStyle w:val="ListParagraph"/>
        <w:numPr>
          <w:ilvl w:val="0"/>
          <w:numId w:val="2"/>
        </w:numPr>
        <w:spacing w:after="40" w:before="40"/>
      </w:pPr>
      <w:r>
        <w:rPr>
          <w:rFonts w:ascii="Arial" w:cs="Arial" w:eastAsia="Arial" w:hAnsi="Arial"/>
          <w:color w:val="2C2C2A"/>
          <w:sz w:val="22"/>
          <w:szCs w:val="22"/>
        </w:rPr>
        <w:t xml:space="preserve">8px — tight padding inside compact components</w:t>
      </w:r>
    </w:p>
    <w:p>
      <w:pPr>
        <w:pStyle w:val="ListParagraph"/>
        <w:numPr>
          <w:ilvl w:val="0"/>
          <w:numId w:val="2"/>
        </w:numPr>
        <w:spacing w:after="40" w:before="40"/>
      </w:pPr>
      <w:r>
        <w:rPr>
          <w:rFonts w:ascii="Arial" w:cs="Arial" w:eastAsia="Arial" w:hAnsi="Arial"/>
          <w:color w:val="2C2C2A"/>
          <w:sz w:val="22"/>
          <w:szCs w:val="22"/>
        </w:rPr>
        <w:t xml:space="preserve">12px — default component padding</w:t>
      </w:r>
    </w:p>
    <w:p>
      <w:pPr>
        <w:pStyle w:val="ListParagraph"/>
        <w:numPr>
          <w:ilvl w:val="0"/>
          <w:numId w:val="2"/>
        </w:numPr>
        <w:spacing w:after="40" w:before="40"/>
      </w:pPr>
      <w:r>
        <w:rPr>
          <w:rFonts w:ascii="Arial" w:cs="Arial" w:eastAsia="Arial" w:hAnsi="Arial"/>
          <w:color w:val="2C2C2A"/>
          <w:sz w:val="22"/>
          <w:szCs w:val="22"/>
        </w:rPr>
        <w:t xml:space="preserve">16px — card internal padding, section gaps</w:t>
      </w:r>
    </w:p>
    <w:p>
      <w:pPr>
        <w:pStyle w:val="ListParagraph"/>
        <w:numPr>
          <w:ilvl w:val="0"/>
          <w:numId w:val="2"/>
        </w:numPr>
        <w:spacing w:after="40" w:before="40"/>
      </w:pPr>
      <w:r>
        <w:rPr>
          <w:rFonts w:ascii="Arial" w:cs="Arial" w:eastAsia="Arial" w:hAnsi="Arial"/>
          <w:color w:val="2C2C2A"/>
          <w:sz w:val="22"/>
          <w:szCs w:val="22"/>
        </w:rPr>
        <w:t xml:space="preserve">24px — between cards, between major UI sections</w:t>
      </w:r>
    </w:p>
    <w:p>
      <w:pPr>
        <w:pStyle w:val="ListParagraph"/>
        <w:numPr>
          <w:ilvl w:val="0"/>
          <w:numId w:val="2"/>
        </w:numPr>
        <w:spacing w:after="40" w:before="40"/>
      </w:pPr>
      <w:r>
        <w:rPr>
          <w:rFonts w:ascii="Arial" w:cs="Arial" w:eastAsia="Arial" w:hAnsi="Arial"/>
          <w:color w:val="2C2C2A"/>
          <w:sz w:val="22"/>
          <w:szCs w:val="22"/>
        </w:rPr>
        <w:t xml:space="preserve">40px — page-level section separation</w:t>
      </w:r>
    </w:p>
    <w:p>
      <w:pPr>
        <w:spacing w:after="0" w:before="120"/>
      </w:pPr>
    </w:p>
    <w:p>
      <w:pPr>
        <w:pBdr>
          <w:left w:val="single" w:color="5DC4D4" w:sz="6" w:space="8"/>
        </w:pBdr>
        <w:spacing w:after="60" w:before="60"/>
        <w:ind w:left="360"/>
      </w:pPr>
      <w:r>
        <w:rPr>
          <w:rFonts w:ascii="Arial" w:cs="Arial" w:eastAsia="Arial" w:hAnsi="Arial"/>
          <w:i/>
          <w:iCs/>
          <w:color w:val="5F5E5A"/>
          <w:sz w:val="20"/>
          <w:szCs w:val="20"/>
        </w:rPr>
        <w:t xml:space="preserve">Sidebar width: 240px fixed. Main content area: fluid. Minimum supported viewport: 1024px wide.</w:t>
      </w:r>
    </w:p>
    <w:p>
      <w:pPr>
        <w:pBdr>
          <w:bottom w:val="single" w:color="A3DDE6" w:sz="4" w:space="1"/>
        </w:pBdr>
        <w:spacing w:after="200" w:before="200"/>
      </w:pPr>
    </w:p>
    <w:p>
      <w:pPr>
        <w:pStyle w:val="Heading1"/>
        <w:spacing w:after="160" w:before="400"/>
      </w:pPr>
      <w:r>
        <w:rPr>
          <w:rFonts w:ascii="Arial" w:cs="Arial" w:eastAsia="Arial" w:hAnsi="Arial"/>
          <w:b/>
          <w:bCs/>
          <w:color w:val="062C36"/>
          <w:sz w:val="36"/>
          <w:szCs w:val="36"/>
        </w:rPr>
        <w:t xml:space="preserve">9. Iconography</w:t>
      </w:r>
    </w:p>
    <w:p>
      <w:pPr>
        <w:spacing w:after="80" w:before="80"/>
      </w:pPr>
      <w:r>
        <w:rPr>
          <w:rFonts w:ascii="Arial" w:cs="Arial" w:eastAsia="Arial" w:hAnsi="Arial"/>
          <w:color w:val="2C2C2A"/>
          <w:sz w:val="22"/>
          <w:szCs w:val="22"/>
        </w:rPr>
        <w:t xml:space="preserve">Use a single consistent icon set throughout the application. Recommended: Lucide Icons (MIT licensed, 24px grid, 1.5px stroke weight).</w:t>
      </w:r>
    </w:p>
    <w:p>
      <w:pPr>
        <w:spacing w:after="0" w:before="120"/>
      </w:pPr>
    </w:p>
    <w:p>
      <w:pPr>
        <w:pStyle w:val="ListParagraph"/>
        <w:numPr>
          <w:ilvl w:val="0"/>
          <w:numId w:val="2"/>
        </w:numPr>
        <w:spacing w:after="40" w:before="40"/>
      </w:pPr>
      <w:r>
        <w:rPr>
          <w:rFonts w:ascii="Arial" w:cs="Arial" w:eastAsia="Arial" w:hAnsi="Arial"/>
          <w:color w:val="2C2C2A"/>
          <w:sz w:val="22"/>
          <w:szCs w:val="22"/>
        </w:rPr>
        <w:t xml:space="preserve">Default icon colour: mid teal (#0E5F6E)</w:t>
      </w:r>
    </w:p>
    <w:p>
      <w:pPr>
        <w:pStyle w:val="ListParagraph"/>
        <w:numPr>
          <w:ilvl w:val="0"/>
          <w:numId w:val="2"/>
        </w:numPr>
        <w:spacing w:after="40" w:before="40"/>
      </w:pPr>
      <w:r>
        <w:rPr>
          <w:rFonts w:ascii="Arial" w:cs="Arial" w:eastAsia="Arial" w:hAnsi="Arial"/>
          <w:color w:val="2C2C2A"/>
          <w:sz w:val="22"/>
          <w:szCs w:val="22"/>
        </w:rPr>
        <w:t xml:space="preserve">On dark backgrounds: ghost teal (#E0F4F7)</w:t>
      </w:r>
    </w:p>
    <w:p>
      <w:pPr>
        <w:pStyle w:val="ListParagraph"/>
        <w:numPr>
          <w:ilvl w:val="0"/>
          <w:numId w:val="2"/>
        </w:numPr>
        <w:spacing w:after="40" w:before="40"/>
      </w:pPr>
      <w:r>
        <w:rPr>
          <w:rFonts w:ascii="Arial" w:cs="Arial" w:eastAsia="Arial" w:hAnsi="Arial"/>
          <w:color w:val="2C2C2A"/>
          <w:sz w:val="22"/>
          <w:szCs w:val="22"/>
        </w:rPr>
        <w:t xml:space="preserve">Semantic icons follow state colour — error icons in coral, success in grass</w:t>
      </w:r>
    </w:p>
    <w:p>
      <w:pPr>
        <w:pStyle w:val="ListParagraph"/>
        <w:numPr>
          <w:ilvl w:val="0"/>
          <w:numId w:val="2"/>
        </w:numPr>
        <w:spacing w:after="40" w:before="40"/>
      </w:pPr>
      <w:r>
        <w:rPr>
          <w:rFonts w:ascii="Arial" w:cs="Arial" w:eastAsia="Arial" w:hAnsi="Arial"/>
          <w:color w:val="2C2C2A"/>
          <w:sz w:val="22"/>
          <w:szCs w:val="22"/>
        </w:rPr>
        <w:t xml:space="preserve">Icon size in UI: 16px for inline, 20px for standalone, 24px for empty states</w:t>
      </w:r>
    </w:p>
    <w:p>
      <w:pPr>
        <w:pStyle w:val="ListParagraph"/>
        <w:numPr>
          <w:ilvl w:val="0"/>
          <w:numId w:val="2"/>
        </w:numPr>
        <w:spacing w:after="40" w:before="40"/>
      </w:pPr>
      <w:r>
        <w:rPr>
          <w:rFonts w:ascii="Arial" w:cs="Arial" w:eastAsia="Arial" w:hAnsi="Arial"/>
          <w:color w:val="2C2C2A"/>
          <w:sz w:val="22"/>
          <w:szCs w:val="22"/>
        </w:rPr>
        <w:t xml:space="preserve">Never resize icons outside these three values</w:t>
      </w:r>
    </w:p>
    <w:p>
      <w:pPr>
        <w:pBdr>
          <w:bottom w:val="single" w:color="A3DDE6" w:sz="4" w:space="1"/>
        </w:pBdr>
        <w:spacing w:after="200" w:before="200"/>
      </w:pPr>
    </w:p>
    <w:p>
      <w:pPr>
        <w:pStyle w:val="Heading1"/>
        <w:spacing w:after="160" w:before="400"/>
      </w:pPr>
      <w:r>
        <w:rPr>
          <w:rFonts w:ascii="Arial" w:cs="Arial" w:eastAsia="Arial" w:hAnsi="Arial"/>
          <w:b/>
          <w:bCs/>
          <w:color w:val="062C36"/>
          <w:sz w:val="36"/>
          <w:szCs w:val="36"/>
        </w:rPr>
        <w:t xml:space="preserve">10. Tone of Voice</w:t>
      </w:r>
    </w:p>
    <w:p>
      <w:pPr>
        <w:spacing w:after="80" w:before="80"/>
      </w:pPr>
      <w:r>
        <w:rPr>
          <w:rFonts w:ascii="Arial" w:cs="Arial" w:eastAsia="Arial" w:hAnsi="Arial"/>
          <w:color w:val="2C2C2A"/>
          <w:sz w:val="22"/>
          <w:szCs w:val="22"/>
        </w:rPr>
        <w:t xml:space="preserve">Tidemarq is a technical tool for people who care about their data. The voice should be calm, precise, and direct. It never panics, never over-explains, and never uses jargon without definition.</w:t>
      </w:r>
    </w:p>
    <w:p>
      <w:pPr>
        <w:spacing w:after="0" w:before="120"/>
      </w:pPr>
    </w:p>
    <w:p>
      <w:pPr>
        <w:pStyle w:val="Heading3"/>
        <w:spacing w:after="80" w:before="240"/>
      </w:pPr>
      <w:r>
        <w:rPr>
          <w:rFonts w:ascii="Arial" w:cs="Arial" w:eastAsia="Arial" w:hAnsi="Arial"/>
          <w:b/>
          <w:bCs/>
          <w:color w:val="0A4452"/>
          <w:sz w:val="22"/>
          <w:szCs w:val="22"/>
        </w:rPr>
        <w:t xml:space="preserve">Do</w:t>
      </w:r>
    </w:p>
    <w:p>
      <w:pPr>
        <w:pStyle w:val="ListParagraph"/>
        <w:numPr>
          <w:ilvl w:val="0"/>
          <w:numId w:val="2"/>
        </w:numPr>
        <w:spacing w:after="40" w:before="40"/>
      </w:pPr>
      <w:r>
        <w:rPr>
          <w:rFonts w:ascii="Arial" w:cs="Arial" w:eastAsia="Arial" w:hAnsi="Arial"/>
          <w:color w:val="2C2C2A"/>
          <w:sz w:val="22"/>
          <w:szCs w:val="22"/>
        </w:rPr>
        <w:t xml:space="preserve">Use active voice: "Synced 1,240 files" not "1,240 files were synced"</w:t>
      </w:r>
    </w:p>
    <w:p>
      <w:pPr>
        <w:pStyle w:val="ListParagraph"/>
        <w:numPr>
          <w:ilvl w:val="0"/>
          <w:numId w:val="2"/>
        </w:numPr>
        <w:spacing w:after="40" w:before="40"/>
      </w:pPr>
      <w:r>
        <w:rPr>
          <w:rFonts w:ascii="Arial" w:cs="Arial" w:eastAsia="Arial" w:hAnsi="Arial"/>
          <w:color w:val="2C2C2A"/>
          <w:sz w:val="22"/>
          <w:szCs w:val="22"/>
        </w:rPr>
        <w:t xml:space="preserve">Be specific about errors: name the file and the reason</w:t>
      </w:r>
    </w:p>
    <w:p>
      <w:pPr>
        <w:pStyle w:val="ListParagraph"/>
        <w:numPr>
          <w:ilvl w:val="0"/>
          <w:numId w:val="2"/>
        </w:numPr>
        <w:spacing w:after="40" w:before="40"/>
      </w:pPr>
      <w:r>
        <w:rPr>
          <w:rFonts w:ascii="Arial" w:cs="Arial" w:eastAsia="Arial" w:hAnsi="Arial"/>
          <w:color w:val="2C2C2A"/>
          <w:sz w:val="22"/>
          <w:szCs w:val="22"/>
        </w:rPr>
        <w:t xml:space="preserve">Use past tense for completed actions: "Sync complete" not "Syncing complete"</w:t>
      </w:r>
    </w:p>
    <w:p>
      <w:pPr>
        <w:pStyle w:val="ListParagraph"/>
        <w:numPr>
          <w:ilvl w:val="0"/>
          <w:numId w:val="2"/>
        </w:numPr>
        <w:spacing w:after="40" w:before="40"/>
      </w:pPr>
      <w:r>
        <w:rPr>
          <w:rFonts w:ascii="Arial" w:cs="Arial" w:eastAsia="Arial" w:hAnsi="Arial"/>
          <w:color w:val="2C2C2A"/>
          <w:sz w:val="22"/>
          <w:szCs w:val="22"/>
        </w:rPr>
        <w:t xml:space="preserve">Keep empty states helpful: explain why it's empty and what to do next</w:t>
      </w:r>
    </w:p>
    <w:p>
      <w:pPr>
        <w:pStyle w:val="Heading3"/>
        <w:spacing w:after="80" w:before="240"/>
      </w:pPr>
      <w:r>
        <w:rPr>
          <w:rFonts w:ascii="Arial" w:cs="Arial" w:eastAsia="Arial" w:hAnsi="Arial"/>
          <w:b/>
          <w:bCs/>
          <w:color w:val="0A4452"/>
          <w:sz w:val="22"/>
          <w:szCs w:val="22"/>
        </w:rPr>
        <w:t xml:space="preserve">Don't</w:t>
      </w:r>
    </w:p>
    <w:p>
      <w:pPr>
        <w:pStyle w:val="ListParagraph"/>
        <w:numPr>
          <w:ilvl w:val="0"/>
          <w:numId w:val="2"/>
        </w:numPr>
        <w:spacing w:after="40" w:before="40"/>
      </w:pPr>
      <w:r>
        <w:rPr>
          <w:rFonts w:ascii="Arial" w:cs="Arial" w:eastAsia="Arial" w:hAnsi="Arial"/>
          <w:color w:val="2C2C2A"/>
          <w:sz w:val="22"/>
          <w:szCs w:val="22"/>
        </w:rPr>
        <w:t xml:space="preserve">Don't use exclamation marks</w:t>
      </w:r>
    </w:p>
    <w:p>
      <w:pPr>
        <w:pStyle w:val="ListParagraph"/>
        <w:numPr>
          <w:ilvl w:val="0"/>
          <w:numId w:val="2"/>
        </w:numPr>
        <w:spacing w:after="40" w:before="40"/>
      </w:pPr>
      <w:r>
        <w:rPr>
          <w:rFonts w:ascii="Arial" w:cs="Arial" w:eastAsia="Arial" w:hAnsi="Arial"/>
          <w:color w:val="2C2C2A"/>
          <w:sz w:val="22"/>
          <w:szCs w:val="22"/>
        </w:rPr>
        <w:t xml:space="preserve">Don't anthropomorphise: "Tidemarq is thinking..." is off-brand</w:t>
      </w:r>
    </w:p>
    <w:p>
      <w:pPr>
        <w:pStyle w:val="ListParagraph"/>
        <w:numPr>
          <w:ilvl w:val="0"/>
          <w:numId w:val="2"/>
        </w:numPr>
        <w:spacing w:after="40" w:before="40"/>
      </w:pPr>
      <w:r>
        <w:rPr>
          <w:rFonts w:ascii="Arial" w:cs="Arial" w:eastAsia="Arial" w:hAnsi="Arial"/>
          <w:color w:val="2C2C2A"/>
          <w:sz w:val="22"/>
          <w:szCs w:val="22"/>
        </w:rPr>
        <w:t xml:space="preserve">Don't abbreviate state names in the UI — spell out Synced, Pending, Error, Ignored</w:t>
      </w:r>
    </w:p>
    <w:p>
      <w:pPr>
        <w:pStyle w:val="ListParagraph"/>
        <w:numPr>
          <w:ilvl w:val="0"/>
          <w:numId w:val="2"/>
        </w:numPr>
        <w:spacing w:after="40" w:before="40"/>
      </w:pPr>
      <w:r>
        <w:rPr>
          <w:rFonts w:ascii="Arial" w:cs="Arial" w:eastAsia="Arial" w:hAnsi="Arial"/>
          <w:color w:val="2C2C2A"/>
          <w:sz w:val="22"/>
          <w:szCs w:val="22"/>
        </w:rPr>
        <w:t xml:space="preserve">Don't use red for anything other than errors and destructive actions</w:t>
      </w:r>
    </w:p>
    <w:p>
      <w:pPr>
        <w:pBdr>
          <w:bottom w:val="single" w:color="A3DDE6" w:sz="4" w:space="1"/>
        </w:pBdr>
        <w:spacing w:after="200" w:before="200"/>
      </w:pPr>
    </w:p>
    <w:p>
      <w:pPr>
        <w:pStyle w:val="Heading1"/>
        <w:spacing w:after="160" w:before="400"/>
      </w:pPr>
      <w:r>
        <w:rPr>
          <w:rFonts w:ascii="Arial" w:cs="Arial" w:eastAsia="Arial" w:hAnsi="Arial"/>
          <w:b/>
          <w:bCs/>
          <w:color w:val="062C36"/>
          <w:sz w:val="36"/>
          <w:szCs w:val="36"/>
        </w:rPr>
        <w:t xml:space="preserve">11. Document Versioning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D3D1C7" w:sz="1"/>
              <w:left w:val="single" w:color="D3D1C7" w:sz="1"/>
              <w:bottom w:val="single" w:color="D3D1C7" w:sz="1"/>
              <w:right w:val="single" w:color="D3D1C7" w:sz="1"/>
            </w:tcBorders>
            <w:shd w:fill="0A4452" w:val="clear"/>
            <w:tcMar>
              <w:top w:type="dxa" w:w="100"/>
              <w:left w:type="dxa" w:w="160"/>
              <w:bottom w:type="dxa" w:w="100"/>
              <w:right w:type="dxa" w:w="120"/>
            </w:tcMar>
          </w:tcPr>
          <w:p>
            <w:r>
              <w:rPr>
                <w:rFonts w:ascii="Arial" w:cs="Arial" w:eastAsia="Arial" w:hAnsi="Arial"/>
                <w:b/>
                <w:bCs/>
                <w:color w:val="FFFFFF"/>
                <w:sz w:val="20"/>
                <w:szCs w:val="20"/>
              </w:rPr>
              <w:t xml:space="preserve">Version</w:t>
            </w:r>
          </w:p>
        </w:tc>
        <w:tc>
          <w:tcPr>
            <w:tcW w:type="dxa" w:w="2000"/>
            <w:tcBorders>
              <w:top w:val="single" w:color="D3D1C7" w:sz="1"/>
              <w:left w:val="single" w:color="D3D1C7" w:sz="1"/>
              <w:bottom w:val="single" w:color="D3D1C7" w:sz="1"/>
              <w:right w:val="single" w:color="D3D1C7" w:sz="1"/>
            </w:tcBorders>
            <w:shd w:fill="0A4452" w:val="clear"/>
            <w:tcMar>
              <w:top w:type="dxa" w:w="100"/>
              <w:left w:type="dxa" w:w="160"/>
              <w:bottom w:type="dxa" w:w="100"/>
              <w:right w:type="dxa" w:w="120"/>
            </w:tcMar>
          </w:tcPr>
          <w:p>
            <w:r>
              <w:rPr>
                <w:rFonts w:ascii="Arial" w:cs="Arial" w:eastAsia="Arial" w:hAnsi="Arial"/>
                <w:b/>
                <w:bCs/>
                <w:color w:val="FFFFFF"/>
                <w:sz w:val="20"/>
                <w:szCs w:val="20"/>
              </w:rPr>
              <w:t xml:space="preserve">Date</w:t>
            </w:r>
          </w:p>
        </w:tc>
        <w:tc>
          <w:tcPr>
            <w:tcW w:type="dxa" w:w="6160"/>
            <w:tcBorders>
              <w:top w:val="single" w:color="D3D1C7" w:sz="1"/>
              <w:left w:val="single" w:color="D3D1C7" w:sz="1"/>
              <w:bottom w:val="single" w:color="D3D1C7" w:sz="1"/>
              <w:right w:val="single" w:color="D3D1C7" w:sz="1"/>
            </w:tcBorders>
            <w:shd w:fill="0A4452" w:val="clear"/>
            <w:tcMar>
              <w:top w:type="dxa" w:w="100"/>
              <w:left w:type="dxa" w:w="160"/>
              <w:bottom w:type="dxa" w:w="100"/>
              <w:right w:type="dxa" w:w="120"/>
            </w:tcMar>
          </w:tcPr>
          <w:p>
            <w:r>
              <w:rPr>
                <w:rFonts w:ascii="Arial" w:cs="Arial" w:eastAsia="Arial" w:hAnsi="Arial"/>
                <w:b/>
                <w:bCs/>
                <w:color w:val="FFFFFF"/>
                <w:sz w:val="20"/>
                <w:szCs w:val="20"/>
              </w:rPr>
              <w:t xml:space="preserve">Notes</w:t>
            </w:r>
          </w:p>
        </w:tc>
      </w:tr>
      <w:tr>
        <w:tc>
          <w:tcPr>
            <w:tcW w:type="dxa" w:w="12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1.0</w:t>
            </w:r>
          </w:p>
        </w:tc>
        <w:tc>
          <w:tcPr>
            <w:tcW w:type="dxa" w:w="200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2026-03-30</w:t>
            </w:r>
          </w:p>
        </w:tc>
        <w:tc>
          <w:tcPr>
            <w:tcW w:type="dxa" w:w="61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Initial release — brand, palette, states, charts, components</w:t>
            </w:r>
          </w:p>
        </w:tc>
      </w:tr>
    </w:tbl>
    <w:p>
      <w:pPr>
        <w:spacing w:after="0" w:before="200"/>
      </w:pPr>
    </w:p>
    <w:p>
      <w:pPr>
        <w:pBdr>
          <w:left w:val="single" w:color="5DC4D4" w:sz="6" w:space="8"/>
        </w:pBdr>
        <w:spacing w:after="60" w:before="60"/>
        <w:ind w:left="360"/>
      </w:pPr>
      <w:r>
        <w:rPr>
          <w:rFonts w:ascii="Arial" w:cs="Arial" w:eastAsia="Arial" w:hAnsi="Arial"/>
          <w:i/>
          <w:iCs/>
          <w:color w:val="5F5E5A"/>
          <w:sz w:val="20"/>
          <w:szCs w:val="20"/>
        </w:rPr>
        <w:t xml:space="preserve">Update this document whenever a new colour, component pattern, or state is introduced. Increment the minor version for additions, major version for breaking changes to existing rules.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3DDE6" w:sz="4" w:space="4"/>
      </w:pBdr>
      <w:tabs>
        <w:tab w:val="right" w:pos="9026"/>
      </w:tabs>
      <w:spacing w:before="0"/>
    </w:pPr>
    <w:r>
      <w:rPr>
        <w:rFonts w:ascii="Arial" w:cs="Arial" w:eastAsia="Arial" w:hAnsi="Arial"/>
        <w:color w:val="5F5E5A"/>
        <w:sz w:val="18"/>
        <w:szCs w:val="18"/>
      </w:rPr>
      <w:t xml:space="preserve">Confidential · Internal use only</w:t>
    </w:r>
    <w:r>
      <w:rPr>
        <w:rFonts w:ascii="Arial" w:cs="Arial" w:eastAsia="Arial" w:hAnsi="Arial"/>
        <w:color w:val="5F5E5A"/>
        <w:sz w:val="18"/>
        <w:szCs w:val="18"/>
      </w:rPr>
      <w:t xml:space="preserve">	Page </w:t>
    </w:r>
    <w:fldSimple w:instr="PAGE">
      <w:r>
        <w:rPr>
          <w:rFonts w:ascii="Arial" w:cs="Arial" w:eastAsia="Arial" w:hAnsi="Arial"/>
          <w:color w:val="5F5E5A"/>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5F6E" w:sz="4" w:space="4"/>
      </w:pBdr>
      <w:spacing w:after="0"/>
    </w:pPr>
    <w:r>
      <w:rPr>
        <w:rFonts w:ascii="Arial" w:cs="Arial" w:eastAsia="Arial" w:hAnsi="Arial"/>
        <w:b/>
        <w:bCs/>
        <w:color w:val="0E5F6E"/>
        <w:sz w:val="20"/>
        <w:szCs w:val="20"/>
      </w:rPr>
      <w:t xml:space="preserve">Tidemarq</w:t>
    </w:r>
    <w:r>
      <w:rPr>
        <w:rFonts w:ascii="Arial" w:cs="Arial" w:eastAsia="Arial" w:hAnsi="Arial"/>
        <w:color w:val="5F5E5A"/>
        <w:sz w:val="20"/>
        <w:szCs w:val="20"/>
      </w:rPr>
      <w:t xml:space="preserve">   UX &amp; Brand Style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color w:val="0E5F6E"/>
      </w:rPr>
    </w:lvl>
    <w:lvl w:ilvl="1" w15:tentative="1">
      <w:start w:val="1"/>
      <w:numFmt w:val="bullet"/>
      <w:lvlText w:val="◦"/>
      <w:lvlJc w:val="left"/>
      <w:pPr>
        <w:ind w:left="1000" w:hanging="300"/>
      </w:pPr>
      <w:rPr>
        <w:rFonts w:ascii="Arial" w:cs="Arial" w:eastAsia="Arial" w:hAnsi="Arial"/>
        <w:color w:val="5DC4D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62C36"/>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E5F6E"/>
      <w:sz w:val="26"/>
      <w:szCs w:val="26"/>
    </w:rPr>
  </w:style>
  <w:style w:type="paragraph" w:styleId="Heading3">
    <w:name w:val="Heading 3"/>
    <w:basedOn w:val="Normal"/>
    <w:next w:val="Normal"/>
    <w:qFormat/>
    <w:pPr>
      <w:spacing w:after="80" w:before="240"/>
      <w:outlineLvl w:val="2"/>
    </w:pPr>
    <w:rPr>
      <w:rFonts w:ascii="Arial" w:cs="Arial" w:eastAsia="Arial" w:hAnsi="Arial"/>
      <w:b/>
      <w:bCs/>
      <w:color w:val="0A445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2026-03-30T16:37:09.096Z</dcterms:created>
  <dcterms:modified xsi:type="dcterms:W3CDTF">2026-03-30T16:37:09.096Z</dcterms:modified>
</cp:coreProperties>
</file>

<file path=docProps/custom.xml><?xml version="1.0" encoding="utf-8"?>
<Properties xmlns="http://schemas.openxmlformats.org/officeDocument/2006/custom-properties" xmlns:vt="http://schemas.openxmlformats.org/officeDocument/2006/docPropsVTypes"/>
</file>