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一、檢驗項目: 次世代定序全外顯子定序檢測-單基因遺傳疾病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二、檢驗套組: 非特定                  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三、檢測結果                       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檢體說明: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檢體類別：血液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綜合說明: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第一類：與臨床症狀相關基因之已知致病性變異位點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COL4A3 (NM_000091.5)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</w:t>
      </w: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類別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RS ID   </w:t>
      </w: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結構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核苷酸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基因型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  <w:proofErr w:type="spellStart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>ClinVar</w:t>
      </w:r>
      <w:proofErr w:type="spellEnd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ACMG&amp;AMP</w:t>
      </w: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指引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1    COL4A3 rs75925 exon43 c.3856G&gt;</w:t>
      </w:r>
      <w:proofErr w:type="gramStart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>A(</w:t>
      </w:r>
      <w:proofErr w:type="gramEnd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p. Heterozygous Likely     </w:t>
      </w:r>
      <w:proofErr w:type="spellStart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>Likely</w:t>
      </w:r>
      <w:proofErr w:type="spellEnd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1186           Gly1286</w:t>
      </w:r>
      <w:proofErr w:type="gramStart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Arg)   </w:t>
      </w:r>
      <w:proofErr w:type="gramEnd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pathogenic </w:t>
      </w:r>
      <w:proofErr w:type="spellStart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>pathogenic</w:t>
      </w:r>
      <w:proofErr w:type="spellEnd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==============================================================================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1. COL4A3為Alport syndrome 3A, autosomal dominant/Hematuria, benign familial, 2的致病基因之一，其遺傳模式屬於體染色體顯性遺傳 (Phenotype MIM number: 104200/620320)。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2. 此為疑似致病性之變異位點，與臨床症狀相關。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第二類：其他變異位點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未找到其他變異位點。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建議比對臨床表徵並進行父母親與家族成員之變異位點檢測，以釐清上述變異致病之可能性；根據家族成員變異位點檢測報告或相關資料庫更新，可能影響變異位點ACMG判讀結果。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參考資料: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在個案之檢體中，檢測到1個位於基因COL4A3的變異位點。變異位點 c.3856G&gt;A (p.Gly1286Arg) 為誤義突變 (Missense mutation)，此變異使密碼子改變為不同的胺基酸，可能影響蛋白質的結構穩定性、功能或相互作用。該變異位點在族群資料庫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gnomAD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中發生率為0.01%，在1000 Genomes Project中未報導過發生率。在疾病資料庫 (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) 中此變異位點被報導為「Likely pathogenic」。根據美國醫學遺傳學暨基因體學學會 (American College of Medical Genetics and Genomics) 與分子病理學學會 (Association for Molecular Pathology) 於2015年發表之準則，評測此變異位點為「Likely pathogenic」。此報告僅供參考，臨床判斷仍應以病患的實際狀況為主。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四、檢測方法說明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1.本次檢測使用次世代定序儀分析 (Illumina 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NextSeq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2000)。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lastRenderedPageBreak/>
        <w:t xml:space="preserve">  2.本次檢測變異位點的錯誤率 ≦ 0.1% (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Phred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-scaled Q score ≧ 30)。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3.本次檢測平均定序深度 ≧ 50X。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4.</w:t>
      </w: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本檢測僅能檢測出基因內單一核苷酸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(single nucleotide) </w:t>
      </w: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或是小片段的缺失或插入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(small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indel)，無法檢測出大片段缺失 (deletion)、擴增 (duplication)、插入 (insertion)、倒轉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(inversion) 或其他複雜性結構變異 (complex structural variation)、組織特異性的鑲嵌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(tissue-specific mosaicism) 以及未定序區域 (例如promoter、intron)。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5.本檢測報告僅供醫療專業人員參考，需配合其他相關臨床資料與家族成員之相關檢驗。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依衛福部規定，目前次世代定序分子遺傳診斷皆屬研究性質。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五、檢測結果注釋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1. 本檢測結果比對參考序列為人類hg19版本。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2. 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及ACMG&amp;AMP指引：引用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資料庫截至2025年05月04日更新的註解，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及美國醫學遺傳學暨基因體學學會 (ACMG) 與分子病理學學會 (AMP) 2015年頒佈的指引，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並且主要列入致病(Pathogenic) 及可能致病 (Likely pathogenic) 變異；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其他類別變異經醫師判斷認為與疾病相關時亦可列入。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3. 參考資料: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a. 疾病資料庫: OMIM、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ClinVar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(20250504)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b. 族群資料庫: 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dbSNP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(avsnp</w:t>
      </w:r>
      <w:proofErr w:type="gram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150)、</w:t>
      </w:r>
      <w:proofErr w:type="gram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1000 Genomes (popfreq_all_20150413)、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                </w:t>
      </w:r>
      <w:proofErr w:type="spellStart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>gnomAD</w:t>
      </w:r>
      <w:proofErr w:type="spellEnd"/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(v2.1.1 genome)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 c. 序列資料庫: </w:t>
      </w:r>
      <w:proofErr w:type="spellStart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>RefSeqGene</w:t>
      </w:r>
      <w:proofErr w:type="spellEnd"/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(105.20220307)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4. 本次檢測基因包括: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 w:hint="eastAsia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 w:hint="eastAsia"/>
          <w:color w:val="000000"/>
          <w:kern w:val="0"/>
          <w14:ligatures w14:val="none"/>
        </w:rPr>
        <w:t xml:space="preserve">    遺傳性腎臟疾病: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ABCC8, ACE, ACTN4, ADAMTS13, ADCY10, AGTR1, AGXT, AHI1, ALAD, ALAS2, ALG1, ALG8, ALMS1, ANKS6, ANLN, ANOS1, AP2S1, APOE, APOL1, APRT, AQP2, ARHGAP24, ARHGDIA, ARL13B, ARL6, ARMC5, ATG5, ATP1A1, ATP2B3, ATP6V0A4, ATP6V1B1, ATP7B, ATXN10, AVPR2, B9D1, B9D2, BBS1, BBS10, BBS12, BBS2, BBS4, BBS5, BBS7, BBS9, BCS1L, BICC1, BMP4, BMP7, BSND, C1S, C2, C3, C3AR1, C4BPA, C7, C8A, C9, CA2, CACNA1D, CACNA1H, CACNA1S, CAPN12, CASR, CC2D2A, CCL2, CD151, CD2AP, CD46, CDC5L, CDK20, CEP164, CEP290, CEP41, CFB, CFH, CFHR1, CFHR2, CFHR3, CFHR4, CFHR5, CFI, CFTR, CLCN2, CLCN5, CLCN7, CLCNKA, CLCNKB, CLDN16, CLDN19, CLU, CNNM2, COL4A1, COL4A3, COL4A4, COL4A5, COQ2, COQ6, COQ7, COQ9, CPOX, CR1, CR2, CRB2, CTNS, CUBN, CUL3, CYP11B2, CYP1B1, CYP24A1, DCDC2, DGKE, DLC1, DLX5, DLX6, DMP1, DNASE1, DSTYK, DYNC2H1, DYNC2I1, DZIP1L, EGF, EHHADH, EMP2, ENPP1, EYA1, F12, FAM20A, FAN1, FAT1, FBXW7, FCGR2A, FCGR3B, FCN1, FECH, FGF23, FN1, FOXC1, FRAS1, FREM1, FREM2, FXYD2, GALNT3, GANAB, GAPVD1, GATA3, GATM, GLA, GLB1, GLIS2, GLIS3, GNA11, GRHPR, GSN, HFE, HMBS, HNF1B, HNF4A, HOGA1, HPRT1, HSD11B2, HSD3B2, IFT122, IFT140, IFT172, IFT43, INF2, INPP5B, INPP5E, INVS, IQCB1, ITGA3, ITGA8, ITGB4, ITSN1, ITSN2, </w:t>
      </w: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lastRenderedPageBreak/>
        <w:t>JAG1, KANK2, KANK4, KAT2B, KCNA1, KCNJ1, KCNJ10, KCNJ12, KCNJ2, KCNJ5, KCNK5, KCNMB1, KIF7, KL, KLHL3, LAGE3, LAMA5, LAMB2, LCAT, LCORL, LMNA, LMX1B, LPL, LRP2, LRP4, LRP5, LYZ, LZTFL1, MAFB, MAGED2, MAGI2, MASP1, MASP2, MEFV, MET, MKKS, MKS1, MMACHC, MMP14, MYH9, MYO1E, MYOG, NEK1, NEK8, NF1, NOS3, NOTCH2, NPHP1, NPHP3, NPHP4, NPHS1, NPHS2, NR3C1, NR3C2, NUP107, NUP205, NUP93, NXF5, OCRL, OFD1, OSGEP, PAX2, PCBD1, PDSS2, PHB, PHEX, PIEZO2, PKD1, PKD2, PKHD1, PLCE1, PLG, PMM2, PODXL, PPOX, PTH1R, PTPRO, REN, RET, RMND1, ROBO2, RPGRIP1L, RRM2B, SALL1, SALL4, SARS2, SCARB1, SCARB2, SCN4A, SCNN1A, SCNN1B, SCNN1D, SCNN1G, SDCCAG8, SEC61A1, SGPL1, SIAH1, SIX1, SIX2, SIX5, SLC12A1, SLC12A2, SLC12A3, SLC12A5, SLC12A7, SLC16A12, SLC22A12, SLC26A3, SLC2A2, SLC2A9, SLC34A1, SLC34A3, SLC3A1, SLC41A1, SLC4A1, SLC4A4, SLC4A5, SLC5A1, SLC5A2, SLC6A19, SLC6A20, SLC7A7, SLC7A9, SLC9A1, SLC9A3, SLC9A3R1, SLIT2, SMARCAL1, SOX17, STAR, STRA6, STS, STX16, SYNPO, TCTN1, TCTN2, TCTN3, THBD, TMEM138, TMEM216, TMEM231, TMEM237, TMEM67, TNS2, TNXB, TP53RK, TP63, TPRKB, TRIM32, TRNT1, TRPC6, TRPM6, TSC1, TSC2, TTC21B, TTC8, UMOD, UPK3A, UROD, UROS, USF2, VDR, VHL, VIPAS39, VPS33B, VWF, WDR19, WDR35, WDR73, WHAMM, WNK1, WNK4, WNT4, WT1, WT1-AS, XDH, XPNPEP3, ZNF423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Microscopic hematuria: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ACSL4, ADAMTS13, AMMECR1, APOA1, BRCA2, CFHR5, CLCN5, CLDN16, COL4A3, COL4A5, CTNS, CUBN, DIS3L2, F2, FN1, GPC3, H19, INF2, KCNE5, LMNB2, LMX1B, LPIN2, NOS1AP, NUP85, PAX2, PBX1, POU6F2, REST, SLC37A4, SMARCAL1, TRIM28, TRIP13, WT1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Thin glomerular basement membrane: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ARHGDIA, COL4A3, COL4A4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</w:t>
      </w:r>
    </w:p>
    <w:p w:rsidR="0068742D" w:rsidRPr="0068742D" w:rsidRDefault="0068742D" w:rsidP="0068742D">
      <w:pPr>
        <w:spacing w:after="0"/>
        <w:rPr>
          <w:rFonts w:ascii="細明體" w:eastAsia="細明體" w:hAnsi="細明體" w:cs="細明體"/>
          <w:color w:val="000000"/>
          <w:kern w:val="0"/>
          <w14:ligatures w14:val="none"/>
        </w:rPr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Alport syndrome:</w:t>
      </w:r>
    </w:p>
    <w:p w:rsidR="0058579E" w:rsidRPr="0068742D" w:rsidRDefault="0068742D" w:rsidP="0068742D">
      <w:pPr>
        <w:spacing w:after="0"/>
      </w:pPr>
      <w:r w:rsidRPr="0068742D">
        <w:rPr>
          <w:rFonts w:ascii="細明體" w:eastAsia="細明體" w:hAnsi="細明體" w:cs="細明體"/>
          <w:color w:val="000000"/>
          <w:kern w:val="0"/>
          <w14:ligatures w14:val="none"/>
        </w:rPr>
        <w:t xml:space="preserve">    COL4A3, COL4A4, COL4A5</w:t>
      </w:r>
    </w:p>
    <w:sectPr w:rsidR="0058579E" w:rsidRPr="0068742D" w:rsidSect="000876D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6D2"/>
    <w:rsid w:val="00005C96"/>
    <w:rsid w:val="000144C4"/>
    <w:rsid w:val="00020335"/>
    <w:rsid w:val="000208EC"/>
    <w:rsid w:val="000241AB"/>
    <w:rsid w:val="00024729"/>
    <w:rsid w:val="000260E8"/>
    <w:rsid w:val="000322F6"/>
    <w:rsid w:val="00032F89"/>
    <w:rsid w:val="0006258C"/>
    <w:rsid w:val="000876D2"/>
    <w:rsid w:val="000A5B3C"/>
    <w:rsid w:val="000B4A17"/>
    <w:rsid w:val="000C0409"/>
    <w:rsid w:val="000F5000"/>
    <w:rsid w:val="00102B66"/>
    <w:rsid w:val="00160A9F"/>
    <w:rsid w:val="00184CBF"/>
    <w:rsid w:val="00187A0C"/>
    <w:rsid w:val="00190D67"/>
    <w:rsid w:val="001B15E0"/>
    <w:rsid w:val="001C575C"/>
    <w:rsid w:val="001D467B"/>
    <w:rsid w:val="001D6042"/>
    <w:rsid w:val="001D63E6"/>
    <w:rsid w:val="001E12B9"/>
    <w:rsid w:val="002047F1"/>
    <w:rsid w:val="00210141"/>
    <w:rsid w:val="002105E2"/>
    <w:rsid w:val="002A613A"/>
    <w:rsid w:val="002D5ADA"/>
    <w:rsid w:val="002D5C96"/>
    <w:rsid w:val="00305E7E"/>
    <w:rsid w:val="00322BFB"/>
    <w:rsid w:val="00334346"/>
    <w:rsid w:val="00350165"/>
    <w:rsid w:val="003553F6"/>
    <w:rsid w:val="00355486"/>
    <w:rsid w:val="0036085C"/>
    <w:rsid w:val="00361535"/>
    <w:rsid w:val="003D6322"/>
    <w:rsid w:val="003E5D36"/>
    <w:rsid w:val="003F4DA4"/>
    <w:rsid w:val="0040000D"/>
    <w:rsid w:val="00412D56"/>
    <w:rsid w:val="004161F0"/>
    <w:rsid w:val="00445559"/>
    <w:rsid w:val="00446F97"/>
    <w:rsid w:val="00470DC5"/>
    <w:rsid w:val="00485260"/>
    <w:rsid w:val="004B6E33"/>
    <w:rsid w:val="004C66DC"/>
    <w:rsid w:val="0053113B"/>
    <w:rsid w:val="00554D5B"/>
    <w:rsid w:val="00567A9C"/>
    <w:rsid w:val="00571E9C"/>
    <w:rsid w:val="005733A9"/>
    <w:rsid w:val="0057414D"/>
    <w:rsid w:val="0057472C"/>
    <w:rsid w:val="00584166"/>
    <w:rsid w:val="0058579E"/>
    <w:rsid w:val="005D78ED"/>
    <w:rsid w:val="005E4BBF"/>
    <w:rsid w:val="00603B33"/>
    <w:rsid w:val="00611FE8"/>
    <w:rsid w:val="006147FE"/>
    <w:rsid w:val="00673B9A"/>
    <w:rsid w:val="0067492F"/>
    <w:rsid w:val="00681B50"/>
    <w:rsid w:val="0068742D"/>
    <w:rsid w:val="006A2F3E"/>
    <w:rsid w:val="006B7A7E"/>
    <w:rsid w:val="006D3C4F"/>
    <w:rsid w:val="006F2F38"/>
    <w:rsid w:val="00700571"/>
    <w:rsid w:val="00703E01"/>
    <w:rsid w:val="007234D9"/>
    <w:rsid w:val="00733E41"/>
    <w:rsid w:val="007379FA"/>
    <w:rsid w:val="0074393F"/>
    <w:rsid w:val="00744D8F"/>
    <w:rsid w:val="00765CAA"/>
    <w:rsid w:val="00781E39"/>
    <w:rsid w:val="00785A50"/>
    <w:rsid w:val="007B26E5"/>
    <w:rsid w:val="007C79F6"/>
    <w:rsid w:val="007D5A1D"/>
    <w:rsid w:val="007E7EE0"/>
    <w:rsid w:val="00810E12"/>
    <w:rsid w:val="00844A87"/>
    <w:rsid w:val="008505C5"/>
    <w:rsid w:val="00852DB4"/>
    <w:rsid w:val="0086130F"/>
    <w:rsid w:val="008826FF"/>
    <w:rsid w:val="008867F9"/>
    <w:rsid w:val="00893CCE"/>
    <w:rsid w:val="008A4966"/>
    <w:rsid w:val="008C2E92"/>
    <w:rsid w:val="008D2A12"/>
    <w:rsid w:val="009119F2"/>
    <w:rsid w:val="0092122E"/>
    <w:rsid w:val="00932E68"/>
    <w:rsid w:val="0094018B"/>
    <w:rsid w:val="009547D2"/>
    <w:rsid w:val="00980EB1"/>
    <w:rsid w:val="0099244B"/>
    <w:rsid w:val="00996B3F"/>
    <w:rsid w:val="009B722C"/>
    <w:rsid w:val="009E6AD0"/>
    <w:rsid w:val="009F3A00"/>
    <w:rsid w:val="00A133B6"/>
    <w:rsid w:val="00A21A51"/>
    <w:rsid w:val="00A665EA"/>
    <w:rsid w:val="00A80D6B"/>
    <w:rsid w:val="00AA6287"/>
    <w:rsid w:val="00AB02EC"/>
    <w:rsid w:val="00AB04A8"/>
    <w:rsid w:val="00AB072B"/>
    <w:rsid w:val="00AB62A6"/>
    <w:rsid w:val="00AB77F9"/>
    <w:rsid w:val="00AC0F7B"/>
    <w:rsid w:val="00AD0240"/>
    <w:rsid w:val="00AD1ADA"/>
    <w:rsid w:val="00AD34CC"/>
    <w:rsid w:val="00B159E8"/>
    <w:rsid w:val="00B272D9"/>
    <w:rsid w:val="00B4285E"/>
    <w:rsid w:val="00B54BC0"/>
    <w:rsid w:val="00B84EC9"/>
    <w:rsid w:val="00BA441B"/>
    <w:rsid w:val="00BB142E"/>
    <w:rsid w:val="00BB6BA3"/>
    <w:rsid w:val="00BB73CA"/>
    <w:rsid w:val="00BD1319"/>
    <w:rsid w:val="00BD7949"/>
    <w:rsid w:val="00BE0656"/>
    <w:rsid w:val="00BE5998"/>
    <w:rsid w:val="00C237AE"/>
    <w:rsid w:val="00C279E7"/>
    <w:rsid w:val="00C778F9"/>
    <w:rsid w:val="00C826C5"/>
    <w:rsid w:val="00CD0F86"/>
    <w:rsid w:val="00CE79AF"/>
    <w:rsid w:val="00D45125"/>
    <w:rsid w:val="00D915D1"/>
    <w:rsid w:val="00DE0400"/>
    <w:rsid w:val="00DE2177"/>
    <w:rsid w:val="00E0358A"/>
    <w:rsid w:val="00E035B2"/>
    <w:rsid w:val="00E0361A"/>
    <w:rsid w:val="00E12266"/>
    <w:rsid w:val="00E13576"/>
    <w:rsid w:val="00E14BB4"/>
    <w:rsid w:val="00E454A3"/>
    <w:rsid w:val="00E562C2"/>
    <w:rsid w:val="00E8227F"/>
    <w:rsid w:val="00EB7385"/>
    <w:rsid w:val="00ED100A"/>
    <w:rsid w:val="00EE5EE8"/>
    <w:rsid w:val="00F27CCA"/>
    <w:rsid w:val="00F31791"/>
    <w:rsid w:val="00F71C86"/>
    <w:rsid w:val="00F72072"/>
    <w:rsid w:val="00F7720D"/>
    <w:rsid w:val="00FB100D"/>
    <w:rsid w:val="00FC0DEE"/>
    <w:rsid w:val="00FC1040"/>
    <w:rsid w:val="00FC2062"/>
    <w:rsid w:val="00FD41E3"/>
    <w:rsid w:val="00FF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86F8ED-4D16-2444-9174-94B95BBD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76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76D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76D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7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76D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76D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76D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76D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876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87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876D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87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876D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876D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876D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76D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8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76D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876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876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76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76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7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876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76D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0876D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0876D2"/>
    <w:rPr>
      <w:rFonts w:ascii="細明體" w:eastAsia="細明體" w:hAnsi="細明體" w:cs="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2026-05-20T02:08:00Z</dcterms:created>
  <dcterms:modified xsi:type="dcterms:W3CDTF">2026-05-20T02:24:00Z</dcterms:modified>
</cp:coreProperties>
</file>