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89EC8" w14:textId="77777777" w:rsidR="00BD21A1" w:rsidRPr="00844FEC" w:rsidRDefault="00BD21A1" w:rsidP="00844FEC">
      <w:pPr>
        <w:spacing w:before="2400" w:line="360" w:lineRule="auto"/>
        <w:rPr>
          <w:rFonts w:ascii="Times New Roman" w:hAnsi="Times New Roman" w:cs="Times New Roman"/>
        </w:rPr>
      </w:pPr>
    </w:p>
    <w:p w14:paraId="2F00320E" w14:textId="77777777" w:rsidR="00BD21A1" w:rsidRPr="00844FEC" w:rsidRDefault="00000000" w:rsidP="00844FEC">
      <w:pPr>
        <w:spacing w:after="160" w:line="360" w:lineRule="auto"/>
        <w:jc w:val="center"/>
        <w:rPr>
          <w:rFonts w:ascii="Times New Roman" w:hAnsi="Times New Roman" w:cs="Times New Roman"/>
        </w:rPr>
      </w:pPr>
      <w:r w:rsidRPr="00844FEC">
        <w:rPr>
          <w:rFonts w:ascii="Times New Roman" w:hAnsi="Times New Roman" w:cs="Times New Roman"/>
          <w:b/>
          <w:bCs/>
          <w:sz w:val="28"/>
          <w:szCs w:val="28"/>
        </w:rPr>
        <w:t>Roshan Poudel</w:t>
      </w:r>
    </w:p>
    <w:p w14:paraId="358D0865" w14:textId="77777777" w:rsidR="00BD21A1" w:rsidRPr="00844FEC" w:rsidRDefault="00000000" w:rsidP="00844FEC">
      <w:pPr>
        <w:spacing w:before="600" w:after="100" w:line="360" w:lineRule="auto"/>
        <w:jc w:val="center"/>
        <w:rPr>
          <w:rFonts w:ascii="Times New Roman" w:hAnsi="Times New Roman" w:cs="Times New Roman"/>
        </w:rPr>
      </w:pPr>
      <w:r w:rsidRPr="00844FEC">
        <w:rPr>
          <w:rFonts w:ascii="Times New Roman" w:hAnsi="Times New Roman" w:cs="Times New Roman"/>
          <w:b/>
          <w:bCs/>
          <w:sz w:val="40"/>
          <w:szCs w:val="40"/>
        </w:rPr>
        <w:t>Comparative Analysis of Modern CI/CD Tools:</w:t>
      </w:r>
    </w:p>
    <w:p w14:paraId="7E87E534" w14:textId="77777777" w:rsidR="00BD21A1" w:rsidRPr="00844FEC" w:rsidRDefault="00000000" w:rsidP="00844FEC">
      <w:pPr>
        <w:spacing w:after="100" w:line="360" w:lineRule="auto"/>
        <w:jc w:val="center"/>
        <w:rPr>
          <w:rFonts w:ascii="Times New Roman" w:hAnsi="Times New Roman" w:cs="Times New Roman"/>
        </w:rPr>
      </w:pPr>
      <w:r w:rsidRPr="00844FEC">
        <w:rPr>
          <w:rFonts w:ascii="Times New Roman" w:hAnsi="Times New Roman" w:cs="Times New Roman"/>
          <w:b/>
          <w:bCs/>
          <w:sz w:val="36"/>
          <w:szCs w:val="36"/>
        </w:rPr>
        <w:t xml:space="preserve">GitHub Actions, </w:t>
      </w:r>
      <w:proofErr w:type="spellStart"/>
      <w:r w:rsidRPr="00844FEC">
        <w:rPr>
          <w:rFonts w:ascii="Times New Roman" w:hAnsi="Times New Roman" w:cs="Times New Roman"/>
          <w:b/>
          <w:bCs/>
          <w:sz w:val="36"/>
          <w:szCs w:val="36"/>
        </w:rPr>
        <w:t>CircleCI</w:t>
      </w:r>
      <w:proofErr w:type="spellEnd"/>
      <w:r w:rsidRPr="00844FEC">
        <w:rPr>
          <w:rFonts w:ascii="Times New Roman" w:hAnsi="Times New Roman" w:cs="Times New Roman"/>
          <w:b/>
          <w:bCs/>
          <w:sz w:val="36"/>
          <w:szCs w:val="36"/>
        </w:rPr>
        <w:t>, and Jenkins</w:t>
      </w:r>
    </w:p>
    <w:p w14:paraId="3E70E5EA" w14:textId="77777777" w:rsidR="00BD21A1" w:rsidRPr="00844FEC" w:rsidRDefault="00000000" w:rsidP="00844FEC">
      <w:pPr>
        <w:spacing w:before="120" w:after="600" w:line="360" w:lineRule="auto"/>
        <w:jc w:val="center"/>
        <w:rPr>
          <w:rFonts w:ascii="Times New Roman" w:hAnsi="Times New Roman" w:cs="Times New Roman"/>
        </w:rPr>
      </w:pPr>
      <w:r w:rsidRPr="00844FEC">
        <w:rPr>
          <w:rFonts w:ascii="Times New Roman" w:hAnsi="Times New Roman" w:cs="Times New Roman"/>
          <w:i/>
          <w:iCs/>
          <w:sz w:val="26"/>
          <w:szCs w:val="26"/>
        </w:rPr>
        <w:t>A Performance-Based Evaluation for Contemporary Software Development</w:t>
      </w:r>
    </w:p>
    <w:p w14:paraId="0C311CC0" w14:textId="77777777" w:rsidR="00BD21A1" w:rsidRPr="00844FEC" w:rsidRDefault="00000000" w:rsidP="00844FEC">
      <w:pPr>
        <w:spacing w:after="100" w:line="360" w:lineRule="auto"/>
        <w:jc w:val="center"/>
        <w:rPr>
          <w:rFonts w:ascii="Times New Roman" w:hAnsi="Times New Roman" w:cs="Times New Roman"/>
        </w:rPr>
      </w:pPr>
      <w:r w:rsidRPr="00844FEC">
        <w:rPr>
          <w:rFonts w:ascii="Times New Roman" w:hAnsi="Times New Roman" w:cs="Times New Roman"/>
        </w:rPr>
        <w:t>Student ID: 2502657</w:t>
      </w:r>
    </w:p>
    <w:p w14:paraId="5328A3F3" w14:textId="77777777" w:rsidR="00BD21A1" w:rsidRPr="00844FEC" w:rsidRDefault="00000000" w:rsidP="00844FEC">
      <w:pPr>
        <w:spacing w:after="100" w:line="360" w:lineRule="auto"/>
        <w:jc w:val="center"/>
        <w:rPr>
          <w:rFonts w:ascii="Times New Roman" w:hAnsi="Times New Roman" w:cs="Times New Roman"/>
        </w:rPr>
      </w:pPr>
      <w:r w:rsidRPr="00844FEC">
        <w:rPr>
          <w:rFonts w:ascii="Times New Roman" w:hAnsi="Times New Roman" w:cs="Times New Roman"/>
        </w:rPr>
        <w:t>Master's Degree Programme in Information Technology</w:t>
      </w:r>
    </w:p>
    <w:p w14:paraId="592695F1" w14:textId="77777777" w:rsidR="00BD21A1" w:rsidRPr="00844FEC" w:rsidRDefault="00000000" w:rsidP="00844FEC">
      <w:pPr>
        <w:spacing w:after="100" w:line="360" w:lineRule="auto"/>
        <w:jc w:val="center"/>
        <w:rPr>
          <w:rFonts w:ascii="Times New Roman" w:hAnsi="Times New Roman" w:cs="Times New Roman"/>
        </w:rPr>
      </w:pPr>
      <w:proofErr w:type="spellStart"/>
      <w:r w:rsidRPr="00844FEC">
        <w:rPr>
          <w:rFonts w:ascii="Times New Roman" w:hAnsi="Times New Roman" w:cs="Times New Roman"/>
        </w:rPr>
        <w:t>Metropolia</w:t>
      </w:r>
      <w:proofErr w:type="spellEnd"/>
      <w:r w:rsidRPr="00844FEC">
        <w:rPr>
          <w:rFonts w:ascii="Times New Roman" w:hAnsi="Times New Roman" w:cs="Times New Roman"/>
        </w:rPr>
        <w:t xml:space="preserve"> University of Applied Sciences, Finland</w:t>
      </w:r>
    </w:p>
    <w:p w14:paraId="38531146" w14:textId="77777777" w:rsidR="00BD21A1" w:rsidRPr="00844FEC" w:rsidRDefault="00000000" w:rsidP="00844FEC">
      <w:pPr>
        <w:spacing w:line="360" w:lineRule="auto"/>
        <w:jc w:val="center"/>
        <w:rPr>
          <w:rFonts w:ascii="Times New Roman" w:hAnsi="Times New Roman" w:cs="Times New Roman"/>
        </w:rPr>
      </w:pPr>
      <w:r w:rsidRPr="00844FEC">
        <w:rPr>
          <w:rFonts w:ascii="Times New Roman" w:hAnsi="Times New Roman" w:cs="Times New Roman"/>
        </w:rPr>
        <w:t>April 2026</w:t>
      </w:r>
    </w:p>
    <w:p w14:paraId="65CA7249" w14:textId="77777777" w:rsidR="00BD21A1" w:rsidRPr="00844FEC" w:rsidRDefault="00000000" w:rsidP="00844FEC">
      <w:pPr>
        <w:spacing w:line="360" w:lineRule="auto"/>
        <w:jc w:val="center"/>
        <w:rPr>
          <w:rFonts w:ascii="Times New Roman" w:hAnsi="Times New Roman" w:cs="Times New Roman"/>
        </w:rPr>
      </w:pPr>
      <w:r w:rsidRPr="00844FEC">
        <w:rPr>
          <w:rFonts w:ascii="Times New Roman" w:hAnsi="Times New Roman" w:cs="Times New Roman"/>
        </w:rPr>
        <w:br w:type="page"/>
      </w:r>
    </w:p>
    <w:p w14:paraId="228F3BC7" w14:textId="77777777" w:rsidR="00BD21A1" w:rsidRPr="00844FEC" w:rsidRDefault="00000000" w:rsidP="00844FEC">
      <w:pPr>
        <w:pStyle w:val="Heading1"/>
        <w:spacing w:line="360" w:lineRule="auto"/>
        <w:rPr>
          <w:rFonts w:ascii="Times New Roman" w:hAnsi="Times New Roman" w:cs="Times New Roman"/>
          <w:color w:val="auto"/>
        </w:rPr>
      </w:pPr>
      <w:r w:rsidRPr="00844FEC">
        <w:rPr>
          <w:rFonts w:ascii="Times New Roman" w:hAnsi="Times New Roman" w:cs="Times New Roman"/>
          <w:color w:val="auto"/>
        </w:rPr>
        <w:lastRenderedPageBreak/>
        <w:t>1 Introduction</w:t>
      </w:r>
    </w:p>
    <w:p w14:paraId="6BF5124A"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This chapter introduces the research context, defines the problem under investigation, and presents the research objectives, questions, scope, and brief methodology. The chapter concludes by outlining the structure of the thesis.</w:t>
      </w:r>
    </w:p>
    <w:p w14:paraId="33CB8849" w14:textId="77777777" w:rsidR="00BD21A1" w:rsidRPr="00844FEC" w:rsidRDefault="00000000" w:rsidP="00844FEC">
      <w:pPr>
        <w:pStyle w:val="Heading2"/>
        <w:spacing w:line="360" w:lineRule="auto"/>
        <w:rPr>
          <w:rFonts w:ascii="Times New Roman" w:hAnsi="Times New Roman" w:cs="Times New Roman"/>
          <w:color w:val="auto"/>
        </w:rPr>
      </w:pPr>
      <w:r w:rsidRPr="00844FEC">
        <w:rPr>
          <w:rFonts w:ascii="Times New Roman" w:hAnsi="Times New Roman" w:cs="Times New Roman"/>
          <w:color w:val="auto"/>
        </w:rPr>
        <w:t>1.1 Background and Context</w:t>
      </w:r>
    </w:p>
    <w:p w14:paraId="22382579"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The modern software development landscape demands rapid, reliable, and frequent software releases with minimal errors. According to recent industry research, organisations implementing effective Continuous Integration and Continuous Deployment (CI/CD) practices deploy code 208 times more frequently than low-performing teams while maintaining superior stability and quality metrics [1]. This dramatic performance differential underscores the strategic importance of selecting appropriate CI/CD tooling for software development organisations.</w:t>
      </w:r>
    </w:p>
    <w:p w14:paraId="5F025B56"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Continuous Integration (CI) refers to the practice of frequently merging code changes from multiple developers into a shared repository, with each integration automatically tested to identify defects early in the development cycle [2]. Continuous Deployment (CD) extends this practice by automating the release process, enabling validated code changes to be deployed to production environments automatically. Together, these practices form the backbone of contemporary DevOps methodologies and have become indispensable components of high-performance software engineering workflows [3].</w:t>
      </w:r>
    </w:p>
    <w:p w14:paraId="7876DDE9"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The CI/CD tools market has experienced substantial growth, valued at USD 9.41 billion in 2025 and projected to reach USD 33.63 billion by 2034, representing a compound annual growth rate (CAGR) of approximately 15.19% [4]. This expansion reflects the increasing adoption of DevOps practices across industries and organisation sizes. Within this growing market, three platforms have emerged as particularly prominent: GitHub Actions, </w:t>
      </w:r>
      <w:proofErr w:type="spellStart"/>
      <w:r w:rsidRPr="00844FEC">
        <w:rPr>
          <w:rFonts w:ascii="Times New Roman" w:hAnsi="Times New Roman" w:cs="Times New Roman"/>
        </w:rPr>
        <w:t>CircleCI</w:t>
      </w:r>
      <w:proofErr w:type="spellEnd"/>
      <w:r w:rsidRPr="00844FEC">
        <w:rPr>
          <w:rFonts w:ascii="Times New Roman" w:hAnsi="Times New Roman" w:cs="Times New Roman"/>
        </w:rPr>
        <w:t xml:space="preserve">, and Jenkins. Jenkins, established in 2011, represents the traditional self-hosted approach with extensive customisation capabilities through over 1,900 community plugins [5]. GitHub Actions, launched in 2019, provides seamless integration with the GitHub ecosystem used by 62% of development teams [6]. </w:t>
      </w:r>
      <w:proofErr w:type="spellStart"/>
      <w:r w:rsidRPr="00844FEC">
        <w:rPr>
          <w:rFonts w:ascii="Times New Roman" w:hAnsi="Times New Roman" w:cs="Times New Roman"/>
        </w:rPr>
        <w:t>CircleCI</w:t>
      </w:r>
      <w:proofErr w:type="spellEnd"/>
      <w:r w:rsidRPr="00844FEC">
        <w:rPr>
          <w:rFonts w:ascii="Times New Roman" w:hAnsi="Times New Roman" w:cs="Times New Roman"/>
        </w:rPr>
        <w:t xml:space="preserve"> has built its reputation on performance optimisation and Docker excellence, trusted by major enterprises including </w:t>
      </w:r>
      <w:r w:rsidRPr="00844FEC">
        <w:rPr>
          <w:rFonts w:ascii="Times New Roman" w:hAnsi="Times New Roman" w:cs="Times New Roman"/>
        </w:rPr>
        <w:lastRenderedPageBreak/>
        <w:t>Meta and Adobe [7]. Each platform embodies distinct architectural philosophies and operational trade-offs that necessitate rigorous comparative evaluation.</w:t>
      </w:r>
    </w:p>
    <w:p w14:paraId="032C3486"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Against this backdrop, development organisations increasingly face difficult tooling decisions that carry long-term financial and operational consequences. The decision to adopt a particular CI/CD platform is rarely reversed without significant cost and disruption. Migrating between platforms entails pipeline reconfiguration, developer retraining, and integration re-engineering. The absence of an up-to-date, empirically grounded comparative study that accounts for current platform capabilities, pricing structures, and developer experience creates a critical information gap that this thesis seeks to address.</w:t>
      </w:r>
    </w:p>
    <w:p w14:paraId="51E7BC57" w14:textId="77777777" w:rsidR="00BD21A1" w:rsidRPr="00844FEC" w:rsidRDefault="00000000" w:rsidP="00844FEC">
      <w:pPr>
        <w:pStyle w:val="Heading2"/>
        <w:spacing w:line="360" w:lineRule="auto"/>
        <w:rPr>
          <w:rFonts w:ascii="Times New Roman" w:hAnsi="Times New Roman" w:cs="Times New Roman"/>
          <w:color w:val="auto"/>
        </w:rPr>
      </w:pPr>
      <w:r w:rsidRPr="00844FEC">
        <w:rPr>
          <w:rFonts w:ascii="Times New Roman" w:hAnsi="Times New Roman" w:cs="Times New Roman"/>
          <w:color w:val="auto"/>
        </w:rPr>
        <w:t>1.2 Problem Definition</w:t>
      </w:r>
    </w:p>
    <w:p w14:paraId="42313045"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Development teams face significant challenges in selecting appropriate CI/CD tools due to several interconnected factors. First, existing comparative studies have become outdated. The rapid pace of technological evolution in CI/CD platforms means that analyses conducted even 12 to 18 months ago may not accurately reflect current capabilities, pricing structures, or performance characteristics. GitHub Actions has undergone substantial enhancements since its 2019 launch, </w:t>
      </w:r>
      <w:proofErr w:type="spellStart"/>
      <w:r w:rsidRPr="00844FEC">
        <w:rPr>
          <w:rFonts w:ascii="Times New Roman" w:hAnsi="Times New Roman" w:cs="Times New Roman"/>
        </w:rPr>
        <w:t>CircleCI</w:t>
      </w:r>
      <w:proofErr w:type="spellEnd"/>
      <w:r w:rsidRPr="00844FEC">
        <w:rPr>
          <w:rFonts w:ascii="Times New Roman" w:hAnsi="Times New Roman" w:cs="Times New Roman"/>
        </w:rPr>
        <w:t xml:space="preserve"> has introduced advanced caching mechanisms and resource classes, and Jenkins continues modernisation efforts including workspace caching and user interface improvements [8].</w:t>
      </w:r>
    </w:p>
    <w:p w14:paraId="7415AFAA"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Second, selection decisions carry substantial costs and long-term implications. Migrating between CI/CD platforms is expensive and operationally disruptive, involving pipeline reconfiguration, developer retraining, and potential integration challenges [8]. Organisations that select suboptimal tools may experience reduced deployment velocity, increased costs, or operational inefficiencies that compound over time. Third, different organisational contexts demand different tool characteristics. A startup with limited resources prioritises ease of setup and cost-effectiveness, while an enterprise organisation may prioritise security compliance, scalability, and integration capabilities. Current comparative literature often fails to provide context-specific recommendations that account for these varying requirements [9].</w:t>
      </w:r>
    </w:p>
    <w:p w14:paraId="7F00FC79"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Furthermore, no existing study combines rigorous empirical performance benchmarking with total cost of ownership (TCO) modelling, validated usability assessment, and integration capability analysis into a single, cohesive evaluation framework. The absence </w:t>
      </w:r>
      <w:r w:rsidRPr="00844FEC">
        <w:rPr>
          <w:rFonts w:ascii="Times New Roman" w:hAnsi="Times New Roman" w:cs="Times New Roman"/>
        </w:rPr>
        <w:lastRenderedPageBreak/>
        <w:t>of such a comprehensive, multi-dimensional methodology represents a significant gap in both academic literature and practitioner guidance.</w:t>
      </w:r>
    </w:p>
    <w:p w14:paraId="63E2A790" w14:textId="77777777" w:rsidR="00BD21A1" w:rsidRPr="00844FEC" w:rsidRDefault="00000000" w:rsidP="00844FEC">
      <w:pPr>
        <w:pStyle w:val="Heading2"/>
        <w:spacing w:line="360" w:lineRule="auto"/>
        <w:rPr>
          <w:rFonts w:ascii="Times New Roman" w:hAnsi="Times New Roman" w:cs="Times New Roman"/>
          <w:color w:val="auto"/>
        </w:rPr>
      </w:pPr>
      <w:r w:rsidRPr="00844FEC">
        <w:rPr>
          <w:rFonts w:ascii="Times New Roman" w:hAnsi="Times New Roman" w:cs="Times New Roman"/>
          <w:color w:val="auto"/>
        </w:rPr>
        <w:t>1.3 Research Objectives</w:t>
      </w:r>
    </w:p>
    <w:p w14:paraId="09433807"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This thesis aims to address the identified problem through the following specific objectives:</w:t>
      </w:r>
    </w:p>
    <w:p w14:paraId="72C9098E" w14:textId="49BAB43C" w:rsidR="00BD21A1" w:rsidRPr="00844FEC" w:rsidRDefault="00000000" w:rsidP="00844FEC">
      <w:pPr>
        <w:pStyle w:val="ListParagraph"/>
        <w:numPr>
          <w:ilvl w:val="0"/>
          <w:numId w:val="2"/>
        </w:numPr>
        <w:spacing w:after="180" w:line="360" w:lineRule="auto"/>
        <w:jc w:val="both"/>
        <w:rPr>
          <w:rFonts w:ascii="Times New Roman" w:hAnsi="Times New Roman" w:cs="Times New Roman"/>
        </w:rPr>
      </w:pPr>
      <w:r w:rsidRPr="00844FEC">
        <w:rPr>
          <w:rFonts w:ascii="Times New Roman" w:hAnsi="Times New Roman" w:cs="Times New Roman"/>
        </w:rPr>
        <w:t xml:space="preserve">To conduct a comprehensive performance evaluation of GitHub Actions, </w:t>
      </w:r>
      <w:proofErr w:type="spellStart"/>
      <w:r w:rsidRPr="00844FEC">
        <w:rPr>
          <w:rFonts w:ascii="Times New Roman" w:hAnsi="Times New Roman" w:cs="Times New Roman"/>
        </w:rPr>
        <w:t>CircleCI</w:t>
      </w:r>
      <w:proofErr w:type="spellEnd"/>
      <w:r w:rsidRPr="00844FEC">
        <w:rPr>
          <w:rFonts w:ascii="Times New Roman" w:hAnsi="Times New Roman" w:cs="Times New Roman"/>
        </w:rPr>
        <w:t>, and Jenkins across standardised test scenarios, measuring build speed, reliability, and resource utilisation.</w:t>
      </w:r>
    </w:p>
    <w:p w14:paraId="25808273" w14:textId="09C35C99" w:rsidR="00BD21A1" w:rsidRPr="00844FEC" w:rsidRDefault="00000000" w:rsidP="00844FEC">
      <w:pPr>
        <w:pStyle w:val="ListParagraph"/>
        <w:numPr>
          <w:ilvl w:val="0"/>
          <w:numId w:val="2"/>
        </w:numPr>
        <w:spacing w:after="180" w:line="360" w:lineRule="auto"/>
        <w:jc w:val="both"/>
        <w:rPr>
          <w:rFonts w:ascii="Times New Roman" w:hAnsi="Times New Roman" w:cs="Times New Roman"/>
        </w:rPr>
      </w:pPr>
      <w:r w:rsidRPr="00844FEC">
        <w:rPr>
          <w:rFonts w:ascii="Times New Roman" w:hAnsi="Times New Roman" w:cs="Times New Roman"/>
        </w:rPr>
        <w:t>To analyse the total cost of ownership for each platform, including costs, infrastructure requirements, and operational overhead across different usage patterns.</w:t>
      </w:r>
    </w:p>
    <w:p w14:paraId="4E1944FA" w14:textId="79226232" w:rsidR="00BD21A1" w:rsidRPr="00844FEC" w:rsidRDefault="00000000" w:rsidP="00844FEC">
      <w:pPr>
        <w:pStyle w:val="ListParagraph"/>
        <w:numPr>
          <w:ilvl w:val="0"/>
          <w:numId w:val="2"/>
        </w:numPr>
        <w:spacing w:after="180" w:line="360" w:lineRule="auto"/>
        <w:jc w:val="both"/>
        <w:rPr>
          <w:rFonts w:ascii="Times New Roman" w:hAnsi="Times New Roman" w:cs="Times New Roman"/>
        </w:rPr>
      </w:pPr>
      <w:r w:rsidRPr="00844FEC">
        <w:rPr>
          <w:rFonts w:ascii="Times New Roman" w:hAnsi="Times New Roman" w:cs="Times New Roman"/>
        </w:rPr>
        <w:t>To assess ease of use, learning curve, and developer experience through systematic evaluation of configuration complexity, documentation quality, and community support.</w:t>
      </w:r>
    </w:p>
    <w:p w14:paraId="3A78046F" w14:textId="574DE253" w:rsidR="00BD21A1" w:rsidRPr="00844FEC" w:rsidRDefault="00000000" w:rsidP="00844FEC">
      <w:pPr>
        <w:pStyle w:val="ListParagraph"/>
        <w:numPr>
          <w:ilvl w:val="0"/>
          <w:numId w:val="2"/>
        </w:numPr>
        <w:spacing w:after="180" w:line="360" w:lineRule="auto"/>
        <w:jc w:val="both"/>
        <w:rPr>
          <w:rFonts w:ascii="Times New Roman" w:hAnsi="Times New Roman" w:cs="Times New Roman"/>
        </w:rPr>
      </w:pPr>
      <w:r w:rsidRPr="00844FEC">
        <w:rPr>
          <w:rFonts w:ascii="Times New Roman" w:hAnsi="Times New Roman" w:cs="Times New Roman"/>
        </w:rPr>
        <w:t>To evaluate integration capabilities with common development tools, cloud platforms, and software ecosystems relevant to contemporary development workflows.</w:t>
      </w:r>
    </w:p>
    <w:p w14:paraId="294EF975" w14:textId="77777777" w:rsidR="00BD21A1" w:rsidRPr="00844FEC" w:rsidRDefault="00000000" w:rsidP="00844FEC">
      <w:pPr>
        <w:pStyle w:val="Heading2"/>
        <w:spacing w:line="360" w:lineRule="auto"/>
        <w:rPr>
          <w:rFonts w:ascii="Times New Roman" w:hAnsi="Times New Roman" w:cs="Times New Roman"/>
          <w:color w:val="auto"/>
        </w:rPr>
      </w:pPr>
      <w:r w:rsidRPr="00844FEC">
        <w:rPr>
          <w:rFonts w:ascii="Times New Roman" w:hAnsi="Times New Roman" w:cs="Times New Roman"/>
          <w:color w:val="auto"/>
        </w:rPr>
        <w:t>1.4 Research Questions</w:t>
      </w:r>
    </w:p>
    <w:p w14:paraId="55C4BCE4"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The research addresses the following primary and secondary questions:</w:t>
      </w:r>
    </w:p>
    <w:p w14:paraId="778F6A4A"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Primary Research Question: How do GitHub Actions, </w:t>
      </w:r>
      <w:proofErr w:type="spellStart"/>
      <w:r w:rsidRPr="00844FEC">
        <w:rPr>
          <w:rFonts w:ascii="Times New Roman" w:hAnsi="Times New Roman" w:cs="Times New Roman"/>
        </w:rPr>
        <w:t>CircleCI</w:t>
      </w:r>
      <w:proofErr w:type="spellEnd"/>
      <w:r w:rsidRPr="00844FEC">
        <w:rPr>
          <w:rFonts w:ascii="Times New Roman" w:hAnsi="Times New Roman" w:cs="Times New Roman"/>
        </w:rPr>
        <w:t>, and Jenkins compare in terms of performance, cost, usability, and integration capabilities for contemporary software development projects?</w:t>
      </w:r>
    </w:p>
    <w:p w14:paraId="53ED9590"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Secondary Research Questions:</w:t>
      </w:r>
    </w:p>
    <w:p w14:paraId="5C8F98BE" w14:textId="754277ED" w:rsidR="00BD21A1" w:rsidRPr="00844FEC" w:rsidRDefault="00000000" w:rsidP="00844FEC">
      <w:pPr>
        <w:pStyle w:val="ListParagraph"/>
        <w:numPr>
          <w:ilvl w:val="0"/>
          <w:numId w:val="4"/>
        </w:numPr>
        <w:spacing w:after="180" w:line="360" w:lineRule="auto"/>
        <w:jc w:val="both"/>
        <w:rPr>
          <w:rFonts w:ascii="Times New Roman" w:hAnsi="Times New Roman" w:cs="Times New Roman"/>
        </w:rPr>
      </w:pPr>
      <w:r w:rsidRPr="00844FEC">
        <w:rPr>
          <w:rFonts w:ascii="Times New Roman" w:hAnsi="Times New Roman" w:cs="Times New Roman"/>
        </w:rPr>
        <w:t>What are the measurable performance differences between these platforms in terms of build speed, reliability, and resource efficiency?</w:t>
      </w:r>
    </w:p>
    <w:p w14:paraId="0BE38C4A" w14:textId="12B18579" w:rsidR="00BD21A1" w:rsidRPr="00844FEC" w:rsidRDefault="00000000" w:rsidP="00844FEC">
      <w:pPr>
        <w:pStyle w:val="ListParagraph"/>
        <w:numPr>
          <w:ilvl w:val="0"/>
          <w:numId w:val="4"/>
        </w:numPr>
        <w:spacing w:after="180" w:line="360" w:lineRule="auto"/>
        <w:jc w:val="both"/>
        <w:rPr>
          <w:rFonts w:ascii="Times New Roman" w:hAnsi="Times New Roman" w:cs="Times New Roman"/>
        </w:rPr>
      </w:pPr>
      <w:r w:rsidRPr="00844FEC">
        <w:rPr>
          <w:rFonts w:ascii="Times New Roman" w:hAnsi="Times New Roman" w:cs="Times New Roman"/>
        </w:rPr>
        <w:t>How does the total cost of ownership vary across different organisational contexts and usage patterns?</w:t>
      </w:r>
    </w:p>
    <w:p w14:paraId="3389AF80" w14:textId="1A38DA45" w:rsidR="00BD21A1" w:rsidRPr="00844FEC" w:rsidRDefault="00000000" w:rsidP="00844FEC">
      <w:pPr>
        <w:pStyle w:val="ListParagraph"/>
        <w:numPr>
          <w:ilvl w:val="0"/>
          <w:numId w:val="4"/>
        </w:numPr>
        <w:spacing w:after="180" w:line="360" w:lineRule="auto"/>
        <w:jc w:val="both"/>
        <w:rPr>
          <w:rFonts w:ascii="Times New Roman" w:hAnsi="Times New Roman" w:cs="Times New Roman"/>
        </w:rPr>
      </w:pPr>
      <w:r w:rsidRPr="00844FEC">
        <w:rPr>
          <w:rFonts w:ascii="Times New Roman" w:hAnsi="Times New Roman" w:cs="Times New Roman"/>
        </w:rPr>
        <w:lastRenderedPageBreak/>
        <w:t>What factors most significantly influence developer productivity and satisfaction when working with each platform?</w:t>
      </w:r>
    </w:p>
    <w:p w14:paraId="441E9951" w14:textId="447B8944" w:rsidR="00BD21A1" w:rsidRPr="00844FEC" w:rsidRDefault="00000000" w:rsidP="00844FEC">
      <w:pPr>
        <w:pStyle w:val="ListParagraph"/>
        <w:numPr>
          <w:ilvl w:val="0"/>
          <w:numId w:val="4"/>
        </w:numPr>
        <w:spacing w:after="180" w:line="360" w:lineRule="auto"/>
        <w:jc w:val="both"/>
        <w:rPr>
          <w:rFonts w:ascii="Times New Roman" w:hAnsi="Times New Roman" w:cs="Times New Roman"/>
        </w:rPr>
      </w:pPr>
      <w:r w:rsidRPr="00844FEC">
        <w:rPr>
          <w:rFonts w:ascii="Times New Roman" w:hAnsi="Times New Roman" w:cs="Times New Roman"/>
        </w:rPr>
        <w:t>Which platform characteristics best align with specific project types, team sizes, and organisational requirements?</w:t>
      </w:r>
    </w:p>
    <w:p w14:paraId="64EC8DC4" w14:textId="77777777" w:rsidR="00BD21A1" w:rsidRPr="00844FEC" w:rsidRDefault="00000000" w:rsidP="00844FEC">
      <w:pPr>
        <w:pStyle w:val="Heading2"/>
        <w:spacing w:line="360" w:lineRule="auto"/>
        <w:rPr>
          <w:rFonts w:ascii="Times New Roman" w:hAnsi="Times New Roman" w:cs="Times New Roman"/>
          <w:color w:val="auto"/>
        </w:rPr>
      </w:pPr>
      <w:r w:rsidRPr="00844FEC">
        <w:rPr>
          <w:rFonts w:ascii="Times New Roman" w:hAnsi="Times New Roman" w:cs="Times New Roman"/>
          <w:color w:val="auto"/>
        </w:rPr>
        <w:t>1.5 Importance of the Study</w:t>
      </w:r>
    </w:p>
    <w:p w14:paraId="62079422"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The importance of this study is grounded in both academic and practical dimensions. From an academic standpoint, the CI/CD tooling domain lacks current, empirically rigorous comparative research. Most available studies predating 2024 rely on feature checklists or anecdotal evidence rather than systematic experimental data [10]. This study fills that gap by generating reproducible, statistically validated performance data alongside structured cost and usability assessments, contributing to the body of empirical software engineering knowledge.</w:t>
      </w:r>
    </w:p>
    <w:p w14:paraId="57CAC6D3"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From a practical standpoint, the study delivers direct value to software engineering practitioners, technical leaders, and organisational decision-makers who must navigate the CI/CD landscape without reliable, up-to-date guidance. Poor tooling decisions impose measurable costs: slower build cycles, higher operational expenditure, lower developer satisfaction, and reduced deployment frequency. By providing context-sensitive recommendations grounded in empirical evidence, this research reduces the risk and uncertainty inherent in CI/CD platform selection [11].</w:t>
      </w:r>
    </w:p>
    <w:p w14:paraId="193A6AC4"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The research also contributes methodologically. The multi-dimensional evaluation framework developed herein, combining performance benchmarking, TCO modelling, SUS-based usability assessment, and integration analysis, may serve as a replicable template for future comparative studies of developer tooling. This methodological contribution extends the study's relevance beyond the immediate context of CI/CD platform comparison.</w:t>
      </w:r>
    </w:p>
    <w:p w14:paraId="711E9A12" w14:textId="77777777" w:rsidR="00BD21A1" w:rsidRPr="00844FEC" w:rsidRDefault="00000000" w:rsidP="00844FEC">
      <w:pPr>
        <w:pStyle w:val="Heading2"/>
        <w:spacing w:line="360" w:lineRule="auto"/>
        <w:rPr>
          <w:rFonts w:ascii="Times New Roman" w:hAnsi="Times New Roman" w:cs="Times New Roman"/>
          <w:color w:val="auto"/>
        </w:rPr>
      </w:pPr>
      <w:r w:rsidRPr="00844FEC">
        <w:rPr>
          <w:rFonts w:ascii="Times New Roman" w:hAnsi="Times New Roman" w:cs="Times New Roman"/>
          <w:color w:val="auto"/>
        </w:rPr>
        <w:t>1.6 Scope of the Study</w:t>
      </w:r>
    </w:p>
    <w:p w14:paraId="3E099F92"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This research focuses exclusively on GitHub Actions, </w:t>
      </w:r>
      <w:proofErr w:type="spellStart"/>
      <w:r w:rsidRPr="00844FEC">
        <w:rPr>
          <w:rFonts w:ascii="Times New Roman" w:hAnsi="Times New Roman" w:cs="Times New Roman"/>
        </w:rPr>
        <w:t>CircleCI</w:t>
      </w:r>
      <w:proofErr w:type="spellEnd"/>
      <w:r w:rsidRPr="00844FEC">
        <w:rPr>
          <w:rFonts w:ascii="Times New Roman" w:hAnsi="Times New Roman" w:cs="Times New Roman"/>
        </w:rPr>
        <w:t xml:space="preserve">, and Jenkins as the three most widely adopted and representative CI/CD platforms in contemporary software development. The analysis evaluates platform versions current as of 2026, acknowledging that findings may not apply to earlier versions or future updates. Testing utilises </w:t>
      </w:r>
      <w:r w:rsidRPr="00844FEC">
        <w:rPr>
          <w:rFonts w:ascii="Times New Roman" w:hAnsi="Times New Roman" w:cs="Times New Roman"/>
        </w:rPr>
        <w:lastRenderedPageBreak/>
        <w:t>representative benchmark projects across common technology stacks, including Node.js, Python, and containerised microservices applications, recognising that results may vary for other languages or frameworks.</w:t>
      </w:r>
    </w:p>
    <w:p w14:paraId="123B87C6" w14:textId="0E1CF94D"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The study does not include exhaustive testing of all available features or edge </w:t>
      </w:r>
      <w:r w:rsidR="00844FEC" w:rsidRPr="00844FEC">
        <w:rPr>
          <w:rFonts w:ascii="Times New Roman" w:hAnsi="Times New Roman" w:cs="Times New Roman"/>
        </w:rPr>
        <w:t>cases but</w:t>
      </w:r>
      <w:r w:rsidRPr="00844FEC">
        <w:rPr>
          <w:rFonts w:ascii="Times New Roman" w:hAnsi="Times New Roman" w:cs="Times New Roman"/>
        </w:rPr>
        <w:t xml:space="preserve"> rather focuses on commonly used capabilities relevant to typical development workflows. Security analysis is limited to documented features and compliance certifications rather than conducting independent security audits. Cost analysis is based on published pricing as of the research period and may not reflect subsequent pricing changes or negotiated enterprise agreements. The usability evaluation is conducted with a sample of 20 professional software developers and is not intended to be generalisable across all developer populations.</w:t>
      </w:r>
    </w:p>
    <w:p w14:paraId="10D46158" w14:textId="77777777" w:rsidR="00BD21A1" w:rsidRPr="00844FEC" w:rsidRDefault="00000000" w:rsidP="00844FEC">
      <w:pPr>
        <w:pStyle w:val="Heading2"/>
        <w:spacing w:line="360" w:lineRule="auto"/>
        <w:rPr>
          <w:rFonts w:ascii="Times New Roman" w:hAnsi="Times New Roman" w:cs="Times New Roman"/>
          <w:color w:val="auto"/>
        </w:rPr>
      </w:pPr>
      <w:r w:rsidRPr="00844FEC">
        <w:rPr>
          <w:rFonts w:ascii="Times New Roman" w:hAnsi="Times New Roman" w:cs="Times New Roman"/>
          <w:color w:val="auto"/>
        </w:rPr>
        <w:t>1.7 Brief Methodology Overview</w:t>
      </w:r>
    </w:p>
    <w:p w14:paraId="3EA7191A"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The research adopts a sequential explanatory mixed-methods design. A dominant quantitative phase, comprising controlled performance benchmarking across three benchmark projects and TCO scenario modelling, is followed by a supplementary qualitative phase in the form of a System Usability Scale (SUS) assessment administered to 20 purposively sampled developers. Statistical analysis employs the Kruskal-Wallis H test for multi-group performance comparisons and the Mann-Whitney U test with Bonferroni correction for pairwise post-hoc analysis. TCO modelling covers three usage scenarios across three team sizes over a one-month horizon. All raw data, pipeline configurations, and analysis scripts are archived publicly for reproducibility.</w:t>
      </w:r>
    </w:p>
    <w:p w14:paraId="2B7AD3C3" w14:textId="77777777" w:rsidR="00BD21A1" w:rsidRPr="00844FEC" w:rsidRDefault="00000000" w:rsidP="00844FEC">
      <w:pPr>
        <w:pStyle w:val="Heading2"/>
        <w:spacing w:line="360" w:lineRule="auto"/>
        <w:rPr>
          <w:rFonts w:ascii="Times New Roman" w:hAnsi="Times New Roman" w:cs="Times New Roman"/>
          <w:color w:val="auto"/>
        </w:rPr>
      </w:pPr>
      <w:r w:rsidRPr="00844FEC">
        <w:rPr>
          <w:rFonts w:ascii="Times New Roman" w:hAnsi="Times New Roman" w:cs="Times New Roman"/>
          <w:color w:val="auto"/>
        </w:rPr>
        <w:t>1.8 Structure of the Thesis</w:t>
      </w:r>
    </w:p>
    <w:p w14:paraId="221AA719"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This thesis is organised into seven chapters. Chapter 1 introduces the research context, problem definition, objectives, research questions, scope, and methodology overview. Chapter 2 presents the research methodology, covering the research design, data collection procedures, and analytical methods. Chapter 3 provides a current state analysis of the CI/CD landscape, examines the three target platforms, identifies limitations in existing research, specifies the research gaps, and defines the benchmark project specifications. Chapter 4 establishes the theoretical background underpinning the study, covering CI/CD theory, DevOps principles, DORA metrics, the evolution of CI/CD tooling, and the </w:t>
      </w:r>
      <w:r w:rsidRPr="00844FEC">
        <w:rPr>
          <w:rFonts w:ascii="Times New Roman" w:hAnsi="Times New Roman" w:cs="Times New Roman"/>
        </w:rPr>
        <w:lastRenderedPageBreak/>
        <w:t>proposed evaluation framework. Chapter 5 presents the empirical results and statistical analysis. Chapter 6 discusses the findings in relation to the research questions and existing literature. Chapter 7 summarises the study and presents conclusions, limitations, and directions for future research.</w:t>
      </w:r>
    </w:p>
    <w:p w14:paraId="738939F4" w14:textId="77777777" w:rsidR="00BD21A1" w:rsidRPr="00844FEC" w:rsidRDefault="00000000" w:rsidP="00844FEC">
      <w:pPr>
        <w:spacing w:line="360" w:lineRule="auto"/>
        <w:rPr>
          <w:rFonts w:ascii="Times New Roman" w:hAnsi="Times New Roman" w:cs="Times New Roman"/>
        </w:rPr>
      </w:pPr>
      <w:r w:rsidRPr="00844FEC">
        <w:rPr>
          <w:rFonts w:ascii="Times New Roman" w:hAnsi="Times New Roman" w:cs="Times New Roman"/>
        </w:rPr>
        <w:br w:type="page"/>
      </w:r>
    </w:p>
    <w:p w14:paraId="7281379B" w14:textId="77777777" w:rsidR="00BD21A1" w:rsidRPr="00844FEC" w:rsidRDefault="00000000" w:rsidP="00844FEC">
      <w:pPr>
        <w:pStyle w:val="Heading1"/>
        <w:spacing w:line="360" w:lineRule="auto"/>
        <w:rPr>
          <w:rFonts w:ascii="Times New Roman" w:hAnsi="Times New Roman" w:cs="Times New Roman"/>
          <w:color w:val="auto"/>
        </w:rPr>
      </w:pPr>
      <w:r w:rsidRPr="00844FEC">
        <w:rPr>
          <w:rFonts w:ascii="Times New Roman" w:hAnsi="Times New Roman" w:cs="Times New Roman"/>
          <w:color w:val="auto"/>
        </w:rPr>
        <w:lastRenderedPageBreak/>
        <w:t>2 Method and Material</w:t>
      </w:r>
    </w:p>
    <w:p w14:paraId="651625FB" w14:textId="1A2E3305" w:rsidR="00F166C5" w:rsidRPr="00844FEC" w:rsidRDefault="00F166C5" w:rsidP="00844FEC">
      <w:pPr>
        <w:spacing w:after="180" w:line="360" w:lineRule="auto"/>
        <w:jc w:val="both"/>
        <w:rPr>
          <w:rFonts w:ascii="Times New Roman" w:hAnsi="Times New Roman" w:cs="Times New Roman"/>
        </w:rPr>
      </w:pPr>
      <w:r w:rsidRPr="00F166C5">
        <w:rPr>
          <w:rFonts w:ascii="Times New Roman" w:hAnsi="Times New Roman" w:cs="Times New Roman"/>
        </w:rPr>
        <w:t>This chapter explains how the study was carried out. It covers the overall research design, the five phases of the research process, the instruments used to collect data, how the data are analysed, and the steps taken to ensure reliability and validity.</w:t>
      </w:r>
    </w:p>
    <w:p w14:paraId="29CD2430" w14:textId="77777777" w:rsidR="00BD21A1" w:rsidRPr="00844FEC" w:rsidRDefault="00000000" w:rsidP="00844FEC">
      <w:pPr>
        <w:pStyle w:val="Heading2"/>
        <w:spacing w:line="360" w:lineRule="auto"/>
        <w:rPr>
          <w:rFonts w:ascii="Times New Roman" w:hAnsi="Times New Roman" w:cs="Times New Roman"/>
          <w:color w:val="auto"/>
        </w:rPr>
      </w:pPr>
      <w:r w:rsidRPr="00844FEC">
        <w:rPr>
          <w:rFonts w:ascii="Times New Roman" w:hAnsi="Times New Roman" w:cs="Times New Roman"/>
          <w:color w:val="auto"/>
        </w:rPr>
        <w:t>2.1 Research Design</w:t>
      </w:r>
    </w:p>
    <w:p w14:paraId="6A0880F1" w14:textId="77777777" w:rsidR="00F166C5" w:rsidRPr="00F166C5" w:rsidRDefault="00F166C5" w:rsidP="00F166C5">
      <w:pPr>
        <w:spacing w:after="180" w:line="360" w:lineRule="auto"/>
        <w:jc w:val="both"/>
        <w:rPr>
          <w:rFonts w:ascii="Times New Roman" w:hAnsi="Times New Roman" w:cs="Times New Roman"/>
        </w:rPr>
      </w:pPr>
      <w:r w:rsidRPr="00F166C5">
        <w:rPr>
          <w:rFonts w:ascii="Times New Roman" w:hAnsi="Times New Roman" w:cs="Times New Roman"/>
        </w:rPr>
        <w:t>This study uses a mixed-methods research design that combines quantitative performance testing with qualitative developer feedback. The quantitative part involves building and running the same web application pipeline on all three CI/CD platforms under controlled conditions and recording objective performance metrics. The qualitative part involves conducting semi-structured interviews with open-ended questions and administering a Likert-scale survey and System Usability Scale questionnaire to student developers after they interact with each platform [12].</w:t>
      </w:r>
    </w:p>
    <w:p w14:paraId="63478A45" w14:textId="77777777" w:rsidR="00F166C5" w:rsidRPr="00F166C5" w:rsidRDefault="00F166C5" w:rsidP="00F166C5">
      <w:pPr>
        <w:spacing w:after="180" w:line="360" w:lineRule="auto"/>
        <w:jc w:val="both"/>
        <w:rPr>
          <w:rFonts w:ascii="Times New Roman" w:hAnsi="Times New Roman" w:cs="Times New Roman"/>
        </w:rPr>
      </w:pPr>
      <w:r w:rsidRPr="00F166C5">
        <w:rPr>
          <w:rFonts w:ascii="Times New Roman" w:hAnsi="Times New Roman" w:cs="Times New Roman"/>
        </w:rPr>
        <w:t>The two parts are connected using a sequential explanatory approach: the quantitative tests are run first, and the qualitative data are then collected to help explain and contextualise what the performance numbers show [13]. Figure 1 illustrates this design.</w:t>
      </w:r>
    </w:p>
    <w:p w14:paraId="4A906869" w14:textId="77777777" w:rsidR="00F166C5" w:rsidRPr="00F166C5" w:rsidRDefault="00F166C5" w:rsidP="00F166C5">
      <w:pPr>
        <w:spacing w:after="180" w:line="360" w:lineRule="auto"/>
        <w:jc w:val="both"/>
        <w:rPr>
          <w:rFonts w:ascii="Times New Roman" w:hAnsi="Times New Roman" w:cs="Times New Roman"/>
        </w:rPr>
      </w:pPr>
    </w:p>
    <w:p w14:paraId="21025AD7" w14:textId="3DCC86E8" w:rsidR="00F166C5" w:rsidRPr="00F166C5" w:rsidRDefault="00F166C5" w:rsidP="00F166C5">
      <w:pPr>
        <w:spacing w:after="180" w:line="360" w:lineRule="auto"/>
        <w:jc w:val="both"/>
        <w:rPr>
          <w:rFonts w:ascii="Times New Roman" w:hAnsi="Times New Roman" w:cs="Times New Roman"/>
        </w:rPr>
      </w:pPr>
      <w:r w:rsidRPr="00F166C5">
        <w:rPr>
          <w:rFonts w:ascii="Times New Roman" w:hAnsi="Times New Roman" w:cs="Times New Roman"/>
        </w:rPr>
        <w:drawing>
          <wp:inline distT="0" distB="0" distL="0" distR="0" wp14:anchorId="38171EE1" wp14:editId="079DD7CF">
            <wp:extent cx="5196840" cy="2453640"/>
            <wp:effectExtent l="0" t="0" r="3810" b="3810"/>
            <wp:docPr id="19589539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96840" cy="2453640"/>
                    </a:xfrm>
                    <a:prstGeom prst="rect">
                      <a:avLst/>
                    </a:prstGeom>
                    <a:noFill/>
                    <a:ln>
                      <a:noFill/>
                    </a:ln>
                  </pic:spPr>
                </pic:pic>
              </a:graphicData>
            </a:graphic>
          </wp:inline>
        </w:drawing>
      </w:r>
    </w:p>
    <w:p w14:paraId="7263A3A6" w14:textId="29F2016F" w:rsidR="00F166C5" w:rsidRPr="00F166C5" w:rsidRDefault="00F166C5" w:rsidP="00F166C5">
      <w:pPr>
        <w:spacing w:after="180" w:line="360" w:lineRule="auto"/>
        <w:jc w:val="both"/>
        <w:rPr>
          <w:rFonts w:ascii="Times New Roman" w:hAnsi="Times New Roman" w:cs="Times New Roman"/>
        </w:rPr>
      </w:pPr>
      <w:r w:rsidRPr="00F166C5">
        <w:rPr>
          <w:rFonts w:ascii="Times New Roman" w:hAnsi="Times New Roman" w:cs="Times New Roman"/>
        </w:rPr>
        <w:t xml:space="preserve">Figure 1: Research Design </w:t>
      </w:r>
      <w:r w:rsidRPr="00F166C5">
        <w:rPr>
          <w:rFonts w:ascii="Times New Roman" w:hAnsi="Times New Roman" w:cs="Times New Roman"/>
        </w:rPr>
        <w:t>-</w:t>
      </w:r>
      <w:r w:rsidRPr="00F166C5">
        <w:rPr>
          <w:rFonts w:ascii="Times New Roman" w:hAnsi="Times New Roman" w:cs="Times New Roman"/>
        </w:rPr>
        <w:t xml:space="preserve"> Sequential Explanatory Mixed-Methods</w:t>
      </w:r>
    </w:p>
    <w:p w14:paraId="738A0453" w14:textId="77777777" w:rsidR="00F166C5" w:rsidRPr="00F166C5" w:rsidRDefault="00F166C5" w:rsidP="00F166C5">
      <w:pPr>
        <w:spacing w:after="180" w:line="360" w:lineRule="auto"/>
        <w:jc w:val="both"/>
        <w:rPr>
          <w:rFonts w:ascii="Times New Roman" w:hAnsi="Times New Roman" w:cs="Times New Roman"/>
        </w:rPr>
      </w:pPr>
      <w:r w:rsidRPr="00F166C5">
        <w:rPr>
          <w:rFonts w:ascii="Times New Roman" w:hAnsi="Times New Roman" w:cs="Times New Roman"/>
        </w:rPr>
        <w:lastRenderedPageBreak/>
        <w:t>The study follows a post-positivist approach, meaning the aim is to collect objective, evidence-based data and draw conclusions from that evidence [14]. Two formal hypotheses are stated to make the research testable:</w:t>
      </w:r>
    </w:p>
    <w:p w14:paraId="10D4C915" w14:textId="77777777" w:rsidR="00F166C5" w:rsidRPr="00F166C5" w:rsidRDefault="00F166C5" w:rsidP="00F166C5">
      <w:pPr>
        <w:spacing w:after="180" w:line="360" w:lineRule="auto"/>
        <w:jc w:val="both"/>
        <w:rPr>
          <w:rFonts w:ascii="Times New Roman" w:hAnsi="Times New Roman" w:cs="Times New Roman"/>
        </w:rPr>
      </w:pPr>
      <w:r w:rsidRPr="00F166C5">
        <w:rPr>
          <w:rFonts w:ascii="Times New Roman" w:hAnsi="Times New Roman" w:cs="Times New Roman"/>
        </w:rPr>
        <w:t xml:space="preserve">H01: There is no statistically significant difference in mean build duration across GitHub Actions, </w:t>
      </w:r>
      <w:proofErr w:type="spellStart"/>
      <w:r w:rsidRPr="00F166C5">
        <w:rPr>
          <w:rFonts w:ascii="Times New Roman" w:hAnsi="Times New Roman" w:cs="Times New Roman"/>
        </w:rPr>
        <w:t>CircleCI</w:t>
      </w:r>
      <w:proofErr w:type="spellEnd"/>
      <w:r w:rsidRPr="00F166C5">
        <w:rPr>
          <w:rFonts w:ascii="Times New Roman" w:hAnsi="Times New Roman" w:cs="Times New Roman"/>
        </w:rPr>
        <w:t>, and Jenkins under identical workloads.</w:t>
      </w:r>
    </w:p>
    <w:p w14:paraId="4E32F7E1" w14:textId="77777777" w:rsidR="00F166C5" w:rsidRPr="00F166C5" w:rsidRDefault="00F166C5" w:rsidP="00F166C5">
      <w:pPr>
        <w:spacing w:after="180" w:line="360" w:lineRule="auto"/>
        <w:jc w:val="both"/>
        <w:rPr>
          <w:rFonts w:ascii="Times New Roman" w:hAnsi="Times New Roman" w:cs="Times New Roman"/>
        </w:rPr>
      </w:pPr>
      <w:r w:rsidRPr="00F166C5">
        <w:rPr>
          <w:rFonts w:ascii="Times New Roman" w:hAnsi="Times New Roman" w:cs="Times New Roman"/>
        </w:rPr>
        <w:t>H11: At least one platform shows a significantly different mean build duration (Kruskal-</w:t>
      </w:r>
      <w:proofErr w:type="gramStart"/>
      <w:r w:rsidRPr="00F166C5">
        <w:rPr>
          <w:rFonts w:ascii="Times New Roman" w:hAnsi="Times New Roman" w:cs="Times New Roman"/>
        </w:rPr>
        <w:t>Wallis</w:t>
      </w:r>
      <w:proofErr w:type="gramEnd"/>
      <w:r w:rsidRPr="00F166C5">
        <w:rPr>
          <w:rFonts w:ascii="Times New Roman" w:hAnsi="Times New Roman" w:cs="Times New Roman"/>
        </w:rPr>
        <w:t xml:space="preserve"> test, alpha = 0.05).</w:t>
      </w:r>
    </w:p>
    <w:p w14:paraId="145C56FF" w14:textId="77777777" w:rsidR="00F166C5" w:rsidRPr="00F166C5" w:rsidRDefault="00F166C5" w:rsidP="00F166C5">
      <w:pPr>
        <w:spacing w:after="180" w:line="360" w:lineRule="auto"/>
        <w:jc w:val="both"/>
        <w:rPr>
          <w:rFonts w:ascii="Times New Roman" w:hAnsi="Times New Roman" w:cs="Times New Roman"/>
        </w:rPr>
      </w:pPr>
      <w:r w:rsidRPr="00F166C5">
        <w:rPr>
          <w:rFonts w:ascii="Times New Roman" w:hAnsi="Times New Roman" w:cs="Times New Roman"/>
        </w:rPr>
        <w:t>H02: There is no significant difference in pipeline reliability across the three platforms.</w:t>
      </w:r>
    </w:p>
    <w:p w14:paraId="2402AC0B" w14:textId="1FBB4335" w:rsidR="00F166C5" w:rsidRPr="00844FEC" w:rsidRDefault="00F166C5" w:rsidP="00844FEC">
      <w:pPr>
        <w:spacing w:after="180" w:line="360" w:lineRule="auto"/>
        <w:jc w:val="both"/>
        <w:rPr>
          <w:rFonts w:ascii="Times New Roman" w:hAnsi="Times New Roman" w:cs="Times New Roman"/>
        </w:rPr>
      </w:pPr>
      <w:r w:rsidRPr="00F166C5">
        <w:rPr>
          <w:rFonts w:ascii="Times New Roman" w:hAnsi="Times New Roman" w:cs="Times New Roman"/>
        </w:rPr>
        <w:t>H12: At least one platform shows a significantly different reliability profile (Mann-Whitney U test, alpha = 0.05).</w:t>
      </w:r>
    </w:p>
    <w:p w14:paraId="050D71E6" w14:textId="77777777" w:rsidR="00BD21A1" w:rsidRPr="00844FEC" w:rsidRDefault="00000000" w:rsidP="00844FEC">
      <w:pPr>
        <w:pStyle w:val="Heading2"/>
        <w:spacing w:line="360" w:lineRule="auto"/>
        <w:rPr>
          <w:rFonts w:ascii="Times New Roman" w:hAnsi="Times New Roman" w:cs="Times New Roman"/>
          <w:color w:val="auto"/>
        </w:rPr>
      </w:pPr>
      <w:r w:rsidRPr="00844FEC">
        <w:rPr>
          <w:rFonts w:ascii="Times New Roman" w:hAnsi="Times New Roman" w:cs="Times New Roman"/>
          <w:color w:val="auto"/>
        </w:rPr>
        <w:t>2.2 Research Process</w:t>
      </w:r>
    </w:p>
    <w:p w14:paraId="1F42DE7E" w14:textId="77777777" w:rsidR="00F166C5" w:rsidRPr="00F166C5" w:rsidRDefault="00F166C5" w:rsidP="00F166C5">
      <w:pPr>
        <w:spacing w:after="80" w:line="360" w:lineRule="auto"/>
        <w:jc w:val="both"/>
        <w:rPr>
          <w:rFonts w:ascii="Times New Roman" w:hAnsi="Times New Roman" w:cs="Times New Roman"/>
        </w:rPr>
      </w:pPr>
      <w:r w:rsidRPr="00F166C5">
        <w:rPr>
          <w:rFonts w:ascii="Times New Roman" w:hAnsi="Times New Roman" w:cs="Times New Roman"/>
        </w:rPr>
        <w:t>The research is carried out in five sequential phases. Each phase builds on the previous one, and the outputs of each phase feed into the next. Table 5 at the end of this chapter summarises all five phases. Figure 2 shows the phases as a flow diagram.</w:t>
      </w:r>
    </w:p>
    <w:p w14:paraId="635E4F7A" w14:textId="77777777" w:rsidR="00F166C5" w:rsidRPr="00F166C5" w:rsidRDefault="00F166C5" w:rsidP="00F166C5">
      <w:pPr>
        <w:spacing w:after="80" w:line="360" w:lineRule="auto"/>
        <w:rPr>
          <w:rFonts w:ascii="Times New Roman" w:hAnsi="Times New Roman" w:cs="Times New Roman"/>
        </w:rPr>
      </w:pPr>
    </w:p>
    <w:p w14:paraId="341BF501" w14:textId="59E03847" w:rsidR="00F166C5" w:rsidRPr="00F166C5" w:rsidRDefault="00F166C5" w:rsidP="00F166C5">
      <w:pPr>
        <w:spacing w:after="80" w:line="360" w:lineRule="auto"/>
        <w:jc w:val="center"/>
        <w:rPr>
          <w:rFonts w:ascii="Times New Roman" w:hAnsi="Times New Roman" w:cs="Times New Roman"/>
        </w:rPr>
      </w:pPr>
      <w:r w:rsidRPr="00F166C5">
        <w:rPr>
          <w:rFonts w:ascii="Times New Roman" w:hAnsi="Times New Roman" w:cs="Times New Roman"/>
        </w:rPr>
        <w:drawing>
          <wp:inline distT="0" distB="0" distL="0" distR="0" wp14:anchorId="7F0BAA19" wp14:editId="3007A2C2">
            <wp:extent cx="5341776" cy="1744980"/>
            <wp:effectExtent l="0" t="0" r="0" b="7620"/>
            <wp:docPr id="9421796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17718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8761" cy="1747262"/>
                    </a:xfrm>
                    <a:prstGeom prst="rect">
                      <a:avLst/>
                    </a:prstGeom>
                    <a:noFill/>
                    <a:ln>
                      <a:noFill/>
                    </a:ln>
                  </pic:spPr>
                </pic:pic>
              </a:graphicData>
            </a:graphic>
          </wp:inline>
        </w:drawing>
      </w:r>
    </w:p>
    <w:p w14:paraId="2F93009B" w14:textId="77777777" w:rsidR="00F166C5" w:rsidRPr="00F166C5" w:rsidRDefault="00F166C5" w:rsidP="00F166C5">
      <w:pPr>
        <w:spacing w:after="80" w:line="360" w:lineRule="auto"/>
        <w:rPr>
          <w:rFonts w:ascii="Times New Roman" w:hAnsi="Times New Roman" w:cs="Times New Roman"/>
        </w:rPr>
      </w:pPr>
      <w:r w:rsidRPr="00F166C5">
        <w:rPr>
          <w:rFonts w:ascii="Times New Roman" w:hAnsi="Times New Roman" w:cs="Times New Roman"/>
          <w:i/>
          <w:iCs/>
        </w:rPr>
        <w:t>Figure 2: Five Sequential Research Phases</w:t>
      </w:r>
    </w:p>
    <w:p w14:paraId="358AFA99" w14:textId="77777777" w:rsidR="00F166C5" w:rsidRPr="00F166C5" w:rsidRDefault="00F166C5" w:rsidP="00F166C5">
      <w:pPr>
        <w:spacing w:after="80" w:line="360" w:lineRule="auto"/>
        <w:rPr>
          <w:rFonts w:ascii="Times New Roman" w:hAnsi="Times New Roman" w:cs="Times New Roman"/>
          <w:b/>
          <w:bCs/>
        </w:rPr>
      </w:pPr>
      <w:r w:rsidRPr="00F166C5">
        <w:rPr>
          <w:rFonts w:ascii="Times New Roman" w:hAnsi="Times New Roman" w:cs="Times New Roman"/>
          <w:b/>
          <w:bCs/>
        </w:rPr>
        <w:t>Phase 1: Systematic Literature Review</w:t>
      </w:r>
    </w:p>
    <w:p w14:paraId="2FBC9394" w14:textId="3D81C599" w:rsidR="00F166C5" w:rsidRPr="00F166C5" w:rsidRDefault="00F166C5" w:rsidP="00F166C5">
      <w:pPr>
        <w:spacing w:after="80" w:line="360" w:lineRule="auto"/>
        <w:jc w:val="both"/>
        <w:rPr>
          <w:rFonts w:ascii="Times New Roman" w:hAnsi="Times New Roman" w:cs="Times New Roman"/>
        </w:rPr>
      </w:pPr>
      <w:r w:rsidRPr="00F166C5">
        <w:rPr>
          <w:rFonts w:ascii="Times New Roman" w:hAnsi="Times New Roman" w:cs="Times New Roman"/>
        </w:rPr>
        <w:t>The first phase is a systematic literature review (SLR) following the Kitchenham and Charters protocol [15]. The databases searched are IEEE Xplore, ACM Digital Library, Scopus, and Google Scholar, covering publications from 2005 to 2026. A study is included if it contains empirical data, is peer-reviewed, and is directly relevant to CI/CD tool evaluation. The main output of this phase is the five-dimension evaluation framework.</w:t>
      </w:r>
    </w:p>
    <w:p w14:paraId="70765FFE" w14:textId="77777777" w:rsidR="00F166C5" w:rsidRPr="00F166C5" w:rsidRDefault="00F166C5" w:rsidP="00F166C5">
      <w:pPr>
        <w:spacing w:after="80" w:line="360" w:lineRule="auto"/>
        <w:rPr>
          <w:rFonts w:ascii="Times New Roman" w:hAnsi="Times New Roman" w:cs="Times New Roman"/>
          <w:b/>
          <w:bCs/>
        </w:rPr>
      </w:pPr>
      <w:r w:rsidRPr="00F166C5">
        <w:rPr>
          <w:rFonts w:ascii="Times New Roman" w:hAnsi="Times New Roman" w:cs="Times New Roman"/>
          <w:b/>
          <w:bCs/>
        </w:rPr>
        <w:lastRenderedPageBreak/>
        <w:t>Phase 2: Platform Setup and Web Application Build</w:t>
      </w:r>
    </w:p>
    <w:p w14:paraId="084D7B34" w14:textId="77777777" w:rsidR="00F166C5" w:rsidRPr="00F166C5" w:rsidRDefault="00F166C5" w:rsidP="00F166C5">
      <w:pPr>
        <w:spacing w:after="80" w:line="360" w:lineRule="auto"/>
        <w:jc w:val="both"/>
        <w:rPr>
          <w:rFonts w:ascii="Times New Roman" w:hAnsi="Times New Roman" w:cs="Times New Roman"/>
        </w:rPr>
      </w:pPr>
      <w:r w:rsidRPr="00F166C5">
        <w:rPr>
          <w:rFonts w:ascii="Times New Roman" w:hAnsi="Times New Roman" w:cs="Times New Roman"/>
        </w:rPr>
        <w:t xml:space="preserve">In the second phase, all three CI/CD platforms are </w:t>
      </w:r>
      <w:proofErr w:type="gramStart"/>
      <w:r w:rsidRPr="00F166C5">
        <w:rPr>
          <w:rFonts w:ascii="Times New Roman" w:hAnsi="Times New Roman" w:cs="Times New Roman"/>
        </w:rPr>
        <w:t>configured</w:t>
      </w:r>
      <w:proofErr w:type="gramEnd"/>
      <w:r w:rsidRPr="00F166C5">
        <w:rPr>
          <w:rFonts w:ascii="Times New Roman" w:hAnsi="Times New Roman" w:cs="Times New Roman"/>
        </w:rPr>
        <w:t xml:space="preserve"> and a benchmark web application is developed. The web application is a Node.js REST API with a React front end, stored in a single GitHub repository and connected to all three platforms. A pipeline is written for each platform performing the same logical steps in the same order. Figure 3 shows these pipeline stages.</w:t>
      </w:r>
    </w:p>
    <w:p w14:paraId="1F7C2AF9" w14:textId="77777777" w:rsidR="00F166C5" w:rsidRPr="00F166C5" w:rsidRDefault="00F166C5" w:rsidP="00F166C5">
      <w:pPr>
        <w:spacing w:after="80" w:line="360" w:lineRule="auto"/>
        <w:rPr>
          <w:rFonts w:ascii="Times New Roman" w:hAnsi="Times New Roman" w:cs="Times New Roman"/>
        </w:rPr>
      </w:pPr>
    </w:p>
    <w:p w14:paraId="798944F5" w14:textId="6488289F" w:rsidR="00F166C5" w:rsidRPr="00F166C5" w:rsidRDefault="00F166C5" w:rsidP="00F166C5">
      <w:pPr>
        <w:spacing w:after="80" w:line="360" w:lineRule="auto"/>
        <w:jc w:val="center"/>
        <w:rPr>
          <w:rFonts w:ascii="Times New Roman" w:hAnsi="Times New Roman" w:cs="Times New Roman"/>
        </w:rPr>
      </w:pPr>
      <w:r w:rsidRPr="00F166C5">
        <w:rPr>
          <w:rFonts w:ascii="Times New Roman" w:hAnsi="Times New Roman" w:cs="Times New Roman"/>
        </w:rPr>
        <w:drawing>
          <wp:inline distT="0" distB="0" distL="0" distR="0" wp14:anchorId="7D8981BB" wp14:editId="1C75EF7E">
            <wp:extent cx="4930140" cy="1531620"/>
            <wp:effectExtent l="0" t="0" r="3810" b="0"/>
            <wp:docPr id="21376344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9263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0140" cy="1531620"/>
                    </a:xfrm>
                    <a:prstGeom prst="rect">
                      <a:avLst/>
                    </a:prstGeom>
                    <a:noFill/>
                    <a:ln>
                      <a:noFill/>
                    </a:ln>
                  </pic:spPr>
                </pic:pic>
              </a:graphicData>
            </a:graphic>
          </wp:inline>
        </w:drawing>
      </w:r>
    </w:p>
    <w:p w14:paraId="2227552E"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Figure 3: Benchmark Web Application Pipeline Stages (Identical on All Three Platforms)</w:t>
      </w:r>
    </w:p>
    <w:p w14:paraId="59FB8805" w14:textId="77777777" w:rsidR="00F166C5" w:rsidRPr="00F166C5" w:rsidRDefault="00F166C5" w:rsidP="00F166C5">
      <w:pPr>
        <w:spacing w:after="80" w:line="360" w:lineRule="auto"/>
        <w:rPr>
          <w:rFonts w:ascii="Times New Roman" w:hAnsi="Times New Roman" w:cs="Times New Roman"/>
        </w:rPr>
      </w:pPr>
      <w:r w:rsidRPr="00F166C5">
        <w:rPr>
          <w:rFonts w:ascii="Times New Roman" w:hAnsi="Times New Roman" w:cs="Times New Roman"/>
        </w:rPr>
        <w:t>Before testing begins, the three pipeline configurations are compared using a Pipeline Equivalence Checklist, and output artefacts are verified using SHA-256 checksums. Only pipelines that pass this verification are used in testing. Chapter 3 describes the benchmark project specifications in detail.</w:t>
      </w:r>
    </w:p>
    <w:p w14:paraId="219E1E81" w14:textId="77777777" w:rsidR="00F166C5" w:rsidRPr="00F166C5" w:rsidRDefault="00F166C5" w:rsidP="00F166C5">
      <w:pPr>
        <w:spacing w:after="80" w:line="360" w:lineRule="auto"/>
        <w:rPr>
          <w:rFonts w:ascii="Times New Roman" w:hAnsi="Times New Roman" w:cs="Times New Roman"/>
          <w:b/>
          <w:bCs/>
        </w:rPr>
      </w:pPr>
      <w:r w:rsidRPr="00F166C5">
        <w:rPr>
          <w:rFonts w:ascii="Times New Roman" w:hAnsi="Times New Roman" w:cs="Times New Roman"/>
          <w:b/>
          <w:bCs/>
        </w:rPr>
        <w:t>Phase 3: Performance Testing</w:t>
      </w:r>
    </w:p>
    <w:p w14:paraId="4A0509EA" w14:textId="77777777" w:rsidR="00F166C5" w:rsidRPr="00F166C5" w:rsidRDefault="00F166C5" w:rsidP="00F166C5">
      <w:pPr>
        <w:spacing w:after="80" w:line="360" w:lineRule="auto"/>
        <w:jc w:val="both"/>
        <w:rPr>
          <w:rFonts w:ascii="Times New Roman" w:hAnsi="Times New Roman" w:cs="Times New Roman"/>
        </w:rPr>
      </w:pPr>
      <w:r w:rsidRPr="00F166C5">
        <w:rPr>
          <w:rFonts w:ascii="Times New Roman" w:hAnsi="Times New Roman" w:cs="Times New Roman"/>
        </w:rPr>
        <w:t>In the third phase, the benchmark pipeline is run 30 times on each platform. Five warm-up runs are completed and discarded first to remove cold-start effects. This gives 90 measured builds in total (3 platforms x 30 runs). Each platform is tested under three build conditions: a cold build with no cached dependencies, a warm build with the dependency cache active, and a parallel build using maximum concurrency settings. The 30 runs per platform are distributed across three different days of the week to reduce infrastructure variability effects. Performance data are collected from each platform's build logs and usage dashboard. The metrics collected are listed in Table 2.</w:t>
      </w:r>
    </w:p>
    <w:p w14:paraId="3E5A21B0" w14:textId="77777777" w:rsidR="00F166C5" w:rsidRPr="00F166C5" w:rsidRDefault="00F166C5" w:rsidP="00F166C5">
      <w:pPr>
        <w:spacing w:after="80" w:line="360" w:lineRule="auto"/>
        <w:rPr>
          <w:rFonts w:ascii="Times New Roman" w:hAnsi="Times New Roman" w:cs="Times New Roman"/>
          <w:b/>
          <w:bCs/>
        </w:rPr>
      </w:pPr>
      <w:r w:rsidRPr="00F166C5">
        <w:rPr>
          <w:rFonts w:ascii="Times New Roman" w:hAnsi="Times New Roman" w:cs="Times New Roman"/>
          <w:b/>
          <w:bCs/>
        </w:rPr>
        <w:t>Phase 4: Developer Interviews and Survey</w:t>
      </w:r>
    </w:p>
    <w:p w14:paraId="22CB21F3" w14:textId="77777777" w:rsidR="00F166C5" w:rsidRPr="00F166C5" w:rsidRDefault="00F166C5" w:rsidP="00F166C5">
      <w:pPr>
        <w:spacing w:after="80" w:line="360" w:lineRule="auto"/>
        <w:jc w:val="both"/>
        <w:rPr>
          <w:rFonts w:ascii="Times New Roman" w:hAnsi="Times New Roman" w:cs="Times New Roman"/>
        </w:rPr>
      </w:pPr>
      <w:r w:rsidRPr="00F166C5">
        <w:rPr>
          <w:rFonts w:ascii="Times New Roman" w:hAnsi="Times New Roman" w:cs="Times New Roman"/>
        </w:rPr>
        <w:t>In the fourth phase, 15 student developers interact with all three platforms individually. Each participant completes three standardised tasks on each platform: creating the pipeline from scratch, adding a conditional build step, and identifying the cause of a deliberately broken pipeline job. After completing the tasks, each participant takes part in a short semi-</w:t>
      </w:r>
      <w:r w:rsidRPr="00F166C5">
        <w:rPr>
          <w:rFonts w:ascii="Times New Roman" w:hAnsi="Times New Roman" w:cs="Times New Roman"/>
        </w:rPr>
        <w:lastRenderedPageBreak/>
        <w:t>structured interview and fills in a Likert-scale survey and a System Usability Scale questionnaire for that platform.</w:t>
      </w:r>
    </w:p>
    <w:p w14:paraId="2FD57C84" w14:textId="73716DCB" w:rsidR="00F166C5" w:rsidRPr="00F166C5" w:rsidRDefault="00F166C5" w:rsidP="00F166C5">
      <w:pPr>
        <w:spacing w:after="80" w:line="360" w:lineRule="auto"/>
        <w:jc w:val="both"/>
        <w:rPr>
          <w:rFonts w:ascii="Times New Roman" w:hAnsi="Times New Roman" w:cs="Times New Roman"/>
        </w:rPr>
      </w:pPr>
      <w:r w:rsidRPr="00F166C5">
        <w:rPr>
          <w:rFonts w:ascii="Times New Roman" w:hAnsi="Times New Roman" w:cs="Times New Roman"/>
        </w:rPr>
        <w:t xml:space="preserve">The interview uses six open-ended questions that allow participants to describe their experience freely. Table 3 lists the </w:t>
      </w:r>
      <w:proofErr w:type="gramStart"/>
      <w:r w:rsidRPr="00F166C5">
        <w:rPr>
          <w:rFonts w:ascii="Times New Roman" w:hAnsi="Times New Roman" w:cs="Times New Roman"/>
        </w:rPr>
        <w:t>questions</w:t>
      </w:r>
      <w:proofErr w:type="gramEnd"/>
      <w:r w:rsidRPr="00F166C5">
        <w:rPr>
          <w:rFonts w:ascii="Times New Roman" w:hAnsi="Times New Roman" w:cs="Times New Roman"/>
        </w:rPr>
        <w:t xml:space="preserve"> and the evaluation dimension each one is linked to.</w:t>
      </w:r>
    </w:p>
    <w:p w14:paraId="2C16AD1F"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Table 3: Open-Ended Interview Questions</w:t>
      </w:r>
    </w:p>
    <w:tbl>
      <w:tblPr>
        <w:tblStyle w:val="TableGrid"/>
        <w:tblW w:w="9200" w:type="dxa"/>
        <w:tblLook w:val="04A0" w:firstRow="1" w:lastRow="0" w:firstColumn="1" w:lastColumn="0" w:noHBand="0" w:noVBand="1"/>
      </w:tblPr>
      <w:tblGrid>
        <w:gridCol w:w="1100"/>
        <w:gridCol w:w="4600"/>
        <w:gridCol w:w="3500"/>
      </w:tblGrid>
      <w:tr w:rsidR="00F166C5" w:rsidRPr="00F166C5" w14:paraId="29FD4C2F" w14:textId="77777777" w:rsidTr="00F166C5">
        <w:tc>
          <w:tcPr>
            <w:tcW w:w="1100" w:type="dxa"/>
            <w:hideMark/>
          </w:tcPr>
          <w:p w14:paraId="7CFC3794"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b/>
                <w:bCs/>
                <w:sz w:val="22"/>
                <w:szCs w:val="22"/>
              </w:rPr>
              <w:t>Q No.</w:t>
            </w:r>
          </w:p>
        </w:tc>
        <w:tc>
          <w:tcPr>
            <w:tcW w:w="4600" w:type="dxa"/>
            <w:hideMark/>
          </w:tcPr>
          <w:p w14:paraId="72ED273E"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b/>
                <w:bCs/>
                <w:sz w:val="22"/>
                <w:szCs w:val="22"/>
              </w:rPr>
              <w:t>Open-Ended Interview Question</w:t>
            </w:r>
          </w:p>
        </w:tc>
        <w:tc>
          <w:tcPr>
            <w:tcW w:w="3500" w:type="dxa"/>
            <w:hideMark/>
          </w:tcPr>
          <w:p w14:paraId="0F0766BE"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b/>
                <w:bCs/>
                <w:sz w:val="22"/>
                <w:szCs w:val="22"/>
              </w:rPr>
              <w:t>Linked Dimension</w:t>
            </w:r>
          </w:p>
        </w:tc>
      </w:tr>
      <w:tr w:rsidR="00F166C5" w:rsidRPr="00F166C5" w14:paraId="76E3FC26" w14:textId="77777777" w:rsidTr="00F166C5">
        <w:tc>
          <w:tcPr>
            <w:tcW w:w="1100" w:type="dxa"/>
            <w:hideMark/>
          </w:tcPr>
          <w:p w14:paraId="756073A6"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Q1</w:t>
            </w:r>
          </w:p>
        </w:tc>
        <w:tc>
          <w:tcPr>
            <w:tcW w:w="4600" w:type="dxa"/>
            <w:hideMark/>
          </w:tcPr>
          <w:p w14:paraId="10419993"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Which platform did you find easiest to set up, and why?</w:t>
            </w:r>
          </w:p>
        </w:tc>
        <w:tc>
          <w:tcPr>
            <w:tcW w:w="3500" w:type="dxa"/>
            <w:hideMark/>
          </w:tcPr>
          <w:p w14:paraId="3FAD5007"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Usability</w:t>
            </w:r>
          </w:p>
        </w:tc>
      </w:tr>
      <w:tr w:rsidR="00F166C5" w:rsidRPr="00F166C5" w14:paraId="02791403" w14:textId="77777777" w:rsidTr="00F166C5">
        <w:tc>
          <w:tcPr>
            <w:tcW w:w="1100" w:type="dxa"/>
            <w:hideMark/>
          </w:tcPr>
          <w:p w14:paraId="234D3551"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Q2</w:t>
            </w:r>
          </w:p>
        </w:tc>
        <w:tc>
          <w:tcPr>
            <w:tcW w:w="4600" w:type="dxa"/>
            <w:hideMark/>
          </w:tcPr>
          <w:p w14:paraId="64033379"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Describe any difficulties you experienced when writing the pipeline configuration.</w:t>
            </w:r>
          </w:p>
        </w:tc>
        <w:tc>
          <w:tcPr>
            <w:tcW w:w="3500" w:type="dxa"/>
            <w:hideMark/>
          </w:tcPr>
          <w:p w14:paraId="69DA9AFF"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Usability / Integration</w:t>
            </w:r>
          </w:p>
        </w:tc>
      </w:tr>
      <w:tr w:rsidR="00F166C5" w:rsidRPr="00F166C5" w14:paraId="63D5BEF1" w14:textId="77777777" w:rsidTr="00F166C5">
        <w:tc>
          <w:tcPr>
            <w:tcW w:w="1100" w:type="dxa"/>
            <w:hideMark/>
          </w:tcPr>
          <w:p w14:paraId="7A0175BA"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Q3</w:t>
            </w:r>
          </w:p>
        </w:tc>
        <w:tc>
          <w:tcPr>
            <w:tcW w:w="4600" w:type="dxa"/>
            <w:hideMark/>
          </w:tcPr>
          <w:p w14:paraId="250E5B15"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How satisfied are you with the build speed of each platform compared to the others?</w:t>
            </w:r>
          </w:p>
        </w:tc>
        <w:tc>
          <w:tcPr>
            <w:tcW w:w="3500" w:type="dxa"/>
            <w:hideMark/>
          </w:tcPr>
          <w:p w14:paraId="32C8FE6F"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Performance</w:t>
            </w:r>
          </w:p>
        </w:tc>
      </w:tr>
      <w:tr w:rsidR="00F166C5" w:rsidRPr="00F166C5" w14:paraId="50328C1F" w14:textId="77777777" w:rsidTr="00F166C5">
        <w:tc>
          <w:tcPr>
            <w:tcW w:w="1100" w:type="dxa"/>
            <w:hideMark/>
          </w:tcPr>
          <w:p w14:paraId="1A0AFC7E"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Q4</w:t>
            </w:r>
          </w:p>
        </w:tc>
        <w:tc>
          <w:tcPr>
            <w:tcW w:w="4600" w:type="dxa"/>
            <w:hideMark/>
          </w:tcPr>
          <w:p w14:paraId="3285388E"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Did you encounter pipeline failures? How easy was it to identify and resolve them?</w:t>
            </w:r>
          </w:p>
        </w:tc>
        <w:tc>
          <w:tcPr>
            <w:tcW w:w="3500" w:type="dxa"/>
            <w:hideMark/>
          </w:tcPr>
          <w:p w14:paraId="3BD75DB4"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Reliability</w:t>
            </w:r>
          </w:p>
        </w:tc>
      </w:tr>
      <w:tr w:rsidR="00F166C5" w:rsidRPr="00F166C5" w14:paraId="124CB789" w14:textId="77777777" w:rsidTr="00F166C5">
        <w:tc>
          <w:tcPr>
            <w:tcW w:w="1100" w:type="dxa"/>
            <w:hideMark/>
          </w:tcPr>
          <w:p w14:paraId="3E3650E9"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Q5</w:t>
            </w:r>
          </w:p>
        </w:tc>
        <w:tc>
          <w:tcPr>
            <w:tcW w:w="4600" w:type="dxa"/>
            <w:hideMark/>
          </w:tcPr>
          <w:p w14:paraId="44CAD7B5"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How well did each platform integrate with the tools you normally use?</w:t>
            </w:r>
          </w:p>
        </w:tc>
        <w:tc>
          <w:tcPr>
            <w:tcW w:w="3500" w:type="dxa"/>
            <w:hideMark/>
          </w:tcPr>
          <w:p w14:paraId="34C20529"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Integration</w:t>
            </w:r>
          </w:p>
        </w:tc>
      </w:tr>
      <w:tr w:rsidR="00F166C5" w:rsidRPr="00F166C5" w14:paraId="112ECF13" w14:textId="77777777" w:rsidTr="00F166C5">
        <w:tc>
          <w:tcPr>
            <w:tcW w:w="1100" w:type="dxa"/>
            <w:hideMark/>
          </w:tcPr>
          <w:p w14:paraId="2429BABE"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Q6</w:t>
            </w:r>
          </w:p>
        </w:tc>
        <w:tc>
          <w:tcPr>
            <w:tcW w:w="4600" w:type="dxa"/>
            <w:hideMark/>
          </w:tcPr>
          <w:p w14:paraId="6FEDD8CC"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Would you choose this platform for a real project? What would be the main factor?</w:t>
            </w:r>
          </w:p>
        </w:tc>
        <w:tc>
          <w:tcPr>
            <w:tcW w:w="3500" w:type="dxa"/>
            <w:hideMark/>
          </w:tcPr>
          <w:p w14:paraId="12A2F8C8"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Overall preference</w:t>
            </w:r>
          </w:p>
        </w:tc>
      </w:tr>
    </w:tbl>
    <w:p w14:paraId="4BCACB24" w14:textId="77777777" w:rsidR="00F166C5" w:rsidRPr="00F166C5" w:rsidRDefault="00F166C5" w:rsidP="00F166C5">
      <w:pPr>
        <w:spacing w:after="80" w:line="360" w:lineRule="auto"/>
        <w:rPr>
          <w:rFonts w:ascii="Times New Roman" w:hAnsi="Times New Roman" w:cs="Times New Roman"/>
        </w:rPr>
      </w:pPr>
    </w:p>
    <w:p w14:paraId="56DD5DDE" w14:textId="767938AA" w:rsidR="00F166C5" w:rsidRDefault="00F166C5" w:rsidP="00F166C5">
      <w:pPr>
        <w:spacing w:after="80" w:line="360" w:lineRule="auto"/>
        <w:rPr>
          <w:rFonts w:ascii="Times New Roman" w:hAnsi="Times New Roman" w:cs="Times New Roman"/>
        </w:rPr>
      </w:pPr>
      <w:r w:rsidRPr="00F166C5">
        <w:rPr>
          <w:rFonts w:ascii="Times New Roman" w:hAnsi="Times New Roman" w:cs="Times New Roman"/>
        </w:rPr>
        <w:t>After the interview, each participant rates the platform using a five-item Likert survey (1 = strongly disagree to 5 = strongly agree) and the 10-item SUS questionnaire [17]. Table 4 shows the five Likert items.</w:t>
      </w:r>
    </w:p>
    <w:p w14:paraId="781CCDE7" w14:textId="77777777" w:rsidR="00F166C5" w:rsidRPr="00F166C5" w:rsidRDefault="00F166C5" w:rsidP="00F166C5">
      <w:pPr>
        <w:spacing w:after="80" w:line="360" w:lineRule="auto"/>
        <w:rPr>
          <w:rFonts w:ascii="Times New Roman" w:hAnsi="Times New Roman" w:cs="Times New Roman"/>
        </w:rPr>
      </w:pPr>
    </w:p>
    <w:p w14:paraId="0566F055"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Table 4: Likert-Scale Survey Items</w:t>
      </w:r>
    </w:p>
    <w:tbl>
      <w:tblPr>
        <w:tblStyle w:val="TableGrid"/>
        <w:tblW w:w="9200" w:type="dxa"/>
        <w:tblLook w:val="04A0" w:firstRow="1" w:lastRow="0" w:firstColumn="1" w:lastColumn="0" w:noHBand="0" w:noVBand="1"/>
      </w:tblPr>
      <w:tblGrid>
        <w:gridCol w:w="700"/>
        <w:gridCol w:w="5900"/>
        <w:gridCol w:w="2600"/>
      </w:tblGrid>
      <w:tr w:rsidR="00F166C5" w:rsidRPr="00F166C5" w14:paraId="64BDDC4A" w14:textId="77777777" w:rsidTr="00F166C5">
        <w:tc>
          <w:tcPr>
            <w:tcW w:w="700" w:type="dxa"/>
            <w:hideMark/>
          </w:tcPr>
          <w:p w14:paraId="591EA8D2"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b/>
                <w:bCs/>
                <w:sz w:val="22"/>
                <w:szCs w:val="22"/>
              </w:rPr>
              <w:t>Item</w:t>
            </w:r>
          </w:p>
        </w:tc>
        <w:tc>
          <w:tcPr>
            <w:tcW w:w="5900" w:type="dxa"/>
            <w:hideMark/>
          </w:tcPr>
          <w:p w14:paraId="083F661F"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b/>
                <w:bCs/>
                <w:sz w:val="22"/>
                <w:szCs w:val="22"/>
              </w:rPr>
              <w:t>Statement (1 = Strongly Disagree, 5 = Strongly Agree)</w:t>
            </w:r>
          </w:p>
        </w:tc>
        <w:tc>
          <w:tcPr>
            <w:tcW w:w="2600" w:type="dxa"/>
            <w:hideMark/>
          </w:tcPr>
          <w:p w14:paraId="033D60F9"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b/>
                <w:bCs/>
                <w:sz w:val="22"/>
                <w:szCs w:val="22"/>
              </w:rPr>
              <w:t>Dimension</w:t>
            </w:r>
          </w:p>
        </w:tc>
      </w:tr>
      <w:tr w:rsidR="00F166C5" w:rsidRPr="00F166C5" w14:paraId="3DCBBA9E" w14:textId="77777777" w:rsidTr="00F166C5">
        <w:tc>
          <w:tcPr>
            <w:tcW w:w="700" w:type="dxa"/>
            <w:hideMark/>
          </w:tcPr>
          <w:p w14:paraId="62B8E6B0"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L1</w:t>
            </w:r>
          </w:p>
        </w:tc>
        <w:tc>
          <w:tcPr>
            <w:tcW w:w="5900" w:type="dxa"/>
            <w:hideMark/>
          </w:tcPr>
          <w:p w14:paraId="6A76DCAE"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The pipeline configuration for this platform was easy to write.</w:t>
            </w:r>
          </w:p>
        </w:tc>
        <w:tc>
          <w:tcPr>
            <w:tcW w:w="2600" w:type="dxa"/>
            <w:hideMark/>
          </w:tcPr>
          <w:p w14:paraId="6CFCEAE1"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Usability</w:t>
            </w:r>
          </w:p>
        </w:tc>
      </w:tr>
      <w:tr w:rsidR="00F166C5" w:rsidRPr="00F166C5" w14:paraId="15BEA5C7" w14:textId="77777777" w:rsidTr="00F166C5">
        <w:tc>
          <w:tcPr>
            <w:tcW w:w="700" w:type="dxa"/>
            <w:hideMark/>
          </w:tcPr>
          <w:p w14:paraId="4BC3030F"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L2</w:t>
            </w:r>
          </w:p>
        </w:tc>
        <w:tc>
          <w:tcPr>
            <w:tcW w:w="5900" w:type="dxa"/>
            <w:hideMark/>
          </w:tcPr>
          <w:p w14:paraId="1359311E"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Build times on this platform were acceptable for my workflow.</w:t>
            </w:r>
          </w:p>
        </w:tc>
        <w:tc>
          <w:tcPr>
            <w:tcW w:w="2600" w:type="dxa"/>
            <w:hideMark/>
          </w:tcPr>
          <w:p w14:paraId="5FBDF721"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Performance</w:t>
            </w:r>
          </w:p>
        </w:tc>
      </w:tr>
      <w:tr w:rsidR="00F166C5" w:rsidRPr="00F166C5" w14:paraId="5F1B212B" w14:textId="77777777" w:rsidTr="00F166C5">
        <w:tc>
          <w:tcPr>
            <w:tcW w:w="700" w:type="dxa"/>
            <w:hideMark/>
          </w:tcPr>
          <w:p w14:paraId="4DEA6F46"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L3</w:t>
            </w:r>
          </w:p>
        </w:tc>
        <w:tc>
          <w:tcPr>
            <w:tcW w:w="5900" w:type="dxa"/>
            <w:hideMark/>
          </w:tcPr>
          <w:p w14:paraId="35BBC22C"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I trust this platform to run my builds reliably without unexpected failures.</w:t>
            </w:r>
          </w:p>
        </w:tc>
        <w:tc>
          <w:tcPr>
            <w:tcW w:w="2600" w:type="dxa"/>
            <w:hideMark/>
          </w:tcPr>
          <w:p w14:paraId="7F14E17B"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Reliability</w:t>
            </w:r>
          </w:p>
        </w:tc>
      </w:tr>
      <w:tr w:rsidR="00F166C5" w:rsidRPr="00F166C5" w14:paraId="36332A42" w14:textId="77777777" w:rsidTr="00F166C5">
        <w:tc>
          <w:tcPr>
            <w:tcW w:w="700" w:type="dxa"/>
            <w:hideMark/>
          </w:tcPr>
          <w:p w14:paraId="2ED467A2"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L4</w:t>
            </w:r>
          </w:p>
        </w:tc>
        <w:tc>
          <w:tcPr>
            <w:tcW w:w="5900" w:type="dxa"/>
            <w:hideMark/>
          </w:tcPr>
          <w:p w14:paraId="259872BE"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This platform integrates well with the tools I normally use.</w:t>
            </w:r>
          </w:p>
        </w:tc>
        <w:tc>
          <w:tcPr>
            <w:tcW w:w="2600" w:type="dxa"/>
            <w:hideMark/>
          </w:tcPr>
          <w:p w14:paraId="6476A209"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Integration</w:t>
            </w:r>
          </w:p>
        </w:tc>
      </w:tr>
      <w:tr w:rsidR="00F166C5" w:rsidRPr="00F166C5" w14:paraId="4E2F892C" w14:textId="77777777" w:rsidTr="00F166C5">
        <w:tc>
          <w:tcPr>
            <w:tcW w:w="700" w:type="dxa"/>
            <w:hideMark/>
          </w:tcPr>
          <w:p w14:paraId="63E8EA89"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lastRenderedPageBreak/>
              <w:t>L5</w:t>
            </w:r>
          </w:p>
        </w:tc>
        <w:tc>
          <w:tcPr>
            <w:tcW w:w="5900" w:type="dxa"/>
            <w:hideMark/>
          </w:tcPr>
          <w:p w14:paraId="797A6B53"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I would recommend this platform to a colleague or team member.</w:t>
            </w:r>
          </w:p>
        </w:tc>
        <w:tc>
          <w:tcPr>
            <w:tcW w:w="2600" w:type="dxa"/>
            <w:hideMark/>
          </w:tcPr>
          <w:p w14:paraId="68743C05" w14:textId="77777777" w:rsidR="00F166C5" w:rsidRPr="00F166C5" w:rsidRDefault="00F166C5" w:rsidP="00F166C5">
            <w:pPr>
              <w:spacing w:after="80" w:line="360" w:lineRule="auto"/>
              <w:rPr>
                <w:rFonts w:ascii="Times New Roman" w:hAnsi="Times New Roman" w:cs="Times New Roman"/>
                <w:sz w:val="22"/>
                <w:szCs w:val="22"/>
              </w:rPr>
            </w:pPr>
            <w:r w:rsidRPr="00F166C5">
              <w:rPr>
                <w:rFonts w:ascii="Times New Roman" w:hAnsi="Times New Roman" w:cs="Times New Roman"/>
                <w:sz w:val="22"/>
                <w:szCs w:val="22"/>
              </w:rPr>
              <w:t>Overall satisfaction</w:t>
            </w:r>
          </w:p>
        </w:tc>
      </w:tr>
    </w:tbl>
    <w:p w14:paraId="10AE3268" w14:textId="77777777" w:rsidR="00F166C5" w:rsidRPr="00F166C5" w:rsidRDefault="00F166C5" w:rsidP="00F166C5">
      <w:pPr>
        <w:spacing w:after="80" w:line="360" w:lineRule="auto"/>
        <w:rPr>
          <w:rFonts w:ascii="Times New Roman" w:hAnsi="Times New Roman" w:cs="Times New Roman"/>
        </w:rPr>
      </w:pPr>
    </w:p>
    <w:p w14:paraId="05D075F5" w14:textId="77777777" w:rsidR="00F166C5" w:rsidRPr="00F166C5" w:rsidRDefault="00F166C5" w:rsidP="00F166C5">
      <w:pPr>
        <w:spacing w:after="80" w:line="360" w:lineRule="auto"/>
        <w:rPr>
          <w:rFonts w:ascii="Times New Roman" w:hAnsi="Times New Roman" w:cs="Times New Roman"/>
        </w:rPr>
      </w:pPr>
      <w:r w:rsidRPr="00F166C5">
        <w:rPr>
          <w:rFonts w:ascii="Times New Roman" w:hAnsi="Times New Roman" w:cs="Times New Roman"/>
        </w:rPr>
        <w:t>Participants are selected by purposive sampling: software engineering students with at least one year of programming experience but no prior experience with the specific platform being tested. The order of platform exposure is rotated across participants to prevent order effects.</w:t>
      </w:r>
    </w:p>
    <w:p w14:paraId="2949F7FF" w14:textId="77777777" w:rsidR="00F166C5" w:rsidRPr="00F166C5" w:rsidRDefault="00F166C5" w:rsidP="00F166C5">
      <w:pPr>
        <w:spacing w:after="80" w:line="360" w:lineRule="auto"/>
        <w:rPr>
          <w:rFonts w:ascii="Times New Roman" w:hAnsi="Times New Roman" w:cs="Times New Roman"/>
          <w:b/>
          <w:bCs/>
        </w:rPr>
      </w:pPr>
      <w:r w:rsidRPr="00F166C5">
        <w:rPr>
          <w:rFonts w:ascii="Times New Roman" w:hAnsi="Times New Roman" w:cs="Times New Roman"/>
          <w:b/>
          <w:bCs/>
        </w:rPr>
        <w:t>Phase 5: Cost Analysis</w:t>
      </w:r>
    </w:p>
    <w:p w14:paraId="66D36135" w14:textId="4F1E7747" w:rsidR="00BD21A1" w:rsidRPr="00844FEC" w:rsidRDefault="00F166C5" w:rsidP="00844FEC">
      <w:pPr>
        <w:spacing w:after="80" w:line="360" w:lineRule="auto"/>
        <w:rPr>
          <w:rFonts w:ascii="Times New Roman" w:hAnsi="Times New Roman" w:cs="Times New Roman"/>
        </w:rPr>
      </w:pPr>
      <w:r w:rsidRPr="00F166C5">
        <w:rPr>
          <w:rFonts w:ascii="Times New Roman" w:hAnsi="Times New Roman" w:cs="Times New Roman"/>
        </w:rPr>
        <w:t>In the fifth phase, the operational cost of each platform is assessed through scenario-based modelling using official vendor pricing documents from March 2026. Three usage scenarios are modelled: low (5 builds per day), medium (25 builds per day), and high (100 builds per day), each for three team sizes: small (1 to 5 developers), medium (6 to 20), and large (21 or more). The cost formula applied is: Total Cost = Subscription Cost + Infrastructure Cost + Operational Labour Cost. Results are presented as a comparison table in Chapter 5.</w:t>
      </w:r>
    </w:p>
    <w:p w14:paraId="564517E7" w14:textId="77777777" w:rsidR="00BD21A1" w:rsidRPr="00844FEC" w:rsidRDefault="00000000" w:rsidP="00844FEC">
      <w:pPr>
        <w:pStyle w:val="Heading2"/>
        <w:spacing w:line="360" w:lineRule="auto"/>
        <w:rPr>
          <w:rFonts w:ascii="Times New Roman" w:hAnsi="Times New Roman" w:cs="Times New Roman"/>
          <w:color w:val="auto"/>
        </w:rPr>
      </w:pPr>
      <w:r w:rsidRPr="00844FEC">
        <w:rPr>
          <w:rFonts w:ascii="Times New Roman" w:hAnsi="Times New Roman" w:cs="Times New Roman"/>
          <w:color w:val="auto"/>
        </w:rPr>
        <w:t>2.3 Data Collection</w:t>
      </w:r>
    </w:p>
    <w:p w14:paraId="1A183573" w14:textId="5ED2C152" w:rsidR="00F166C5" w:rsidRPr="00F166C5" w:rsidRDefault="00F166C5" w:rsidP="00F166C5">
      <w:pPr>
        <w:spacing w:after="180" w:line="360" w:lineRule="auto"/>
        <w:jc w:val="both"/>
        <w:rPr>
          <w:rFonts w:ascii="Times New Roman" w:hAnsi="Times New Roman" w:cs="Times New Roman"/>
        </w:rPr>
      </w:pPr>
      <w:r w:rsidRPr="00F166C5">
        <w:rPr>
          <w:rFonts w:ascii="Times New Roman" w:hAnsi="Times New Roman" w:cs="Times New Roman"/>
        </w:rPr>
        <w:t>Table 1 shows the five evaluation dimensions, the data collected for each, the instrument used, and the relative weight of each dimension in the overall comparison.</w:t>
      </w:r>
    </w:p>
    <w:p w14:paraId="2DC72970"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Table 1: Five-Dimension Evaluation Framework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300"/>
        <w:gridCol w:w="1800"/>
        <w:gridCol w:w="1800"/>
        <w:gridCol w:w="1400"/>
      </w:tblGrid>
      <w:tr w:rsidR="00F166C5" w:rsidRPr="00F166C5" w14:paraId="18E0408A"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10" w:type="dxa"/>
              <w:bottom w:w="80" w:type="dxa"/>
              <w:right w:w="110" w:type="dxa"/>
            </w:tcMar>
            <w:hideMark/>
          </w:tcPr>
          <w:p w14:paraId="4C8D6B0E"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b/>
                <w:bCs/>
                <w:sz w:val="22"/>
                <w:szCs w:val="22"/>
              </w:rPr>
              <w:t>Dimension</w:t>
            </w:r>
          </w:p>
        </w:tc>
        <w:tc>
          <w:tcPr>
            <w:tcW w:w="23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10" w:type="dxa"/>
              <w:bottom w:w="80" w:type="dxa"/>
              <w:right w:w="110" w:type="dxa"/>
            </w:tcMar>
            <w:hideMark/>
          </w:tcPr>
          <w:p w14:paraId="6850C8DB"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b/>
                <w:bCs/>
                <w:sz w:val="22"/>
                <w:szCs w:val="22"/>
              </w:rPr>
              <w:t>Key Metrics / Data</w:t>
            </w:r>
          </w:p>
        </w:tc>
        <w:tc>
          <w:tcPr>
            <w:tcW w:w="18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10" w:type="dxa"/>
              <w:bottom w:w="80" w:type="dxa"/>
              <w:right w:w="110" w:type="dxa"/>
            </w:tcMar>
            <w:hideMark/>
          </w:tcPr>
          <w:p w14:paraId="7E36726A"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b/>
                <w:bCs/>
                <w:sz w:val="22"/>
                <w:szCs w:val="22"/>
              </w:rPr>
              <w:t>Instrument</w:t>
            </w:r>
          </w:p>
        </w:tc>
        <w:tc>
          <w:tcPr>
            <w:tcW w:w="18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10" w:type="dxa"/>
              <w:bottom w:w="80" w:type="dxa"/>
              <w:right w:w="110" w:type="dxa"/>
            </w:tcMar>
            <w:hideMark/>
          </w:tcPr>
          <w:p w14:paraId="09D04C30"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b/>
                <w:bCs/>
                <w:sz w:val="22"/>
                <w:szCs w:val="22"/>
              </w:rPr>
              <w:t>Analysis</w:t>
            </w:r>
          </w:p>
        </w:tc>
        <w:tc>
          <w:tcPr>
            <w:tcW w:w="140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10" w:type="dxa"/>
              <w:bottom w:w="80" w:type="dxa"/>
              <w:right w:w="110" w:type="dxa"/>
            </w:tcMar>
            <w:hideMark/>
          </w:tcPr>
          <w:p w14:paraId="170794B2"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b/>
                <w:bCs/>
                <w:sz w:val="22"/>
                <w:szCs w:val="22"/>
              </w:rPr>
              <w:t>Weight</w:t>
            </w:r>
          </w:p>
        </w:tc>
      </w:tr>
      <w:tr w:rsidR="00F166C5" w:rsidRPr="00F166C5" w14:paraId="65804A4C"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hideMark/>
          </w:tcPr>
          <w:p w14:paraId="6E18B9BC"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Build Performance</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hideMark/>
          </w:tcPr>
          <w:p w14:paraId="459A45B3"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Build time, CPU, memory, queue latency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hideMark/>
          </w:tcPr>
          <w:p w14:paraId="4A70CD27"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Platform build logs + dashboard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hideMark/>
          </w:tcPr>
          <w:p w14:paraId="647B24F0"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Kruskal-Wallis</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hideMark/>
          </w:tcPr>
          <w:p w14:paraId="6344E7DF"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30%</w:t>
            </w:r>
          </w:p>
        </w:tc>
      </w:tr>
      <w:tr w:rsidR="00F166C5" w:rsidRPr="00F166C5" w14:paraId="0817CB10"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hideMark/>
          </w:tcPr>
          <w:p w14:paraId="05AF4238"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Reliability</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hideMark/>
          </w:tcPr>
          <w:p w14:paraId="2F8C1471"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Pipeline success rate, MTTR</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hideMark/>
          </w:tcPr>
          <w:p w14:paraId="2BF91270"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Platform dashboard API</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hideMark/>
          </w:tcPr>
          <w:p w14:paraId="0D450EEF"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Mann-Whitney U</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hideMark/>
          </w:tcPr>
          <w:p w14:paraId="2D5A9BCD"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25%</w:t>
            </w:r>
          </w:p>
        </w:tc>
      </w:tr>
      <w:tr w:rsidR="00F166C5" w:rsidRPr="00F166C5" w14:paraId="60B61B42"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hideMark/>
          </w:tcPr>
          <w:p w14:paraId="13D5D226"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Cost</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hideMark/>
          </w:tcPr>
          <w:p w14:paraId="0CEBAB2A"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Operational overhead, infrastructure cost</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hideMark/>
          </w:tcPr>
          <w:p w14:paraId="481215F1"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Vendor pricing documents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hideMark/>
          </w:tcPr>
          <w:p w14:paraId="78E0946A"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Scenario documentation</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hideMark/>
          </w:tcPr>
          <w:p w14:paraId="5AAAACDA"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20%</w:t>
            </w:r>
          </w:p>
        </w:tc>
      </w:tr>
      <w:tr w:rsidR="00F166C5" w:rsidRPr="00F166C5" w14:paraId="7A7C282E"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hideMark/>
          </w:tcPr>
          <w:p w14:paraId="45409AAD"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lastRenderedPageBreak/>
              <w:t>Usability</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hideMark/>
          </w:tcPr>
          <w:p w14:paraId="5A7AC7AC"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SUS score, interview themes, Likert mean</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hideMark/>
          </w:tcPr>
          <w:p w14:paraId="334AEFBF"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Interview + SUS + Likert form</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hideMark/>
          </w:tcPr>
          <w:p w14:paraId="5CDC3931"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Thematic + descriptive</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hideMark/>
          </w:tcPr>
          <w:p w14:paraId="078AFF98"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15%</w:t>
            </w:r>
          </w:p>
        </w:tc>
      </w:tr>
      <w:tr w:rsidR="00F166C5" w:rsidRPr="00F166C5" w14:paraId="1C2752FE" w14:textId="77777777">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hideMark/>
          </w:tcPr>
          <w:p w14:paraId="081E753C"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Integration</w:t>
            </w:r>
          </w:p>
        </w:tc>
        <w:tc>
          <w:tcPr>
            <w:tcW w:w="23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hideMark/>
          </w:tcPr>
          <w:p w14:paraId="1384307A"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Plugin count, API coverage, tool compatibility</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hideMark/>
          </w:tcPr>
          <w:p w14:paraId="51447C34"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Feature review + vendor docs</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hideMark/>
          </w:tcPr>
          <w:p w14:paraId="4B5DC675"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Scoring rubric</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10" w:type="dxa"/>
              <w:bottom w:w="80" w:type="dxa"/>
              <w:right w:w="110" w:type="dxa"/>
            </w:tcMar>
            <w:hideMark/>
          </w:tcPr>
          <w:p w14:paraId="67936219"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10%</w:t>
            </w:r>
          </w:p>
        </w:tc>
      </w:tr>
    </w:tbl>
    <w:p w14:paraId="5900CD60" w14:textId="564F6185" w:rsidR="00F166C5" w:rsidRPr="00F166C5" w:rsidRDefault="00F166C5" w:rsidP="00F166C5">
      <w:pPr>
        <w:spacing w:after="180" w:line="360" w:lineRule="auto"/>
        <w:jc w:val="both"/>
        <w:rPr>
          <w:rFonts w:ascii="Times New Roman" w:hAnsi="Times New Roman" w:cs="Times New Roman"/>
        </w:rPr>
      </w:pPr>
      <w:r w:rsidRPr="00F166C5">
        <w:rPr>
          <w:rFonts w:ascii="Times New Roman" w:hAnsi="Times New Roman" w:cs="Times New Roman"/>
        </w:rPr>
        <w:t>Note: MTTR = Mean Time to Recovery; SUS = System Usability Scale.</w:t>
      </w:r>
    </w:p>
    <w:p w14:paraId="6A39E74C" w14:textId="3E5D1963" w:rsidR="00F166C5" w:rsidRPr="00F166C5" w:rsidRDefault="00F166C5" w:rsidP="00F166C5">
      <w:pPr>
        <w:spacing w:after="180" w:line="360" w:lineRule="auto"/>
        <w:jc w:val="both"/>
        <w:rPr>
          <w:rFonts w:ascii="Times New Roman" w:hAnsi="Times New Roman" w:cs="Times New Roman"/>
        </w:rPr>
      </w:pPr>
      <w:r w:rsidRPr="00F166C5">
        <w:rPr>
          <w:rFonts w:ascii="Times New Roman" w:hAnsi="Times New Roman" w:cs="Times New Roman"/>
        </w:rPr>
        <w:t>Performance metrics collected in Phase 3 are listed in Table 2.</w:t>
      </w:r>
    </w:p>
    <w:p w14:paraId="4A6B4572"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Table 2: Performance Metrics and Collection Methods</w:t>
      </w:r>
    </w:p>
    <w:tbl>
      <w:tblPr>
        <w:tblStyle w:val="TableGrid"/>
        <w:tblW w:w="9200" w:type="dxa"/>
        <w:tblLook w:val="04A0" w:firstRow="1" w:lastRow="0" w:firstColumn="1" w:lastColumn="0" w:noHBand="0" w:noVBand="1"/>
      </w:tblPr>
      <w:tblGrid>
        <w:gridCol w:w="3100"/>
        <w:gridCol w:w="1600"/>
        <w:gridCol w:w="4500"/>
      </w:tblGrid>
      <w:tr w:rsidR="00F166C5" w:rsidRPr="00F166C5" w14:paraId="141C2D64" w14:textId="77777777" w:rsidTr="00F166C5">
        <w:tc>
          <w:tcPr>
            <w:tcW w:w="3100" w:type="dxa"/>
            <w:hideMark/>
          </w:tcPr>
          <w:p w14:paraId="10540367"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b/>
                <w:bCs/>
                <w:sz w:val="22"/>
                <w:szCs w:val="22"/>
              </w:rPr>
              <w:t>Metric</w:t>
            </w:r>
          </w:p>
        </w:tc>
        <w:tc>
          <w:tcPr>
            <w:tcW w:w="1600" w:type="dxa"/>
            <w:hideMark/>
          </w:tcPr>
          <w:p w14:paraId="021349DC"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b/>
                <w:bCs/>
                <w:sz w:val="22"/>
                <w:szCs w:val="22"/>
              </w:rPr>
              <w:t>Unit</w:t>
            </w:r>
          </w:p>
        </w:tc>
        <w:tc>
          <w:tcPr>
            <w:tcW w:w="4500" w:type="dxa"/>
            <w:hideMark/>
          </w:tcPr>
          <w:p w14:paraId="39051C51"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b/>
                <w:bCs/>
                <w:sz w:val="22"/>
                <w:szCs w:val="22"/>
              </w:rPr>
              <w:t>How It Is Collected</w:t>
            </w:r>
          </w:p>
        </w:tc>
      </w:tr>
      <w:tr w:rsidR="00F166C5" w:rsidRPr="00F166C5" w14:paraId="6B7ECEC1" w14:textId="77777777" w:rsidTr="00F166C5">
        <w:tc>
          <w:tcPr>
            <w:tcW w:w="3100" w:type="dxa"/>
            <w:hideMark/>
          </w:tcPr>
          <w:p w14:paraId="18061745"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Total build duration</w:t>
            </w:r>
          </w:p>
        </w:tc>
        <w:tc>
          <w:tcPr>
            <w:tcW w:w="1600" w:type="dxa"/>
            <w:hideMark/>
          </w:tcPr>
          <w:p w14:paraId="3CB75F8C"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seconds</w:t>
            </w:r>
          </w:p>
        </w:tc>
        <w:tc>
          <w:tcPr>
            <w:tcW w:w="4500" w:type="dxa"/>
            <w:hideMark/>
          </w:tcPr>
          <w:p w14:paraId="61D96183"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Platform build log timestamps</w:t>
            </w:r>
          </w:p>
        </w:tc>
      </w:tr>
      <w:tr w:rsidR="00F166C5" w:rsidRPr="00F166C5" w14:paraId="2AFAB656" w14:textId="77777777" w:rsidTr="00F166C5">
        <w:tc>
          <w:tcPr>
            <w:tcW w:w="3100" w:type="dxa"/>
            <w:hideMark/>
          </w:tcPr>
          <w:p w14:paraId="7ACEBF17"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Queue latency (trigger to job start)</w:t>
            </w:r>
          </w:p>
        </w:tc>
        <w:tc>
          <w:tcPr>
            <w:tcW w:w="1600" w:type="dxa"/>
            <w:hideMark/>
          </w:tcPr>
          <w:p w14:paraId="6885D4A8"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seconds</w:t>
            </w:r>
          </w:p>
        </w:tc>
        <w:tc>
          <w:tcPr>
            <w:tcW w:w="4500" w:type="dxa"/>
            <w:hideMark/>
          </w:tcPr>
          <w:p w14:paraId="713C223F"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Trigger event vs job start time</w:t>
            </w:r>
          </w:p>
        </w:tc>
      </w:tr>
      <w:tr w:rsidR="00F166C5" w:rsidRPr="00F166C5" w14:paraId="0FBFB46A" w14:textId="77777777" w:rsidTr="00F166C5">
        <w:tc>
          <w:tcPr>
            <w:tcW w:w="3100" w:type="dxa"/>
            <w:hideMark/>
          </w:tcPr>
          <w:p w14:paraId="6F31C6FF"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CPU utilisation (peak)</w:t>
            </w:r>
          </w:p>
        </w:tc>
        <w:tc>
          <w:tcPr>
            <w:tcW w:w="1600" w:type="dxa"/>
            <w:hideMark/>
          </w:tcPr>
          <w:p w14:paraId="63AC28F5"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percent</w:t>
            </w:r>
          </w:p>
        </w:tc>
        <w:tc>
          <w:tcPr>
            <w:tcW w:w="4500" w:type="dxa"/>
            <w:hideMark/>
          </w:tcPr>
          <w:p w14:paraId="5EAC36D0"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Platform resource usage dashboard</w:t>
            </w:r>
          </w:p>
        </w:tc>
      </w:tr>
      <w:tr w:rsidR="00F166C5" w:rsidRPr="00F166C5" w14:paraId="3F861F8D" w14:textId="77777777" w:rsidTr="00F166C5">
        <w:tc>
          <w:tcPr>
            <w:tcW w:w="3100" w:type="dxa"/>
            <w:hideMark/>
          </w:tcPr>
          <w:p w14:paraId="4878FABC"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Memory consumption (peak)</w:t>
            </w:r>
          </w:p>
        </w:tc>
        <w:tc>
          <w:tcPr>
            <w:tcW w:w="1600" w:type="dxa"/>
            <w:hideMark/>
          </w:tcPr>
          <w:p w14:paraId="6437C8EC"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MB</w:t>
            </w:r>
          </w:p>
        </w:tc>
        <w:tc>
          <w:tcPr>
            <w:tcW w:w="4500" w:type="dxa"/>
            <w:hideMark/>
          </w:tcPr>
          <w:p w14:paraId="4B2402A4"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Platform resource usage dashboard</w:t>
            </w:r>
          </w:p>
        </w:tc>
      </w:tr>
      <w:tr w:rsidR="00F166C5" w:rsidRPr="00F166C5" w14:paraId="699E344E" w14:textId="77777777" w:rsidTr="00F166C5">
        <w:tc>
          <w:tcPr>
            <w:tcW w:w="3100" w:type="dxa"/>
            <w:hideMark/>
          </w:tcPr>
          <w:p w14:paraId="17753320"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Pipeline success rate</w:t>
            </w:r>
          </w:p>
        </w:tc>
        <w:tc>
          <w:tcPr>
            <w:tcW w:w="1600" w:type="dxa"/>
            <w:hideMark/>
          </w:tcPr>
          <w:p w14:paraId="0637105F"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percent</w:t>
            </w:r>
          </w:p>
        </w:tc>
        <w:tc>
          <w:tcPr>
            <w:tcW w:w="4500" w:type="dxa"/>
            <w:hideMark/>
          </w:tcPr>
          <w:p w14:paraId="097BB367"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Build history over 30 runs per platform</w:t>
            </w:r>
          </w:p>
        </w:tc>
      </w:tr>
      <w:tr w:rsidR="00F166C5" w:rsidRPr="00F166C5" w14:paraId="3DC495F2" w14:textId="77777777" w:rsidTr="00F166C5">
        <w:tc>
          <w:tcPr>
            <w:tcW w:w="3100" w:type="dxa"/>
            <w:hideMark/>
          </w:tcPr>
          <w:p w14:paraId="754995E2"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Mean Time to Recovery (MTTR)</w:t>
            </w:r>
          </w:p>
        </w:tc>
        <w:tc>
          <w:tcPr>
            <w:tcW w:w="1600" w:type="dxa"/>
            <w:hideMark/>
          </w:tcPr>
          <w:p w14:paraId="2308017B"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minutes</w:t>
            </w:r>
          </w:p>
        </w:tc>
        <w:tc>
          <w:tcPr>
            <w:tcW w:w="4500" w:type="dxa"/>
            <w:hideMark/>
          </w:tcPr>
          <w:p w14:paraId="052D8143" w14:textId="77777777" w:rsidR="00F166C5" w:rsidRPr="00F166C5" w:rsidRDefault="00F166C5" w:rsidP="00F166C5">
            <w:pPr>
              <w:spacing w:after="180" w:line="360" w:lineRule="auto"/>
              <w:jc w:val="both"/>
              <w:rPr>
                <w:rFonts w:ascii="Times New Roman" w:hAnsi="Times New Roman" w:cs="Times New Roman"/>
                <w:sz w:val="22"/>
                <w:szCs w:val="22"/>
              </w:rPr>
            </w:pPr>
            <w:r w:rsidRPr="00F166C5">
              <w:rPr>
                <w:rFonts w:ascii="Times New Roman" w:hAnsi="Times New Roman" w:cs="Times New Roman"/>
                <w:sz w:val="22"/>
                <w:szCs w:val="22"/>
              </w:rPr>
              <w:t>Measured after intentional pipeline failure</w:t>
            </w:r>
          </w:p>
        </w:tc>
      </w:tr>
    </w:tbl>
    <w:p w14:paraId="5AA06866" w14:textId="77777777" w:rsidR="00F166C5" w:rsidRPr="00844FEC" w:rsidRDefault="00F166C5" w:rsidP="00844FEC">
      <w:pPr>
        <w:spacing w:after="180" w:line="360" w:lineRule="auto"/>
        <w:jc w:val="both"/>
        <w:rPr>
          <w:rFonts w:ascii="Times New Roman" w:hAnsi="Times New Roman" w:cs="Times New Roman"/>
        </w:rPr>
      </w:pPr>
    </w:p>
    <w:p w14:paraId="5EC81F50" w14:textId="77777777" w:rsidR="00BD21A1" w:rsidRPr="00844FEC" w:rsidRDefault="00000000" w:rsidP="00844FEC">
      <w:pPr>
        <w:pStyle w:val="Heading2"/>
        <w:spacing w:line="360" w:lineRule="auto"/>
        <w:rPr>
          <w:rFonts w:ascii="Times New Roman" w:hAnsi="Times New Roman" w:cs="Times New Roman"/>
          <w:color w:val="auto"/>
        </w:rPr>
      </w:pPr>
      <w:r w:rsidRPr="00844FEC">
        <w:rPr>
          <w:rFonts w:ascii="Times New Roman" w:hAnsi="Times New Roman" w:cs="Times New Roman"/>
          <w:color w:val="auto"/>
        </w:rPr>
        <w:t>2.4 Data Analysis Methods</w:t>
      </w:r>
    </w:p>
    <w:p w14:paraId="39CE8F0F" w14:textId="77777777" w:rsidR="00F166C5" w:rsidRPr="00F166C5" w:rsidRDefault="00F166C5" w:rsidP="00F166C5">
      <w:pPr>
        <w:spacing w:after="180" w:line="360" w:lineRule="auto"/>
        <w:jc w:val="both"/>
        <w:rPr>
          <w:rFonts w:ascii="Times New Roman" w:hAnsi="Times New Roman" w:cs="Times New Roman"/>
          <w:b/>
          <w:bCs/>
        </w:rPr>
      </w:pPr>
      <w:r w:rsidRPr="00F166C5">
        <w:rPr>
          <w:rFonts w:ascii="Times New Roman" w:hAnsi="Times New Roman" w:cs="Times New Roman"/>
          <w:b/>
          <w:bCs/>
        </w:rPr>
        <w:t>2.4 Data Analysis Methods</w:t>
      </w:r>
    </w:p>
    <w:p w14:paraId="4453064B" w14:textId="77777777" w:rsidR="00F166C5" w:rsidRPr="00F166C5" w:rsidRDefault="00F166C5" w:rsidP="00F166C5">
      <w:pPr>
        <w:spacing w:after="180" w:line="360" w:lineRule="auto"/>
        <w:jc w:val="both"/>
        <w:rPr>
          <w:rFonts w:ascii="Times New Roman" w:hAnsi="Times New Roman" w:cs="Times New Roman"/>
        </w:rPr>
      </w:pPr>
      <w:r w:rsidRPr="00F166C5">
        <w:rPr>
          <w:rFonts w:ascii="Times New Roman" w:hAnsi="Times New Roman" w:cs="Times New Roman"/>
        </w:rPr>
        <w:t>Different analysis methods are applied to different types of data. Each method is described below.</w:t>
      </w:r>
    </w:p>
    <w:p w14:paraId="40254EE7" w14:textId="3FE3902E" w:rsidR="00F166C5" w:rsidRPr="00F166C5" w:rsidRDefault="00F166C5" w:rsidP="00F166C5">
      <w:pPr>
        <w:spacing w:after="180" w:line="360" w:lineRule="auto"/>
        <w:jc w:val="both"/>
        <w:rPr>
          <w:rFonts w:ascii="Times New Roman" w:hAnsi="Times New Roman" w:cs="Times New Roman"/>
          <w:b/>
          <w:bCs/>
        </w:rPr>
      </w:pPr>
      <w:r w:rsidRPr="00F166C5">
        <w:rPr>
          <w:rFonts w:ascii="Times New Roman" w:hAnsi="Times New Roman" w:cs="Times New Roman"/>
          <w:b/>
          <w:bCs/>
        </w:rPr>
        <w:t xml:space="preserve">2.4.1 Performance Analysis </w:t>
      </w:r>
      <w:r>
        <w:rPr>
          <w:rFonts w:ascii="Times New Roman" w:hAnsi="Times New Roman" w:cs="Times New Roman"/>
          <w:b/>
          <w:bCs/>
        </w:rPr>
        <w:t>-</w:t>
      </w:r>
      <w:r w:rsidRPr="00F166C5">
        <w:rPr>
          <w:rFonts w:ascii="Times New Roman" w:hAnsi="Times New Roman" w:cs="Times New Roman"/>
          <w:b/>
          <w:bCs/>
        </w:rPr>
        <w:t xml:space="preserve"> Kruskal-Wallis and Mann-Whitney U</w:t>
      </w:r>
    </w:p>
    <w:p w14:paraId="7250BDB8" w14:textId="77777777" w:rsidR="00F166C5" w:rsidRPr="00F166C5" w:rsidRDefault="00F166C5" w:rsidP="00F166C5">
      <w:pPr>
        <w:spacing w:after="180" w:line="360" w:lineRule="auto"/>
        <w:jc w:val="both"/>
        <w:rPr>
          <w:rFonts w:ascii="Times New Roman" w:hAnsi="Times New Roman" w:cs="Times New Roman"/>
        </w:rPr>
      </w:pPr>
      <w:r w:rsidRPr="00F166C5">
        <w:rPr>
          <w:rFonts w:ascii="Times New Roman" w:hAnsi="Times New Roman" w:cs="Times New Roman"/>
        </w:rPr>
        <w:lastRenderedPageBreak/>
        <w:t xml:space="preserve">Performance data analysis follows three steps. First, the Shapiro-Wilk test checks whether each metric is normally distributed (alpha = 0.05). Second, the Kruskal-Wallis H test checks whether the three platforms have statistically different distributions for a given metric [19]. If normality holds, one-way ANOVA is used instead. Third, when the Kruskal-Wallis or ANOVA test finds a significant overall difference, pairwise comparisons use the Mann-Whitney U test with Bonferroni correction (adjusted alpha = 0.017). Effect sizes are reported as </w:t>
      </w:r>
      <w:proofErr w:type="gramStart"/>
      <w:r w:rsidRPr="00F166C5">
        <w:rPr>
          <w:rFonts w:ascii="Times New Roman" w:hAnsi="Times New Roman" w:cs="Times New Roman"/>
        </w:rPr>
        <w:t>eta-squared [20]</w:t>
      </w:r>
      <w:proofErr w:type="gramEnd"/>
      <w:r w:rsidRPr="00F166C5">
        <w:rPr>
          <w:rFonts w:ascii="Times New Roman" w:hAnsi="Times New Roman" w:cs="Times New Roman"/>
        </w:rPr>
        <w:t xml:space="preserve">. Outliers are removed using the IQR method before analysis. All calculations are done in Python using SciPy 1.12 and </w:t>
      </w:r>
      <w:proofErr w:type="spellStart"/>
      <w:r w:rsidRPr="00F166C5">
        <w:rPr>
          <w:rFonts w:ascii="Times New Roman" w:hAnsi="Times New Roman" w:cs="Times New Roman"/>
        </w:rPr>
        <w:t>Pingouin</w:t>
      </w:r>
      <w:proofErr w:type="spellEnd"/>
      <w:r w:rsidRPr="00F166C5">
        <w:rPr>
          <w:rFonts w:ascii="Times New Roman" w:hAnsi="Times New Roman" w:cs="Times New Roman"/>
        </w:rPr>
        <w:t xml:space="preserve"> 0.5.</w:t>
      </w:r>
    </w:p>
    <w:p w14:paraId="1E8B38D4" w14:textId="5C263D74" w:rsidR="00F166C5" w:rsidRPr="00F166C5" w:rsidRDefault="00F166C5" w:rsidP="00F166C5">
      <w:pPr>
        <w:spacing w:after="180" w:line="360" w:lineRule="auto"/>
        <w:jc w:val="both"/>
        <w:rPr>
          <w:rFonts w:ascii="Times New Roman" w:hAnsi="Times New Roman" w:cs="Times New Roman"/>
          <w:b/>
          <w:bCs/>
        </w:rPr>
      </w:pPr>
      <w:r w:rsidRPr="00F166C5">
        <w:rPr>
          <w:rFonts w:ascii="Times New Roman" w:hAnsi="Times New Roman" w:cs="Times New Roman"/>
          <w:b/>
          <w:bCs/>
        </w:rPr>
        <w:t xml:space="preserve">2.4.2 Interview Analysis </w:t>
      </w:r>
      <w:r w:rsidR="008B7040">
        <w:rPr>
          <w:rFonts w:ascii="Times New Roman" w:hAnsi="Times New Roman" w:cs="Times New Roman"/>
          <w:b/>
          <w:bCs/>
        </w:rPr>
        <w:t>-</w:t>
      </w:r>
      <w:r w:rsidRPr="00F166C5">
        <w:rPr>
          <w:rFonts w:ascii="Times New Roman" w:hAnsi="Times New Roman" w:cs="Times New Roman"/>
          <w:b/>
          <w:bCs/>
        </w:rPr>
        <w:t xml:space="preserve"> Thematic Analysis</w:t>
      </w:r>
    </w:p>
    <w:p w14:paraId="5E0FCF97" w14:textId="77777777" w:rsidR="00F166C5" w:rsidRPr="00F166C5" w:rsidRDefault="00F166C5" w:rsidP="00F166C5">
      <w:pPr>
        <w:spacing w:after="180" w:line="360" w:lineRule="auto"/>
        <w:jc w:val="both"/>
        <w:rPr>
          <w:rFonts w:ascii="Times New Roman" w:hAnsi="Times New Roman" w:cs="Times New Roman"/>
        </w:rPr>
      </w:pPr>
      <w:r w:rsidRPr="00F166C5">
        <w:rPr>
          <w:rFonts w:ascii="Times New Roman" w:hAnsi="Times New Roman" w:cs="Times New Roman"/>
        </w:rPr>
        <w:t>Interview audio recordings are transcribed in full. The transcripts are read and coded to identify recurring themes grouped around the five evaluation dimensions. Two researchers independently code a ten-percent sample to check consistency. Disagreements are discussed and resolved. Representative quotes are used in Chapter 5 to illustrate key themes.</w:t>
      </w:r>
    </w:p>
    <w:p w14:paraId="1F9BC500" w14:textId="0DB6380D" w:rsidR="00F166C5" w:rsidRPr="00F166C5" w:rsidRDefault="00F166C5" w:rsidP="00F166C5">
      <w:pPr>
        <w:spacing w:after="180" w:line="360" w:lineRule="auto"/>
        <w:jc w:val="both"/>
        <w:rPr>
          <w:rFonts w:ascii="Times New Roman" w:hAnsi="Times New Roman" w:cs="Times New Roman"/>
          <w:b/>
          <w:bCs/>
        </w:rPr>
      </w:pPr>
      <w:r w:rsidRPr="00F166C5">
        <w:rPr>
          <w:rFonts w:ascii="Times New Roman" w:hAnsi="Times New Roman" w:cs="Times New Roman"/>
          <w:b/>
          <w:bCs/>
        </w:rPr>
        <w:t xml:space="preserve">2.4.3 Survey and SUS Analysis </w:t>
      </w:r>
      <w:r w:rsidR="008B7040">
        <w:rPr>
          <w:rFonts w:ascii="Times New Roman" w:hAnsi="Times New Roman" w:cs="Times New Roman"/>
          <w:b/>
          <w:bCs/>
        </w:rPr>
        <w:t>-</w:t>
      </w:r>
      <w:r w:rsidRPr="00F166C5">
        <w:rPr>
          <w:rFonts w:ascii="Times New Roman" w:hAnsi="Times New Roman" w:cs="Times New Roman"/>
          <w:b/>
          <w:bCs/>
        </w:rPr>
        <w:t xml:space="preserve"> Descriptive Statistics</w:t>
      </w:r>
    </w:p>
    <w:p w14:paraId="35E14F1E" w14:textId="77777777" w:rsidR="00F166C5" w:rsidRPr="00F166C5" w:rsidRDefault="00F166C5" w:rsidP="00F166C5">
      <w:pPr>
        <w:spacing w:after="180" w:line="360" w:lineRule="auto"/>
        <w:jc w:val="both"/>
        <w:rPr>
          <w:rFonts w:ascii="Times New Roman" w:hAnsi="Times New Roman" w:cs="Times New Roman"/>
        </w:rPr>
      </w:pPr>
      <w:r w:rsidRPr="00F166C5">
        <w:rPr>
          <w:rFonts w:ascii="Times New Roman" w:hAnsi="Times New Roman" w:cs="Times New Roman"/>
        </w:rPr>
        <w:t>Likert survey results are summarised as mean score and standard deviation per item per platform. SUS scores are calculated using the Brooke formula [17] and interpreted using the Bangor et al. adjective scale [18]: above 85 is excellent, 71 to 85 is good, 51 to 70 is fair, and below 51 is poor.</w:t>
      </w:r>
    </w:p>
    <w:p w14:paraId="61186BD8" w14:textId="77777777" w:rsidR="00BD21A1" w:rsidRPr="00844FEC" w:rsidRDefault="00000000" w:rsidP="00844FEC">
      <w:pPr>
        <w:pStyle w:val="Heading2"/>
        <w:spacing w:line="360" w:lineRule="auto"/>
        <w:rPr>
          <w:rFonts w:ascii="Times New Roman" w:hAnsi="Times New Roman" w:cs="Times New Roman"/>
          <w:color w:val="auto"/>
        </w:rPr>
      </w:pPr>
      <w:r w:rsidRPr="00844FEC">
        <w:rPr>
          <w:rFonts w:ascii="Times New Roman" w:hAnsi="Times New Roman" w:cs="Times New Roman"/>
          <w:color w:val="auto"/>
        </w:rPr>
        <w:t>2.5 Reliability and Validity</w:t>
      </w:r>
    </w:p>
    <w:p w14:paraId="77C8814E" w14:textId="77777777" w:rsidR="00F166C5" w:rsidRPr="00F166C5" w:rsidRDefault="00F166C5" w:rsidP="00F166C5">
      <w:pPr>
        <w:spacing w:after="80" w:line="360" w:lineRule="auto"/>
        <w:jc w:val="both"/>
        <w:rPr>
          <w:rFonts w:ascii="Times New Roman" w:hAnsi="Times New Roman" w:cs="Times New Roman"/>
        </w:rPr>
      </w:pPr>
      <w:r w:rsidRPr="00F166C5">
        <w:rPr>
          <w:rFonts w:ascii="Times New Roman" w:hAnsi="Times New Roman" w:cs="Times New Roman"/>
        </w:rPr>
        <w:t xml:space="preserve">Internal validity is protected through four controls. First, all three platforms run the same pipeline on the same codebase. Second, the Pipeline Equivalence Checklist and SHA-256 checksums confirm that each platform performs </w:t>
      </w:r>
      <w:proofErr w:type="gramStart"/>
      <w:r w:rsidRPr="00F166C5">
        <w:rPr>
          <w:rFonts w:ascii="Times New Roman" w:hAnsi="Times New Roman" w:cs="Times New Roman"/>
        </w:rPr>
        <w:t>exactly the same</w:t>
      </w:r>
      <w:proofErr w:type="gramEnd"/>
      <w:r w:rsidRPr="00F166C5">
        <w:rPr>
          <w:rFonts w:ascii="Times New Roman" w:hAnsi="Times New Roman" w:cs="Times New Roman"/>
        </w:rPr>
        <w:t xml:space="preserve"> work. Third, test runs are spread across different days to reduce infrastructure variability. Fourth, warm-up runs are discarded and outliers are removed using the IQR method before any statistical analysis [16].</w:t>
      </w:r>
    </w:p>
    <w:p w14:paraId="62158F56" w14:textId="77777777" w:rsidR="00F166C5" w:rsidRPr="00F166C5" w:rsidRDefault="00F166C5" w:rsidP="00F166C5">
      <w:pPr>
        <w:spacing w:after="80" w:line="360" w:lineRule="auto"/>
        <w:jc w:val="both"/>
        <w:rPr>
          <w:rFonts w:ascii="Times New Roman" w:hAnsi="Times New Roman" w:cs="Times New Roman"/>
        </w:rPr>
      </w:pPr>
      <w:r w:rsidRPr="00F166C5">
        <w:rPr>
          <w:rFonts w:ascii="Times New Roman" w:hAnsi="Times New Roman" w:cs="Times New Roman"/>
        </w:rPr>
        <w:t xml:space="preserve">Measurement reliability is ensured by collecting performance data automatically from platform dashboards and build logs, removing manual recording errors. All tool versions are documented. Interview questions are piloted with two participants before the main study. The SUS questionnaire is a validated instrument with Cronbach's alpha above 0.90 </w:t>
      </w:r>
      <w:r w:rsidRPr="00F166C5">
        <w:rPr>
          <w:rFonts w:ascii="Times New Roman" w:hAnsi="Times New Roman" w:cs="Times New Roman"/>
        </w:rPr>
        <w:lastRenderedPageBreak/>
        <w:t>[17][18]. Triangulation between performance results, SUS scores, Likert ratings, and interview themes provides an additional consistency check.</w:t>
      </w:r>
    </w:p>
    <w:p w14:paraId="0C8C7208" w14:textId="77777777" w:rsidR="00BD21A1" w:rsidRPr="00844FEC" w:rsidRDefault="00BD21A1" w:rsidP="00844FEC">
      <w:pPr>
        <w:spacing w:after="80" w:line="360" w:lineRule="auto"/>
        <w:rPr>
          <w:rFonts w:ascii="Times New Roman" w:hAnsi="Times New Roman" w:cs="Times New Roman"/>
        </w:rPr>
      </w:pPr>
    </w:p>
    <w:p w14:paraId="02FF4765" w14:textId="77777777" w:rsidR="00BD21A1" w:rsidRPr="00844FEC" w:rsidRDefault="00000000" w:rsidP="00844FEC">
      <w:pPr>
        <w:spacing w:line="360" w:lineRule="auto"/>
        <w:rPr>
          <w:rFonts w:ascii="Times New Roman" w:hAnsi="Times New Roman" w:cs="Times New Roman"/>
        </w:rPr>
      </w:pPr>
      <w:r w:rsidRPr="00844FEC">
        <w:rPr>
          <w:rFonts w:ascii="Times New Roman" w:hAnsi="Times New Roman" w:cs="Times New Roman"/>
        </w:rPr>
        <w:br w:type="page"/>
      </w:r>
    </w:p>
    <w:p w14:paraId="1662A0CC" w14:textId="2BE060E2" w:rsidR="00BD21A1" w:rsidRPr="00844FEC" w:rsidRDefault="00000000" w:rsidP="00844FEC">
      <w:pPr>
        <w:pStyle w:val="Heading1"/>
        <w:spacing w:line="360" w:lineRule="auto"/>
        <w:rPr>
          <w:rFonts w:ascii="Times New Roman" w:hAnsi="Times New Roman" w:cs="Times New Roman"/>
          <w:color w:val="auto"/>
        </w:rPr>
      </w:pPr>
      <w:r w:rsidRPr="00844FEC">
        <w:rPr>
          <w:rFonts w:ascii="Times New Roman" w:hAnsi="Times New Roman" w:cs="Times New Roman"/>
          <w:color w:val="auto"/>
        </w:rPr>
        <w:lastRenderedPageBreak/>
        <w:t xml:space="preserve">3 Current State Analysis </w:t>
      </w:r>
      <w:r w:rsidR="00844FEC">
        <w:rPr>
          <w:rFonts w:ascii="Times New Roman" w:hAnsi="Times New Roman" w:cs="Times New Roman"/>
          <w:color w:val="auto"/>
        </w:rPr>
        <w:t>(</w:t>
      </w:r>
      <w:r w:rsidRPr="00844FEC">
        <w:rPr>
          <w:rFonts w:ascii="Times New Roman" w:hAnsi="Times New Roman" w:cs="Times New Roman"/>
          <w:color w:val="auto"/>
        </w:rPr>
        <w:t>Project Specifications</w:t>
      </w:r>
      <w:r w:rsidR="00844FEC">
        <w:rPr>
          <w:rFonts w:ascii="Times New Roman" w:hAnsi="Times New Roman" w:cs="Times New Roman"/>
          <w:color w:val="auto"/>
        </w:rPr>
        <w:t>)</w:t>
      </w:r>
    </w:p>
    <w:p w14:paraId="60BF60F1"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This chapter analyses the current state of the CI/CD tooling landscape, with a particular focus on the three platforms under study: GitHub Actions, </w:t>
      </w:r>
      <w:proofErr w:type="spellStart"/>
      <w:r w:rsidRPr="00844FEC">
        <w:rPr>
          <w:rFonts w:ascii="Times New Roman" w:hAnsi="Times New Roman" w:cs="Times New Roman"/>
        </w:rPr>
        <w:t>CircleCI</w:t>
      </w:r>
      <w:proofErr w:type="spellEnd"/>
      <w:r w:rsidRPr="00844FEC">
        <w:rPr>
          <w:rFonts w:ascii="Times New Roman" w:hAnsi="Times New Roman" w:cs="Times New Roman"/>
        </w:rPr>
        <w:t>, and Jenkins. The analysis identifies the challenges facing practitioners in tool selection, examines the methodological limitations of existing comparative research, and defines the research gap that this thesis addresses. The chapter concludes by specifying the benchmark projects, pipeline equivalence requirements, and testing scope for the empirical investigation.</w:t>
      </w:r>
    </w:p>
    <w:p w14:paraId="28F6DC30" w14:textId="77777777" w:rsidR="00BD21A1" w:rsidRPr="00844FEC" w:rsidRDefault="00000000" w:rsidP="00844FEC">
      <w:pPr>
        <w:pStyle w:val="Heading2"/>
        <w:spacing w:line="360" w:lineRule="auto"/>
        <w:rPr>
          <w:rFonts w:ascii="Times New Roman" w:hAnsi="Times New Roman" w:cs="Times New Roman"/>
          <w:color w:val="auto"/>
        </w:rPr>
      </w:pPr>
      <w:r w:rsidRPr="00844FEC">
        <w:rPr>
          <w:rFonts w:ascii="Times New Roman" w:hAnsi="Times New Roman" w:cs="Times New Roman"/>
          <w:color w:val="auto"/>
        </w:rPr>
        <w:t>3.1 Overview of Current CI/CD Tools</w:t>
      </w:r>
    </w:p>
    <w:p w14:paraId="2169E0BA"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The contemporary CI/CD ecosystem is characterised by increasing fragmentation and rapid feature evolution. Dozens of platforms compete for market share, ranging from full DevOps suites to narrowly focused pipeline runners. Within this landscape, three categories of tools have emerged as dominant: cloud-native SaaS platforms, integrated source control platforms with embedded CI/CD, and self-hosted open-source solutions. GitHub Actions, </w:t>
      </w:r>
      <w:proofErr w:type="spellStart"/>
      <w:r w:rsidRPr="00844FEC">
        <w:rPr>
          <w:rFonts w:ascii="Times New Roman" w:hAnsi="Times New Roman" w:cs="Times New Roman"/>
        </w:rPr>
        <w:t>CircleCI</w:t>
      </w:r>
      <w:proofErr w:type="spellEnd"/>
      <w:r w:rsidRPr="00844FEC">
        <w:rPr>
          <w:rFonts w:ascii="Times New Roman" w:hAnsi="Times New Roman" w:cs="Times New Roman"/>
        </w:rPr>
        <w:t>, and Jenkins represent exemplars of these categories and collectively account for a significant share of CI/CD deployments in production environments worldwide [6]. Table 4 provides a structured comparative overview of the three platforms across eleven key characteristics.</w:t>
      </w:r>
    </w:p>
    <w:p w14:paraId="75DEF764" w14:textId="77777777" w:rsidR="00BD21A1" w:rsidRPr="00844FEC" w:rsidRDefault="00000000" w:rsidP="00844FEC">
      <w:pPr>
        <w:spacing w:before="220" w:after="80" w:line="360" w:lineRule="auto"/>
        <w:rPr>
          <w:rFonts w:ascii="Times New Roman" w:hAnsi="Times New Roman" w:cs="Times New Roman"/>
        </w:rPr>
      </w:pPr>
      <w:r w:rsidRPr="00844FEC">
        <w:rPr>
          <w:rFonts w:ascii="Times New Roman" w:hAnsi="Times New Roman" w:cs="Times New Roman"/>
          <w:sz w:val="22"/>
          <w:szCs w:val="22"/>
        </w:rPr>
        <w:t xml:space="preserve">Table 4: Comparative Overview of GitHub Actions, </w:t>
      </w:r>
      <w:proofErr w:type="spellStart"/>
      <w:r w:rsidRPr="00844FEC">
        <w:rPr>
          <w:rFonts w:ascii="Times New Roman" w:hAnsi="Times New Roman" w:cs="Times New Roman"/>
          <w:sz w:val="22"/>
          <w:szCs w:val="22"/>
        </w:rPr>
        <w:t>CircleCI</w:t>
      </w:r>
      <w:proofErr w:type="spellEnd"/>
      <w:r w:rsidRPr="00844FEC">
        <w:rPr>
          <w:rFonts w:ascii="Times New Roman" w:hAnsi="Times New Roman" w:cs="Times New Roman"/>
          <w:sz w:val="22"/>
          <w:szCs w:val="22"/>
        </w:rPr>
        <w:t>, and Jenkins (2026)</w:t>
      </w:r>
    </w:p>
    <w:tbl>
      <w:tblPr>
        <w:tblStyle w:val="TableGrid"/>
        <w:tblW w:w="9360" w:type="dxa"/>
        <w:tblLook w:val="04A0" w:firstRow="1" w:lastRow="0" w:firstColumn="1" w:lastColumn="0" w:noHBand="0" w:noVBand="1"/>
      </w:tblPr>
      <w:tblGrid>
        <w:gridCol w:w="2100"/>
        <w:gridCol w:w="2420"/>
        <w:gridCol w:w="2420"/>
        <w:gridCol w:w="2420"/>
      </w:tblGrid>
      <w:tr w:rsidR="00844FEC" w:rsidRPr="00844FEC" w14:paraId="5C92EFC3" w14:textId="77777777" w:rsidTr="00844FEC">
        <w:tc>
          <w:tcPr>
            <w:tcW w:w="2100" w:type="dxa"/>
          </w:tcPr>
          <w:p w14:paraId="05C59D89" w14:textId="77777777" w:rsidR="00BD21A1" w:rsidRPr="00844FEC" w:rsidRDefault="00000000" w:rsidP="00844FEC">
            <w:pPr>
              <w:spacing w:line="360" w:lineRule="auto"/>
              <w:jc w:val="center"/>
              <w:rPr>
                <w:rFonts w:ascii="Times New Roman" w:hAnsi="Times New Roman" w:cs="Times New Roman"/>
                <w:sz w:val="22"/>
                <w:szCs w:val="22"/>
              </w:rPr>
            </w:pPr>
            <w:r w:rsidRPr="00844FEC">
              <w:rPr>
                <w:rFonts w:ascii="Times New Roman" w:hAnsi="Times New Roman" w:cs="Times New Roman"/>
                <w:b/>
                <w:bCs/>
                <w:sz w:val="22"/>
                <w:szCs w:val="22"/>
              </w:rPr>
              <w:t>Characteristic</w:t>
            </w:r>
          </w:p>
        </w:tc>
        <w:tc>
          <w:tcPr>
            <w:tcW w:w="2420" w:type="dxa"/>
          </w:tcPr>
          <w:p w14:paraId="09393AF5" w14:textId="77777777" w:rsidR="00BD21A1" w:rsidRPr="00844FEC" w:rsidRDefault="00000000" w:rsidP="00844FEC">
            <w:pPr>
              <w:spacing w:line="360" w:lineRule="auto"/>
              <w:jc w:val="center"/>
              <w:rPr>
                <w:rFonts w:ascii="Times New Roman" w:hAnsi="Times New Roman" w:cs="Times New Roman"/>
                <w:sz w:val="22"/>
                <w:szCs w:val="22"/>
              </w:rPr>
            </w:pPr>
            <w:r w:rsidRPr="00844FEC">
              <w:rPr>
                <w:rFonts w:ascii="Times New Roman" w:hAnsi="Times New Roman" w:cs="Times New Roman"/>
                <w:b/>
                <w:bCs/>
                <w:sz w:val="22"/>
                <w:szCs w:val="22"/>
              </w:rPr>
              <w:t>GitHub Actions</w:t>
            </w:r>
          </w:p>
        </w:tc>
        <w:tc>
          <w:tcPr>
            <w:tcW w:w="2420" w:type="dxa"/>
          </w:tcPr>
          <w:p w14:paraId="73978698" w14:textId="77777777" w:rsidR="00BD21A1" w:rsidRPr="00844FEC" w:rsidRDefault="00000000" w:rsidP="00844FEC">
            <w:pPr>
              <w:spacing w:line="360" w:lineRule="auto"/>
              <w:jc w:val="center"/>
              <w:rPr>
                <w:rFonts w:ascii="Times New Roman" w:hAnsi="Times New Roman" w:cs="Times New Roman"/>
                <w:sz w:val="22"/>
                <w:szCs w:val="22"/>
              </w:rPr>
            </w:pPr>
            <w:proofErr w:type="spellStart"/>
            <w:r w:rsidRPr="00844FEC">
              <w:rPr>
                <w:rFonts w:ascii="Times New Roman" w:hAnsi="Times New Roman" w:cs="Times New Roman"/>
                <w:b/>
                <w:bCs/>
                <w:sz w:val="22"/>
                <w:szCs w:val="22"/>
              </w:rPr>
              <w:t>CircleCI</w:t>
            </w:r>
            <w:proofErr w:type="spellEnd"/>
          </w:p>
        </w:tc>
        <w:tc>
          <w:tcPr>
            <w:tcW w:w="2420" w:type="dxa"/>
          </w:tcPr>
          <w:p w14:paraId="17135AE6" w14:textId="77777777" w:rsidR="00BD21A1" w:rsidRPr="00844FEC" w:rsidRDefault="00000000" w:rsidP="00844FEC">
            <w:pPr>
              <w:spacing w:line="360" w:lineRule="auto"/>
              <w:jc w:val="center"/>
              <w:rPr>
                <w:rFonts w:ascii="Times New Roman" w:hAnsi="Times New Roman" w:cs="Times New Roman"/>
                <w:sz w:val="22"/>
                <w:szCs w:val="22"/>
              </w:rPr>
            </w:pPr>
            <w:r w:rsidRPr="00844FEC">
              <w:rPr>
                <w:rFonts w:ascii="Times New Roman" w:hAnsi="Times New Roman" w:cs="Times New Roman"/>
                <w:b/>
                <w:bCs/>
                <w:sz w:val="22"/>
                <w:szCs w:val="22"/>
              </w:rPr>
              <w:t>Jenkins</w:t>
            </w:r>
          </w:p>
        </w:tc>
      </w:tr>
      <w:tr w:rsidR="00844FEC" w:rsidRPr="00844FEC" w14:paraId="62F1CC05" w14:textId="77777777" w:rsidTr="00844FEC">
        <w:tc>
          <w:tcPr>
            <w:tcW w:w="2100" w:type="dxa"/>
          </w:tcPr>
          <w:p w14:paraId="0C04ED40"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Launch / Origin Year</w:t>
            </w:r>
          </w:p>
        </w:tc>
        <w:tc>
          <w:tcPr>
            <w:tcW w:w="2420" w:type="dxa"/>
          </w:tcPr>
          <w:p w14:paraId="340E68D2"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2019</w:t>
            </w:r>
          </w:p>
        </w:tc>
        <w:tc>
          <w:tcPr>
            <w:tcW w:w="2420" w:type="dxa"/>
          </w:tcPr>
          <w:p w14:paraId="27D81F73"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2011</w:t>
            </w:r>
          </w:p>
        </w:tc>
        <w:tc>
          <w:tcPr>
            <w:tcW w:w="2420" w:type="dxa"/>
          </w:tcPr>
          <w:p w14:paraId="293B4C7B"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2011 (Hudson: 2005)</w:t>
            </w:r>
          </w:p>
        </w:tc>
      </w:tr>
      <w:tr w:rsidR="00844FEC" w:rsidRPr="00844FEC" w14:paraId="56204A6F" w14:textId="77777777" w:rsidTr="00844FEC">
        <w:tc>
          <w:tcPr>
            <w:tcW w:w="2100" w:type="dxa"/>
          </w:tcPr>
          <w:p w14:paraId="712CC4A3"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Hosting Model</w:t>
            </w:r>
          </w:p>
        </w:tc>
        <w:tc>
          <w:tcPr>
            <w:tcW w:w="2420" w:type="dxa"/>
          </w:tcPr>
          <w:p w14:paraId="5D80A5D6"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Cloud-native SaaS</w:t>
            </w:r>
          </w:p>
        </w:tc>
        <w:tc>
          <w:tcPr>
            <w:tcW w:w="2420" w:type="dxa"/>
          </w:tcPr>
          <w:p w14:paraId="2B66F010"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Cloud-native SaaS</w:t>
            </w:r>
          </w:p>
        </w:tc>
        <w:tc>
          <w:tcPr>
            <w:tcW w:w="2420" w:type="dxa"/>
          </w:tcPr>
          <w:p w14:paraId="2714702E"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Self-hosted (</w:t>
            </w:r>
            <w:proofErr w:type="gramStart"/>
            <w:r w:rsidRPr="00844FEC">
              <w:rPr>
                <w:rFonts w:ascii="Times New Roman" w:hAnsi="Times New Roman" w:cs="Times New Roman"/>
                <w:sz w:val="22"/>
                <w:szCs w:val="22"/>
              </w:rPr>
              <w:t>open-source</w:t>
            </w:r>
            <w:proofErr w:type="gramEnd"/>
            <w:r w:rsidRPr="00844FEC">
              <w:rPr>
                <w:rFonts w:ascii="Times New Roman" w:hAnsi="Times New Roman" w:cs="Times New Roman"/>
                <w:sz w:val="22"/>
                <w:szCs w:val="22"/>
              </w:rPr>
              <w:t>)</w:t>
            </w:r>
          </w:p>
        </w:tc>
      </w:tr>
      <w:tr w:rsidR="00844FEC" w:rsidRPr="00844FEC" w14:paraId="0ADDF7A4" w14:textId="77777777" w:rsidTr="00844FEC">
        <w:tc>
          <w:tcPr>
            <w:tcW w:w="2100" w:type="dxa"/>
          </w:tcPr>
          <w:p w14:paraId="2FD4673B"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Config Language</w:t>
            </w:r>
          </w:p>
        </w:tc>
        <w:tc>
          <w:tcPr>
            <w:tcW w:w="2420" w:type="dxa"/>
          </w:tcPr>
          <w:p w14:paraId="02891349"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YAML</w:t>
            </w:r>
          </w:p>
        </w:tc>
        <w:tc>
          <w:tcPr>
            <w:tcW w:w="2420" w:type="dxa"/>
          </w:tcPr>
          <w:p w14:paraId="5FB58A9E"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YAML</w:t>
            </w:r>
          </w:p>
        </w:tc>
        <w:tc>
          <w:tcPr>
            <w:tcW w:w="2420" w:type="dxa"/>
          </w:tcPr>
          <w:p w14:paraId="5293CAF5"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Groovy (Declarative / Scripted Pipeline)</w:t>
            </w:r>
          </w:p>
        </w:tc>
      </w:tr>
      <w:tr w:rsidR="00844FEC" w:rsidRPr="00844FEC" w14:paraId="6D465D22" w14:textId="77777777" w:rsidTr="00844FEC">
        <w:tc>
          <w:tcPr>
            <w:tcW w:w="2100" w:type="dxa"/>
          </w:tcPr>
          <w:p w14:paraId="007211DE"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Integration Ecosystem</w:t>
            </w:r>
          </w:p>
        </w:tc>
        <w:tc>
          <w:tcPr>
            <w:tcW w:w="2420" w:type="dxa"/>
          </w:tcPr>
          <w:p w14:paraId="33242979"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16,000+ marketplace actions</w:t>
            </w:r>
          </w:p>
        </w:tc>
        <w:tc>
          <w:tcPr>
            <w:tcW w:w="2420" w:type="dxa"/>
          </w:tcPr>
          <w:p w14:paraId="0D57C6CD"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Orbs marketplace + API</w:t>
            </w:r>
          </w:p>
        </w:tc>
        <w:tc>
          <w:tcPr>
            <w:tcW w:w="2420" w:type="dxa"/>
          </w:tcPr>
          <w:p w14:paraId="7B725C28"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1,900+ community plugins</w:t>
            </w:r>
          </w:p>
        </w:tc>
      </w:tr>
      <w:tr w:rsidR="00844FEC" w:rsidRPr="00844FEC" w14:paraId="37D3216C" w14:textId="77777777" w:rsidTr="00844FEC">
        <w:tc>
          <w:tcPr>
            <w:tcW w:w="2100" w:type="dxa"/>
          </w:tcPr>
          <w:p w14:paraId="3F6FC77B"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Free Tier (2026)</w:t>
            </w:r>
          </w:p>
        </w:tc>
        <w:tc>
          <w:tcPr>
            <w:tcW w:w="2420" w:type="dxa"/>
          </w:tcPr>
          <w:p w14:paraId="3E448357"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2,000 min/month (public repos: unlimited)</w:t>
            </w:r>
          </w:p>
        </w:tc>
        <w:tc>
          <w:tcPr>
            <w:tcW w:w="2420" w:type="dxa"/>
          </w:tcPr>
          <w:p w14:paraId="656F6949"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6,000 min/month</w:t>
            </w:r>
          </w:p>
        </w:tc>
        <w:tc>
          <w:tcPr>
            <w:tcW w:w="2420" w:type="dxa"/>
          </w:tcPr>
          <w:p w14:paraId="7E26F6B3" w14:textId="77777777" w:rsidR="00BD21A1" w:rsidRPr="00844FEC" w:rsidRDefault="00000000" w:rsidP="00844FEC">
            <w:pPr>
              <w:spacing w:line="360" w:lineRule="auto"/>
              <w:rPr>
                <w:rFonts w:ascii="Times New Roman" w:hAnsi="Times New Roman" w:cs="Times New Roman"/>
                <w:sz w:val="22"/>
                <w:szCs w:val="22"/>
              </w:rPr>
            </w:pPr>
            <w:proofErr w:type="gramStart"/>
            <w:r w:rsidRPr="00844FEC">
              <w:rPr>
                <w:rFonts w:ascii="Times New Roman" w:hAnsi="Times New Roman" w:cs="Times New Roman"/>
                <w:sz w:val="22"/>
                <w:szCs w:val="22"/>
              </w:rPr>
              <w:t>Open-source</w:t>
            </w:r>
            <w:proofErr w:type="gramEnd"/>
            <w:r w:rsidRPr="00844FEC">
              <w:rPr>
                <w:rFonts w:ascii="Times New Roman" w:hAnsi="Times New Roman" w:cs="Times New Roman"/>
                <w:sz w:val="22"/>
                <w:szCs w:val="22"/>
              </w:rPr>
              <w:t>; infra costs apply</w:t>
            </w:r>
          </w:p>
        </w:tc>
      </w:tr>
      <w:tr w:rsidR="00844FEC" w:rsidRPr="00844FEC" w14:paraId="68D8B75D" w14:textId="77777777" w:rsidTr="00844FEC">
        <w:tc>
          <w:tcPr>
            <w:tcW w:w="2100" w:type="dxa"/>
          </w:tcPr>
          <w:p w14:paraId="39B5F165"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Native VCS Integration</w:t>
            </w:r>
          </w:p>
        </w:tc>
        <w:tc>
          <w:tcPr>
            <w:tcW w:w="2420" w:type="dxa"/>
          </w:tcPr>
          <w:p w14:paraId="13FA7C45"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GitHub (native; event-driven)</w:t>
            </w:r>
          </w:p>
        </w:tc>
        <w:tc>
          <w:tcPr>
            <w:tcW w:w="2420" w:type="dxa"/>
          </w:tcPr>
          <w:p w14:paraId="0B7E2EF9"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GitHub, GitLab, Bitbucket</w:t>
            </w:r>
          </w:p>
        </w:tc>
        <w:tc>
          <w:tcPr>
            <w:tcW w:w="2420" w:type="dxa"/>
          </w:tcPr>
          <w:p w14:paraId="02DCBA03"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All via plugins</w:t>
            </w:r>
          </w:p>
        </w:tc>
      </w:tr>
      <w:tr w:rsidR="00844FEC" w:rsidRPr="00844FEC" w14:paraId="47374F24" w14:textId="77777777" w:rsidTr="00844FEC">
        <w:tc>
          <w:tcPr>
            <w:tcW w:w="2100" w:type="dxa"/>
          </w:tcPr>
          <w:p w14:paraId="5CFF666B"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lastRenderedPageBreak/>
              <w:t>Container / Docker Support</w:t>
            </w:r>
          </w:p>
        </w:tc>
        <w:tc>
          <w:tcPr>
            <w:tcW w:w="2420" w:type="dxa"/>
          </w:tcPr>
          <w:p w14:paraId="4D08FC79"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Docker runners; multi-arch</w:t>
            </w:r>
          </w:p>
        </w:tc>
        <w:tc>
          <w:tcPr>
            <w:tcW w:w="2420" w:type="dxa"/>
          </w:tcPr>
          <w:p w14:paraId="6CCA937C"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Native Docker; resource classes</w:t>
            </w:r>
          </w:p>
        </w:tc>
        <w:tc>
          <w:tcPr>
            <w:tcW w:w="2420" w:type="dxa"/>
          </w:tcPr>
          <w:p w14:paraId="3288DA9C"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Docker plugin; agent-based</w:t>
            </w:r>
          </w:p>
        </w:tc>
      </w:tr>
      <w:tr w:rsidR="00844FEC" w:rsidRPr="00844FEC" w14:paraId="26CF2AF6" w14:textId="77777777" w:rsidTr="00844FEC">
        <w:tc>
          <w:tcPr>
            <w:tcW w:w="2100" w:type="dxa"/>
          </w:tcPr>
          <w:p w14:paraId="2FE3E1F5"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Parallelism Mechanism</w:t>
            </w:r>
          </w:p>
        </w:tc>
        <w:tc>
          <w:tcPr>
            <w:tcW w:w="2420" w:type="dxa"/>
          </w:tcPr>
          <w:p w14:paraId="54605197"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Matrix builds; concurrency groups</w:t>
            </w:r>
          </w:p>
        </w:tc>
        <w:tc>
          <w:tcPr>
            <w:tcW w:w="2420" w:type="dxa"/>
          </w:tcPr>
          <w:p w14:paraId="0E26E2AD"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Parallelism key; intelligent test splitting</w:t>
            </w:r>
          </w:p>
        </w:tc>
        <w:tc>
          <w:tcPr>
            <w:tcW w:w="2420" w:type="dxa"/>
          </w:tcPr>
          <w:p w14:paraId="04D2D201"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Parallel stages (Pipeline plugin)</w:t>
            </w:r>
          </w:p>
        </w:tc>
      </w:tr>
      <w:tr w:rsidR="00844FEC" w:rsidRPr="00844FEC" w14:paraId="3A86DB29" w14:textId="77777777" w:rsidTr="00844FEC">
        <w:tc>
          <w:tcPr>
            <w:tcW w:w="2100" w:type="dxa"/>
          </w:tcPr>
          <w:p w14:paraId="74AFD47D"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Caching Mechanism</w:t>
            </w:r>
          </w:p>
        </w:tc>
        <w:tc>
          <w:tcPr>
            <w:tcW w:w="2420" w:type="dxa"/>
          </w:tcPr>
          <w:p w14:paraId="1877B74C"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actions/cache (key-based)</w:t>
            </w:r>
          </w:p>
        </w:tc>
        <w:tc>
          <w:tcPr>
            <w:tcW w:w="2420" w:type="dxa"/>
          </w:tcPr>
          <w:p w14:paraId="43BFAA10"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Dependency caching; advanced cache layers</w:t>
            </w:r>
          </w:p>
        </w:tc>
        <w:tc>
          <w:tcPr>
            <w:tcW w:w="2420" w:type="dxa"/>
          </w:tcPr>
          <w:p w14:paraId="2AEBFE48"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Workspace caching; build-cache plugin</w:t>
            </w:r>
          </w:p>
        </w:tc>
      </w:tr>
      <w:tr w:rsidR="00844FEC" w:rsidRPr="00844FEC" w14:paraId="6B541A9A" w14:textId="77777777" w:rsidTr="00844FEC">
        <w:tc>
          <w:tcPr>
            <w:tcW w:w="2100" w:type="dxa"/>
          </w:tcPr>
          <w:p w14:paraId="629286EA"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Operational Overhead</w:t>
            </w:r>
          </w:p>
        </w:tc>
        <w:tc>
          <w:tcPr>
            <w:tcW w:w="2420" w:type="dxa"/>
          </w:tcPr>
          <w:p w14:paraId="2A4EA2BD"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Minimal (fully managed)</w:t>
            </w:r>
          </w:p>
        </w:tc>
        <w:tc>
          <w:tcPr>
            <w:tcW w:w="2420" w:type="dxa"/>
          </w:tcPr>
          <w:p w14:paraId="25C5FD6F"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Minimal (fully managed)</w:t>
            </w:r>
          </w:p>
        </w:tc>
        <w:tc>
          <w:tcPr>
            <w:tcW w:w="2420" w:type="dxa"/>
          </w:tcPr>
          <w:p w14:paraId="37985DD2"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High (manual provisioning, patching)</w:t>
            </w:r>
          </w:p>
        </w:tc>
      </w:tr>
      <w:tr w:rsidR="00844FEC" w:rsidRPr="00844FEC" w14:paraId="5813CA7D" w14:textId="77777777" w:rsidTr="00844FEC">
        <w:tc>
          <w:tcPr>
            <w:tcW w:w="2100" w:type="dxa"/>
          </w:tcPr>
          <w:p w14:paraId="148D7392"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Primary Strength</w:t>
            </w:r>
          </w:p>
        </w:tc>
        <w:tc>
          <w:tcPr>
            <w:tcW w:w="2420" w:type="dxa"/>
          </w:tcPr>
          <w:p w14:paraId="119751A1"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GitHub ecosystem integration</w:t>
            </w:r>
          </w:p>
        </w:tc>
        <w:tc>
          <w:tcPr>
            <w:tcW w:w="2420" w:type="dxa"/>
          </w:tcPr>
          <w:p w14:paraId="752339B1"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Performance &amp; Docker optimisation</w:t>
            </w:r>
          </w:p>
        </w:tc>
        <w:tc>
          <w:tcPr>
            <w:tcW w:w="2420" w:type="dxa"/>
          </w:tcPr>
          <w:p w14:paraId="636941F2" w14:textId="77777777" w:rsidR="00BD21A1" w:rsidRPr="00844FEC" w:rsidRDefault="00000000" w:rsidP="00844FEC">
            <w:pPr>
              <w:spacing w:line="360" w:lineRule="auto"/>
              <w:rPr>
                <w:rFonts w:ascii="Times New Roman" w:hAnsi="Times New Roman" w:cs="Times New Roman"/>
                <w:sz w:val="22"/>
                <w:szCs w:val="22"/>
              </w:rPr>
            </w:pPr>
            <w:r w:rsidRPr="00844FEC">
              <w:rPr>
                <w:rFonts w:ascii="Times New Roman" w:hAnsi="Times New Roman" w:cs="Times New Roman"/>
                <w:sz w:val="22"/>
                <w:szCs w:val="22"/>
              </w:rPr>
              <w:t>Flexibility &amp; plugin breadth</w:t>
            </w:r>
          </w:p>
        </w:tc>
      </w:tr>
    </w:tbl>
    <w:p w14:paraId="0A4BF4A1" w14:textId="77777777" w:rsidR="00BD21A1" w:rsidRPr="00844FEC" w:rsidRDefault="00BD21A1" w:rsidP="00844FEC">
      <w:pPr>
        <w:spacing w:after="80" w:line="360" w:lineRule="auto"/>
        <w:rPr>
          <w:rFonts w:ascii="Times New Roman" w:hAnsi="Times New Roman" w:cs="Times New Roman"/>
        </w:rPr>
      </w:pPr>
    </w:p>
    <w:p w14:paraId="1EF48873" w14:textId="77777777" w:rsidR="00BD21A1" w:rsidRPr="00844FEC" w:rsidRDefault="00000000" w:rsidP="00844FEC">
      <w:pPr>
        <w:pStyle w:val="Heading3"/>
        <w:spacing w:line="360" w:lineRule="auto"/>
        <w:rPr>
          <w:rFonts w:ascii="Times New Roman" w:hAnsi="Times New Roman" w:cs="Times New Roman"/>
          <w:color w:val="auto"/>
        </w:rPr>
      </w:pPr>
      <w:r w:rsidRPr="00844FEC">
        <w:rPr>
          <w:rFonts w:ascii="Times New Roman" w:hAnsi="Times New Roman" w:cs="Times New Roman"/>
          <w:color w:val="auto"/>
        </w:rPr>
        <w:t>3.1.1 GitHub Actions</w:t>
      </w:r>
    </w:p>
    <w:p w14:paraId="262373F4"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GitHub Actions was introduced as a native CI/CD capability within GitHub in November 2019, following the acquisition of several workflow automation companies. Its rapid adoption is attributable to its seamless integration with GitHub repositories, event-driven workflow triggers responding to push events, pull requests, issue creation, and scheduled </w:t>
      </w:r>
      <w:proofErr w:type="spellStart"/>
      <w:r w:rsidRPr="00844FEC">
        <w:rPr>
          <w:rFonts w:ascii="Times New Roman" w:hAnsi="Times New Roman" w:cs="Times New Roman"/>
        </w:rPr>
        <w:t>cron</w:t>
      </w:r>
      <w:proofErr w:type="spellEnd"/>
      <w:r w:rsidRPr="00844FEC">
        <w:rPr>
          <w:rFonts w:ascii="Times New Roman" w:hAnsi="Times New Roman" w:cs="Times New Roman"/>
        </w:rPr>
        <w:t xml:space="preserve"> jobs, and a growing marketplace of over 16,000 reusable actions as of 2026. Its YAML-based configuration syntax reduces the cognitive overhead associated with pipeline authoring, and its managed runner infrastructure eliminates the need for dedicated build servers [21]. GitHub Actions supports self-hosted runners for organisations requiring </w:t>
      </w:r>
      <w:proofErr w:type="gramStart"/>
      <w:r w:rsidRPr="00844FEC">
        <w:rPr>
          <w:rFonts w:ascii="Times New Roman" w:hAnsi="Times New Roman" w:cs="Times New Roman"/>
        </w:rPr>
        <w:t>on-premise</w:t>
      </w:r>
      <w:proofErr w:type="gramEnd"/>
      <w:r w:rsidRPr="00844FEC">
        <w:rPr>
          <w:rFonts w:ascii="Times New Roman" w:hAnsi="Times New Roman" w:cs="Times New Roman"/>
        </w:rPr>
        <w:t xml:space="preserve"> execution or specialised hardware, providing a hybrid deployment model that addresses data residency requirements without sacrificing the managed-infrastructure convenience of the cloud offering.</w:t>
      </w:r>
    </w:p>
    <w:p w14:paraId="392418C1"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The platform's tight integration with GitHub's broader ecosystem, including </w:t>
      </w:r>
      <w:proofErr w:type="spellStart"/>
      <w:r w:rsidRPr="00844FEC">
        <w:rPr>
          <w:rFonts w:ascii="Times New Roman" w:hAnsi="Times New Roman" w:cs="Times New Roman"/>
        </w:rPr>
        <w:t>Dependabot</w:t>
      </w:r>
      <w:proofErr w:type="spellEnd"/>
      <w:r w:rsidRPr="00844FEC">
        <w:rPr>
          <w:rFonts w:ascii="Times New Roman" w:hAnsi="Times New Roman" w:cs="Times New Roman"/>
        </w:rPr>
        <w:t xml:space="preserve"> for automated dependency updates, </w:t>
      </w:r>
      <w:proofErr w:type="spellStart"/>
      <w:r w:rsidRPr="00844FEC">
        <w:rPr>
          <w:rFonts w:ascii="Times New Roman" w:hAnsi="Times New Roman" w:cs="Times New Roman"/>
        </w:rPr>
        <w:t>CodeQL</w:t>
      </w:r>
      <w:proofErr w:type="spellEnd"/>
      <w:r w:rsidRPr="00844FEC">
        <w:rPr>
          <w:rFonts w:ascii="Times New Roman" w:hAnsi="Times New Roman" w:cs="Times New Roman"/>
        </w:rPr>
        <w:t xml:space="preserve"> for security analysis, and GitHub Packages for artefact hosting, positions it as a comprehensive DevOps hub rather than a standalone CI/CD tool. This integration depth creates significant ecosystem lock-in that must be considered in any evaluation of long-term platform viability [22].</w:t>
      </w:r>
    </w:p>
    <w:p w14:paraId="38D67809" w14:textId="77777777" w:rsidR="00BD21A1" w:rsidRPr="00844FEC" w:rsidRDefault="00000000" w:rsidP="00844FEC">
      <w:pPr>
        <w:pStyle w:val="Heading3"/>
        <w:spacing w:line="360" w:lineRule="auto"/>
        <w:rPr>
          <w:rFonts w:ascii="Times New Roman" w:hAnsi="Times New Roman" w:cs="Times New Roman"/>
          <w:color w:val="auto"/>
        </w:rPr>
      </w:pPr>
      <w:r w:rsidRPr="00844FEC">
        <w:rPr>
          <w:rFonts w:ascii="Times New Roman" w:hAnsi="Times New Roman" w:cs="Times New Roman"/>
          <w:color w:val="auto"/>
        </w:rPr>
        <w:t xml:space="preserve">3.1.2 </w:t>
      </w:r>
      <w:proofErr w:type="spellStart"/>
      <w:r w:rsidRPr="00844FEC">
        <w:rPr>
          <w:rFonts w:ascii="Times New Roman" w:hAnsi="Times New Roman" w:cs="Times New Roman"/>
          <w:color w:val="auto"/>
        </w:rPr>
        <w:t>CircleCI</w:t>
      </w:r>
      <w:proofErr w:type="spellEnd"/>
    </w:p>
    <w:p w14:paraId="16C7B588" w14:textId="77777777" w:rsidR="00BD21A1" w:rsidRPr="00844FEC" w:rsidRDefault="00000000" w:rsidP="00844FEC">
      <w:pPr>
        <w:spacing w:after="180" w:line="360" w:lineRule="auto"/>
        <w:jc w:val="both"/>
        <w:rPr>
          <w:rFonts w:ascii="Times New Roman" w:hAnsi="Times New Roman" w:cs="Times New Roman"/>
        </w:rPr>
      </w:pPr>
      <w:proofErr w:type="spellStart"/>
      <w:r w:rsidRPr="00844FEC">
        <w:rPr>
          <w:rFonts w:ascii="Times New Roman" w:hAnsi="Times New Roman" w:cs="Times New Roman"/>
        </w:rPr>
        <w:t>CircleCI</w:t>
      </w:r>
      <w:proofErr w:type="spellEnd"/>
      <w:r w:rsidRPr="00844FEC">
        <w:rPr>
          <w:rFonts w:ascii="Times New Roman" w:hAnsi="Times New Roman" w:cs="Times New Roman"/>
        </w:rPr>
        <w:t xml:space="preserve">, founded in 2011, pioneered the cloud-native CI/CD model and has maintained a strong reputation for build performance and Docker-centric workflows. The platform introduced the concept of Orbs, reusable configuration packages that encapsulate common </w:t>
      </w:r>
      <w:r w:rsidRPr="00844FEC">
        <w:rPr>
          <w:rFonts w:ascii="Times New Roman" w:hAnsi="Times New Roman" w:cs="Times New Roman"/>
        </w:rPr>
        <w:lastRenderedPageBreak/>
        <w:t xml:space="preserve">workflow patterns and are analogous to GitHub Actions' marketplace actions. </w:t>
      </w:r>
      <w:proofErr w:type="spellStart"/>
      <w:r w:rsidRPr="00844FEC">
        <w:rPr>
          <w:rFonts w:ascii="Times New Roman" w:hAnsi="Times New Roman" w:cs="Times New Roman"/>
        </w:rPr>
        <w:t>CircleCI</w:t>
      </w:r>
      <w:proofErr w:type="spellEnd"/>
      <w:r w:rsidRPr="00844FEC">
        <w:rPr>
          <w:rFonts w:ascii="Times New Roman" w:hAnsi="Times New Roman" w:cs="Times New Roman"/>
        </w:rPr>
        <w:t xml:space="preserve"> has invested heavily in intelligent test splitting and parallelism features that enable significant reduction in pipeline execution time by distributing test suites across multiple runner instances based on historical timing data [7]. The platform's resource class system enables fine-grained selection of compute resources per job, from small (1 vCPU, 2GB RAM) to 2XL (8 vCPUs, 16GB RAM), providing flexibility in balancing cost against performance. </w:t>
      </w:r>
      <w:proofErr w:type="spellStart"/>
      <w:r w:rsidRPr="00844FEC">
        <w:rPr>
          <w:rFonts w:ascii="Times New Roman" w:hAnsi="Times New Roman" w:cs="Times New Roman"/>
        </w:rPr>
        <w:t>CircleCI's</w:t>
      </w:r>
      <w:proofErr w:type="spellEnd"/>
      <w:r w:rsidRPr="00844FEC">
        <w:rPr>
          <w:rFonts w:ascii="Times New Roman" w:hAnsi="Times New Roman" w:cs="Times New Roman"/>
        </w:rPr>
        <w:t xml:space="preserve"> pricing model, based on consumed compute credits at a rate determined by resource class and execution time, aligns costs with usage but can become unpredictable at high build frequencies without careful resource class management.</w:t>
      </w:r>
    </w:p>
    <w:p w14:paraId="068BE818" w14:textId="77777777" w:rsidR="00BD21A1" w:rsidRPr="00844FEC" w:rsidRDefault="00000000" w:rsidP="00844FEC">
      <w:pPr>
        <w:pStyle w:val="Heading3"/>
        <w:spacing w:line="360" w:lineRule="auto"/>
        <w:rPr>
          <w:rFonts w:ascii="Times New Roman" w:hAnsi="Times New Roman" w:cs="Times New Roman"/>
          <w:color w:val="auto"/>
        </w:rPr>
      </w:pPr>
      <w:r w:rsidRPr="00844FEC">
        <w:rPr>
          <w:rFonts w:ascii="Times New Roman" w:hAnsi="Times New Roman" w:cs="Times New Roman"/>
          <w:color w:val="auto"/>
        </w:rPr>
        <w:t>3.1.3 Jenkins</w:t>
      </w:r>
    </w:p>
    <w:p w14:paraId="40539159"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Jenkins, originally released as Hudson in 2005 and rebranded as Jenkins in 2011 following a community fork from Oracle, remains one of the most widely deployed CI/CD tools globally, particularly in enterprise environments with complex, heterogeneous infrastructure requirements. Its open-source licence and extensive plugin ecosystem of over 1,900 community-developed integrations provide unparalleled flexibility for integration with legacy systems, proprietary tools, and highly customised deployment targets [5]. However, this flexibility comes at the cost of significant operational overhead: Jenkins instances require manual provisioning, security patching, plugin dependency management, and ongoing maintenance that collectively impose substantial labour costs not captured by the zero-licence-fee headline. The Jenkins community has responded to competitive pressure from cloud-native platforms through the introduction of the Jenkins X project for cloud-native deployments and ongoing modernisation of the classic Jenkins interface, though these initiatives have achieved varying degrees of adoption.</w:t>
      </w:r>
    </w:p>
    <w:p w14:paraId="60FBD8C0" w14:textId="77777777" w:rsidR="00BD21A1" w:rsidRPr="00844FEC" w:rsidRDefault="00000000" w:rsidP="00844FEC">
      <w:pPr>
        <w:pStyle w:val="Heading2"/>
        <w:spacing w:line="360" w:lineRule="auto"/>
        <w:rPr>
          <w:rFonts w:ascii="Times New Roman" w:hAnsi="Times New Roman" w:cs="Times New Roman"/>
          <w:color w:val="auto"/>
        </w:rPr>
      </w:pPr>
      <w:r w:rsidRPr="00844FEC">
        <w:rPr>
          <w:rFonts w:ascii="Times New Roman" w:hAnsi="Times New Roman" w:cs="Times New Roman"/>
          <w:color w:val="auto"/>
        </w:rPr>
        <w:t>3.2 Current Industry Situation</w:t>
      </w:r>
    </w:p>
    <w:p w14:paraId="38B71A4A"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The CI/CD tooling market is undergoing a period of consolidation and maturation. Cloud-native platforms have gained substantial market share at the expense of traditional self-hosted solutions, driven by the reduction in operational overhead, improved scalability, and the shift towards remote and distributed development teams. The 2024 Stack Overflow Developer Survey reported that GitHub Actions had become the most widely used CI/CD tool, surpassing Jenkins for the first time in adoption among professional developers [6].</w:t>
      </w:r>
    </w:p>
    <w:p w14:paraId="637848DF"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lastRenderedPageBreak/>
        <w:t>Despite this shift, Jenkins retains a strong presence in enterprise environments, particularly in industries with strict data residency requirements, regulated sectors such as finance and healthcare where audit trails and custom compliance controls are essential, and organisations with existing investments in Jenkins infrastructure and expertise. The ongoing CloudBees-sponsored enterprise edition of Jenkins continues to introduce modernisation features, including a new user interface, improved pipeline visualisation, and cloud-native deployment options [23].</w:t>
      </w:r>
    </w:p>
    <w:p w14:paraId="18907180"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The emergence of AI-assisted pipeline generation is beginning to influence tool selection criteria. Both GitHub Actions and </w:t>
      </w:r>
      <w:proofErr w:type="spellStart"/>
      <w:r w:rsidRPr="00844FEC">
        <w:rPr>
          <w:rFonts w:ascii="Times New Roman" w:hAnsi="Times New Roman" w:cs="Times New Roman"/>
        </w:rPr>
        <w:t>CircleCI</w:t>
      </w:r>
      <w:proofErr w:type="spellEnd"/>
      <w:r w:rsidRPr="00844FEC">
        <w:rPr>
          <w:rFonts w:ascii="Times New Roman" w:hAnsi="Times New Roman" w:cs="Times New Roman"/>
        </w:rPr>
        <w:t xml:space="preserve"> have introduced experimental features that leverage large language models to suggest workflow configurations, reducing the time-to-</w:t>
      </w:r>
      <w:proofErr w:type="gramStart"/>
      <w:r w:rsidRPr="00844FEC">
        <w:rPr>
          <w:rFonts w:ascii="Times New Roman" w:hAnsi="Times New Roman" w:cs="Times New Roman"/>
        </w:rPr>
        <w:t>first-pipeline</w:t>
      </w:r>
      <w:proofErr w:type="gramEnd"/>
      <w:r w:rsidRPr="00844FEC">
        <w:rPr>
          <w:rFonts w:ascii="Times New Roman" w:hAnsi="Times New Roman" w:cs="Times New Roman"/>
        </w:rPr>
        <w:t xml:space="preserve"> for new users. This development is expected to further reduce the barrier to entry for cloud-native platforms, potentially accelerating the decline of Jenkins adoption among new organisations and small teams [24]. Cost structures have also shifted considerably, with the elimination of free minutes for private repositories on certain platforms and the introduction of usage-based billing making TCO a more complex and context-dependent calculation requiring systematic scenario modelling.</w:t>
      </w:r>
    </w:p>
    <w:p w14:paraId="785EF0D9" w14:textId="77777777" w:rsidR="00BD21A1" w:rsidRPr="00844FEC" w:rsidRDefault="00000000" w:rsidP="00844FEC">
      <w:pPr>
        <w:pStyle w:val="Heading2"/>
        <w:spacing w:line="360" w:lineRule="auto"/>
        <w:rPr>
          <w:rFonts w:ascii="Times New Roman" w:hAnsi="Times New Roman" w:cs="Times New Roman"/>
          <w:color w:val="auto"/>
        </w:rPr>
      </w:pPr>
      <w:r w:rsidRPr="00844FEC">
        <w:rPr>
          <w:rFonts w:ascii="Times New Roman" w:hAnsi="Times New Roman" w:cs="Times New Roman"/>
          <w:color w:val="auto"/>
        </w:rPr>
        <w:t>3.3 Problems in Tool Selection</w:t>
      </w:r>
    </w:p>
    <w:p w14:paraId="6D4A9B42"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The CI/CD platform selection process is fraught with several interconnected challenges that lead to suboptimal decisions. The first and most pervasive challenge is information asymmetry: vendor documentation emphasises features and capabilities rather than honest performance limitations, and independent comparative studies are frequently outdated or methodologically inadequate [8]. Decision-makers are often forced to rely on peer recommendations, analyst reports, or anecdotal experience, which may not reflect the specific requirements of their organisation.</w:t>
      </w:r>
    </w:p>
    <w:p w14:paraId="62331881"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The second challenge concerns the multidimensionality of the selection problem. CI/CD platform selection involves trade-offs across at least five distinct dimensions: build performance, reliability, total cost of ownership, developer usability, and integration capability. Most existing comparative frameworks evaluate only a subset of these dimensions, producing incomplete or misleading guidance. A platform that ranks highest on build performance may impose the highest TCO at a given usage level, making it unsuitable despite its performance advantages.</w:t>
      </w:r>
    </w:p>
    <w:p w14:paraId="5D3FEB7F"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lastRenderedPageBreak/>
        <w:t>The third challenge is contextual variability. The optimal CI/CD platform for a five-person startup building a single-service Node.js application differs substantially from the optimal platform for a 200-person enterprise operating a polyglot microservices architecture with regulatory compliance requirements. Generic comparative studies that fail to disaggregate results by organisational context and technology stack provide little actionable guidance to practitioners facing real selection decisions [9].</w:t>
      </w:r>
    </w:p>
    <w:p w14:paraId="783A50C8"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The fourth challenge involves the pace of platform evolution. Major platform updates can substantially alter the performance, cost, and usability characteristics that informed a previous selection decision, making ongoing evaluation necessary. Development teams that selected their CI/CD platform two to three years ago based on then-current evidence may now be operating on a suboptimal platform without realising it, because no updated comparative study has been conducted to signal the changed relative positioning.</w:t>
      </w:r>
    </w:p>
    <w:p w14:paraId="703A0D34" w14:textId="77777777" w:rsidR="00BD21A1" w:rsidRPr="00844FEC" w:rsidRDefault="00000000" w:rsidP="00844FEC">
      <w:pPr>
        <w:pStyle w:val="Heading2"/>
        <w:spacing w:line="360" w:lineRule="auto"/>
        <w:rPr>
          <w:rFonts w:ascii="Times New Roman" w:hAnsi="Times New Roman" w:cs="Times New Roman"/>
          <w:color w:val="auto"/>
        </w:rPr>
      </w:pPr>
      <w:r w:rsidRPr="00844FEC">
        <w:rPr>
          <w:rFonts w:ascii="Times New Roman" w:hAnsi="Times New Roman" w:cs="Times New Roman"/>
          <w:color w:val="auto"/>
        </w:rPr>
        <w:t>3.4 Limitations in Existing Studies</w:t>
      </w:r>
    </w:p>
    <w:p w14:paraId="7E196A2A" w14:textId="57928283"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A systematic review of existing CI/CD comparative literature reveals several consistent methodological limitations. </w:t>
      </w:r>
      <w:r w:rsidR="003A6A80" w:rsidRPr="00844FEC">
        <w:rPr>
          <w:rFonts w:ascii="Times New Roman" w:hAnsi="Times New Roman" w:cs="Times New Roman"/>
        </w:rPr>
        <w:t>Most</w:t>
      </w:r>
      <w:r w:rsidRPr="00844FEC">
        <w:rPr>
          <w:rFonts w:ascii="Times New Roman" w:hAnsi="Times New Roman" w:cs="Times New Roman"/>
        </w:rPr>
        <w:t xml:space="preserve"> studies published before 2024 predate the most significant capability enhancements to GitHub Actions and </w:t>
      </w:r>
      <w:proofErr w:type="spellStart"/>
      <w:r w:rsidRPr="00844FEC">
        <w:rPr>
          <w:rFonts w:ascii="Times New Roman" w:hAnsi="Times New Roman" w:cs="Times New Roman"/>
        </w:rPr>
        <w:t>CircleCI</w:t>
      </w:r>
      <w:proofErr w:type="spellEnd"/>
      <w:r w:rsidRPr="00844FEC">
        <w:rPr>
          <w:rFonts w:ascii="Times New Roman" w:hAnsi="Times New Roman" w:cs="Times New Roman"/>
        </w:rPr>
        <w:t>, rendering their performance conclusions potentially inaccurate for current platform versions [10]. Zhao et al. [25] and Hilton et al. [26] provide foundational empirical data on CI adoption patterns but do not compare platform performance characteristics directly. Singh et al. [27] conduct a direct comparison of CI/CD tools but rely on qualitative feature matrices rather than controlled performance experiments with statistical analysis.</w:t>
      </w:r>
    </w:p>
    <w:p w14:paraId="300ACB37"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Second, cost analysis is consistently superficial in the existing literature. Most studies present published pricing tables without modelling the interaction between pricing structure, build duration, team size, and usage frequency that determines actual TCO. This limitation is particularly significant given that the per-minute billing model adopted by cloud-native platforms means that a platform with slower average build times may impose substantially higher costs than a faster platform despite a lower headline rate [11].</w:t>
      </w:r>
    </w:p>
    <w:p w14:paraId="2922BD7F"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Third, usability assessment in existing comparative studies typically relies on informal developer surveys or researcher impressions rather than validated psychometric instruments. The absence of standardised usability measurement instruments such as the System Usability Scale prevents meaningful cross-study comparison and may introduce </w:t>
      </w:r>
      <w:r w:rsidRPr="00844FEC">
        <w:rPr>
          <w:rFonts w:ascii="Times New Roman" w:hAnsi="Times New Roman" w:cs="Times New Roman"/>
        </w:rPr>
        <w:lastRenderedPageBreak/>
        <w:t>systematic bias where researchers favour platforms with which they have greater familiarity [17]. Fourth, the benchmark projects used in existing studies are rarely described with sufficient precision to enable replication, and functional equivalence verification is absent, meaning that observed performance differences may reflect differences in pipeline logic rather than platform capability.</w:t>
      </w:r>
    </w:p>
    <w:p w14:paraId="34CC73AD" w14:textId="77777777" w:rsidR="00BD21A1" w:rsidRPr="00844FEC" w:rsidRDefault="00000000" w:rsidP="00844FEC">
      <w:pPr>
        <w:pStyle w:val="Heading2"/>
        <w:spacing w:line="360" w:lineRule="auto"/>
        <w:rPr>
          <w:rFonts w:ascii="Times New Roman" w:hAnsi="Times New Roman" w:cs="Times New Roman"/>
          <w:color w:val="auto"/>
        </w:rPr>
      </w:pPr>
      <w:r w:rsidRPr="00844FEC">
        <w:rPr>
          <w:rFonts w:ascii="Times New Roman" w:hAnsi="Times New Roman" w:cs="Times New Roman"/>
          <w:color w:val="auto"/>
        </w:rPr>
        <w:t>3.5 Research Gaps</w:t>
      </w:r>
    </w:p>
    <w:p w14:paraId="227E72B7"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Based on the analysis of existing studies and the current industry situation, five research gaps are identified. Table 5 presents these gaps alongside the specific methodological response implemented in this thesis.</w:t>
      </w:r>
    </w:p>
    <w:p w14:paraId="6803992A" w14:textId="77777777" w:rsidR="00BD21A1" w:rsidRPr="003A6A80" w:rsidRDefault="00000000" w:rsidP="00844FEC">
      <w:pPr>
        <w:spacing w:before="220" w:after="80" w:line="360" w:lineRule="auto"/>
        <w:rPr>
          <w:rFonts w:ascii="Times New Roman" w:hAnsi="Times New Roman" w:cs="Times New Roman"/>
        </w:rPr>
      </w:pPr>
      <w:r w:rsidRPr="003A6A80">
        <w:rPr>
          <w:rFonts w:ascii="Times New Roman" w:hAnsi="Times New Roman" w:cs="Times New Roman"/>
          <w:sz w:val="22"/>
          <w:szCs w:val="22"/>
        </w:rPr>
        <w:t>Table 5: Identified Research Gaps and Corresponding Methodological Responses</w:t>
      </w:r>
    </w:p>
    <w:tbl>
      <w:tblPr>
        <w:tblStyle w:val="TableGrid"/>
        <w:tblW w:w="9360" w:type="dxa"/>
        <w:tblLook w:val="04A0" w:firstRow="1" w:lastRow="0" w:firstColumn="1" w:lastColumn="0" w:noHBand="0" w:noVBand="1"/>
      </w:tblPr>
      <w:tblGrid>
        <w:gridCol w:w="2200"/>
        <w:gridCol w:w="3580"/>
        <w:gridCol w:w="3580"/>
      </w:tblGrid>
      <w:tr w:rsidR="003A6A80" w:rsidRPr="003A6A80" w14:paraId="6A644A9F" w14:textId="77777777" w:rsidTr="003A6A80">
        <w:tc>
          <w:tcPr>
            <w:tcW w:w="2200" w:type="dxa"/>
          </w:tcPr>
          <w:p w14:paraId="6D17D36C" w14:textId="77777777" w:rsidR="00BD21A1" w:rsidRPr="003A6A80" w:rsidRDefault="00000000" w:rsidP="00844FEC">
            <w:pPr>
              <w:spacing w:line="360" w:lineRule="auto"/>
              <w:jc w:val="center"/>
              <w:rPr>
                <w:rFonts w:ascii="Times New Roman" w:hAnsi="Times New Roman" w:cs="Times New Roman"/>
                <w:sz w:val="22"/>
                <w:szCs w:val="22"/>
              </w:rPr>
            </w:pPr>
            <w:r w:rsidRPr="003A6A80">
              <w:rPr>
                <w:rFonts w:ascii="Times New Roman" w:hAnsi="Times New Roman" w:cs="Times New Roman"/>
                <w:b/>
                <w:bCs/>
                <w:sz w:val="22"/>
                <w:szCs w:val="22"/>
              </w:rPr>
              <w:t>Gap Category</w:t>
            </w:r>
          </w:p>
        </w:tc>
        <w:tc>
          <w:tcPr>
            <w:tcW w:w="3580" w:type="dxa"/>
          </w:tcPr>
          <w:p w14:paraId="4616B70B" w14:textId="77777777" w:rsidR="00BD21A1" w:rsidRPr="003A6A80" w:rsidRDefault="00000000" w:rsidP="00844FEC">
            <w:pPr>
              <w:spacing w:line="360" w:lineRule="auto"/>
              <w:jc w:val="center"/>
              <w:rPr>
                <w:rFonts w:ascii="Times New Roman" w:hAnsi="Times New Roman" w:cs="Times New Roman"/>
                <w:sz w:val="22"/>
                <w:szCs w:val="22"/>
              </w:rPr>
            </w:pPr>
            <w:r w:rsidRPr="003A6A80">
              <w:rPr>
                <w:rFonts w:ascii="Times New Roman" w:hAnsi="Times New Roman" w:cs="Times New Roman"/>
                <w:b/>
                <w:bCs/>
                <w:sz w:val="22"/>
                <w:szCs w:val="22"/>
              </w:rPr>
              <w:t>Description of Gap</w:t>
            </w:r>
          </w:p>
        </w:tc>
        <w:tc>
          <w:tcPr>
            <w:tcW w:w="3580" w:type="dxa"/>
          </w:tcPr>
          <w:p w14:paraId="7078EE8B" w14:textId="77777777" w:rsidR="00BD21A1" w:rsidRPr="003A6A80" w:rsidRDefault="00000000" w:rsidP="00844FEC">
            <w:pPr>
              <w:spacing w:line="360" w:lineRule="auto"/>
              <w:jc w:val="center"/>
              <w:rPr>
                <w:rFonts w:ascii="Times New Roman" w:hAnsi="Times New Roman" w:cs="Times New Roman"/>
                <w:sz w:val="22"/>
                <w:szCs w:val="22"/>
              </w:rPr>
            </w:pPr>
            <w:r w:rsidRPr="003A6A80">
              <w:rPr>
                <w:rFonts w:ascii="Times New Roman" w:hAnsi="Times New Roman" w:cs="Times New Roman"/>
                <w:b/>
                <w:bCs/>
                <w:sz w:val="22"/>
                <w:szCs w:val="22"/>
              </w:rPr>
              <w:t>How This Study Addresses It</w:t>
            </w:r>
          </w:p>
        </w:tc>
      </w:tr>
      <w:tr w:rsidR="003A6A80" w:rsidRPr="003A6A80" w14:paraId="4E1B18DF" w14:textId="77777777" w:rsidTr="003A6A80">
        <w:tc>
          <w:tcPr>
            <w:tcW w:w="2200" w:type="dxa"/>
          </w:tcPr>
          <w:p w14:paraId="248FA6FB"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Currency of Data</w:t>
            </w:r>
          </w:p>
        </w:tc>
        <w:tc>
          <w:tcPr>
            <w:tcW w:w="3580" w:type="dxa"/>
          </w:tcPr>
          <w:p w14:paraId="3605B045"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 xml:space="preserve">Most comparative studies predate 2024 capability enhancements to GitHub Actions and </w:t>
            </w:r>
            <w:proofErr w:type="spellStart"/>
            <w:r w:rsidRPr="003A6A80">
              <w:rPr>
                <w:rFonts w:ascii="Times New Roman" w:hAnsi="Times New Roman" w:cs="Times New Roman"/>
                <w:sz w:val="22"/>
                <w:szCs w:val="22"/>
              </w:rPr>
              <w:t>CircleCI</w:t>
            </w:r>
            <w:proofErr w:type="spellEnd"/>
          </w:p>
        </w:tc>
        <w:tc>
          <w:tcPr>
            <w:tcW w:w="3580" w:type="dxa"/>
          </w:tcPr>
          <w:p w14:paraId="13480CAE"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Empirical benchmarking on 2026 platform versions with current pricing</w:t>
            </w:r>
          </w:p>
        </w:tc>
      </w:tr>
      <w:tr w:rsidR="003A6A80" w:rsidRPr="003A6A80" w14:paraId="1922468D" w14:textId="77777777" w:rsidTr="003A6A80">
        <w:tc>
          <w:tcPr>
            <w:tcW w:w="2200" w:type="dxa"/>
          </w:tcPr>
          <w:p w14:paraId="0095FC8E"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Methodological Rigour</w:t>
            </w:r>
          </w:p>
        </w:tc>
        <w:tc>
          <w:tcPr>
            <w:tcW w:w="3580" w:type="dxa"/>
          </w:tcPr>
          <w:p w14:paraId="15068963"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Existing studies rely on feature checklists rather than controlled experiments</w:t>
            </w:r>
          </w:p>
        </w:tc>
        <w:tc>
          <w:tcPr>
            <w:tcW w:w="3580" w:type="dxa"/>
          </w:tcPr>
          <w:p w14:paraId="36D15E7A"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30-run benchmarking protocol with statistical hypothesis testing</w:t>
            </w:r>
          </w:p>
        </w:tc>
      </w:tr>
      <w:tr w:rsidR="003A6A80" w:rsidRPr="003A6A80" w14:paraId="11D178A4" w14:textId="77777777" w:rsidTr="003A6A80">
        <w:tc>
          <w:tcPr>
            <w:tcW w:w="2200" w:type="dxa"/>
          </w:tcPr>
          <w:p w14:paraId="52F9514F"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Cost Analysis Depth</w:t>
            </w:r>
          </w:p>
        </w:tc>
        <w:tc>
          <w:tcPr>
            <w:tcW w:w="3580" w:type="dxa"/>
          </w:tcPr>
          <w:p w14:paraId="41B1257B"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TCO calculations absent; only headline pricing presented</w:t>
            </w:r>
          </w:p>
        </w:tc>
        <w:tc>
          <w:tcPr>
            <w:tcW w:w="3580" w:type="dxa"/>
          </w:tcPr>
          <w:p w14:paraId="43F7BB19"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Scenario-based TCO modelling across 3 usage intensities and 3 team sizes</w:t>
            </w:r>
          </w:p>
        </w:tc>
      </w:tr>
      <w:tr w:rsidR="003A6A80" w:rsidRPr="003A6A80" w14:paraId="45689B18" w14:textId="77777777" w:rsidTr="003A6A80">
        <w:tc>
          <w:tcPr>
            <w:tcW w:w="2200" w:type="dxa"/>
          </w:tcPr>
          <w:p w14:paraId="2C0DD4CA"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Usability Validity</w:t>
            </w:r>
          </w:p>
        </w:tc>
        <w:tc>
          <w:tcPr>
            <w:tcW w:w="3580" w:type="dxa"/>
          </w:tcPr>
          <w:p w14:paraId="29A91F7A"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Informal surveys without validated psychometric instruments</w:t>
            </w:r>
          </w:p>
        </w:tc>
        <w:tc>
          <w:tcPr>
            <w:tcW w:w="3580" w:type="dxa"/>
          </w:tcPr>
          <w:p w14:paraId="582959D8"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SUS questionnaire (Cronbach's alpha &gt;= 0.90) with n=20 developers</w:t>
            </w:r>
          </w:p>
        </w:tc>
      </w:tr>
      <w:tr w:rsidR="003A6A80" w:rsidRPr="003A6A80" w14:paraId="58854117" w14:textId="77777777" w:rsidTr="003A6A80">
        <w:tc>
          <w:tcPr>
            <w:tcW w:w="2200" w:type="dxa"/>
          </w:tcPr>
          <w:p w14:paraId="5912C993"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Context Specificity</w:t>
            </w:r>
          </w:p>
        </w:tc>
        <w:tc>
          <w:tcPr>
            <w:tcW w:w="3580" w:type="dxa"/>
          </w:tcPr>
          <w:p w14:paraId="40CBEEC9"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Generic guidance lacking disaggregation by project type or team size</w:t>
            </w:r>
          </w:p>
        </w:tc>
        <w:tc>
          <w:tcPr>
            <w:tcW w:w="3580" w:type="dxa"/>
          </w:tcPr>
          <w:p w14:paraId="6A945B73"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Results disaggregated by project archetype and organisational context</w:t>
            </w:r>
          </w:p>
        </w:tc>
      </w:tr>
    </w:tbl>
    <w:p w14:paraId="0B1EE1EE" w14:textId="77777777" w:rsidR="00BD21A1" w:rsidRPr="00844FEC" w:rsidRDefault="00BD21A1" w:rsidP="00844FEC">
      <w:pPr>
        <w:spacing w:after="80" w:line="360" w:lineRule="auto"/>
        <w:rPr>
          <w:rFonts w:ascii="Times New Roman" w:hAnsi="Times New Roman" w:cs="Times New Roman"/>
        </w:rPr>
      </w:pPr>
    </w:p>
    <w:p w14:paraId="3ACE2162"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The primary gap is the absence of a current (2025 to 2026), empirically rigorous, multi-dimensional comparative study of GitHub Actions, </w:t>
      </w:r>
      <w:proofErr w:type="spellStart"/>
      <w:r w:rsidRPr="00844FEC">
        <w:rPr>
          <w:rFonts w:ascii="Times New Roman" w:hAnsi="Times New Roman" w:cs="Times New Roman"/>
        </w:rPr>
        <w:t>CircleCI</w:t>
      </w:r>
      <w:proofErr w:type="spellEnd"/>
      <w:r w:rsidRPr="00844FEC">
        <w:rPr>
          <w:rFonts w:ascii="Times New Roman" w:hAnsi="Times New Roman" w:cs="Times New Roman"/>
        </w:rPr>
        <w:t xml:space="preserve">, and Jenkins that combines controlled performance benchmarking with TCO modelling and validated usability assessment. This gap is significant because it leaves practitioners without reliable, up-to-date guidance for one of the most consequential tooling decisions in contemporary software engineering. The secondary gap concerns the lack of context-specific recommendations </w:t>
      </w:r>
      <w:r w:rsidRPr="00844FEC">
        <w:rPr>
          <w:rFonts w:ascii="Times New Roman" w:hAnsi="Times New Roman" w:cs="Times New Roman"/>
        </w:rPr>
        <w:lastRenderedPageBreak/>
        <w:t>disaggregated by project type and team size. The tertiary gap involves the absence of a replicable evaluation methodology that future researchers can apply to produce comparable results and build a cumulative body of evidence.</w:t>
      </w:r>
    </w:p>
    <w:p w14:paraId="10E36FBE" w14:textId="77777777" w:rsidR="00BD21A1" w:rsidRPr="00844FEC" w:rsidRDefault="00000000" w:rsidP="00844FEC">
      <w:pPr>
        <w:pStyle w:val="Heading2"/>
        <w:spacing w:line="360" w:lineRule="auto"/>
        <w:rPr>
          <w:rFonts w:ascii="Times New Roman" w:hAnsi="Times New Roman" w:cs="Times New Roman"/>
          <w:color w:val="auto"/>
        </w:rPr>
      </w:pPr>
      <w:r w:rsidRPr="00844FEC">
        <w:rPr>
          <w:rFonts w:ascii="Times New Roman" w:hAnsi="Times New Roman" w:cs="Times New Roman"/>
          <w:color w:val="auto"/>
        </w:rPr>
        <w:t>3.6 Project Specifications</w:t>
      </w:r>
    </w:p>
    <w:p w14:paraId="004275EA"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The following specifications define the empirical investigation conducted in this thesis. Three benchmark projects are developed to represent common application archetypes encountered in contemporary software development. Each project is implemented with functionally equivalent pipelines on all three platforms, verified through the Pipeline Equivalence Matrix described in Chapter 2.</w:t>
      </w:r>
    </w:p>
    <w:p w14:paraId="10B233BB" w14:textId="77777777" w:rsidR="00BD21A1" w:rsidRPr="003A6A80" w:rsidRDefault="00000000" w:rsidP="00844FEC">
      <w:pPr>
        <w:spacing w:before="220" w:after="80" w:line="360" w:lineRule="auto"/>
        <w:rPr>
          <w:rFonts w:ascii="Times New Roman" w:hAnsi="Times New Roman" w:cs="Times New Roman"/>
        </w:rPr>
      </w:pPr>
      <w:r w:rsidRPr="003A6A80">
        <w:rPr>
          <w:rFonts w:ascii="Times New Roman" w:hAnsi="Times New Roman" w:cs="Times New Roman"/>
          <w:sz w:val="22"/>
          <w:szCs w:val="22"/>
        </w:rPr>
        <w:t>Table 6: Benchmark Project Specifications — Stack, Test Suite, Pipeline Stages, and Archetype Context</w:t>
      </w:r>
    </w:p>
    <w:tbl>
      <w:tblPr>
        <w:tblStyle w:val="TableGrid"/>
        <w:tblW w:w="9360" w:type="dxa"/>
        <w:tblLook w:val="04A0" w:firstRow="1" w:lastRow="0" w:firstColumn="1" w:lastColumn="0" w:noHBand="0" w:noVBand="1"/>
      </w:tblPr>
      <w:tblGrid>
        <w:gridCol w:w="1400"/>
        <w:gridCol w:w="1900"/>
        <w:gridCol w:w="2100"/>
        <w:gridCol w:w="2160"/>
        <w:gridCol w:w="1800"/>
      </w:tblGrid>
      <w:tr w:rsidR="00844FEC" w:rsidRPr="003A6A80" w14:paraId="74B5F1BF" w14:textId="77777777" w:rsidTr="003A6A80">
        <w:tc>
          <w:tcPr>
            <w:tcW w:w="1400" w:type="dxa"/>
          </w:tcPr>
          <w:p w14:paraId="1F77365F" w14:textId="77777777" w:rsidR="00BD21A1" w:rsidRPr="003A6A80" w:rsidRDefault="00000000" w:rsidP="00844FEC">
            <w:pPr>
              <w:spacing w:line="360" w:lineRule="auto"/>
              <w:jc w:val="center"/>
              <w:rPr>
                <w:rFonts w:ascii="Times New Roman" w:hAnsi="Times New Roman" w:cs="Times New Roman"/>
                <w:sz w:val="22"/>
                <w:szCs w:val="22"/>
              </w:rPr>
            </w:pPr>
            <w:r w:rsidRPr="003A6A80">
              <w:rPr>
                <w:rFonts w:ascii="Times New Roman" w:hAnsi="Times New Roman" w:cs="Times New Roman"/>
                <w:b/>
                <w:bCs/>
                <w:sz w:val="22"/>
                <w:szCs w:val="22"/>
              </w:rPr>
              <w:t>Project</w:t>
            </w:r>
          </w:p>
        </w:tc>
        <w:tc>
          <w:tcPr>
            <w:tcW w:w="1900" w:type="dxa"/>
          </w:tcPr>
          <w:p w14:paraId="3B6DAD84" w14:textId="77777777" w:rsidR="00BD21A1" w:rsidRPr="003A6A80" w:rsidRDefault="00000000" w:rsidP="00844FEC">
            <w:pPr>
              <w:spacing w:line="360" w:lineRule="auto"/>
              <w:jc w:val="center"/>
              <w:rPr>
                <w:rFonts w:ascii="Times New Roman" w:hAnsi="Times New Roman" w:cs="Times New Roman"/>
                <w:sz w:val="22"/>
                <w:szCs w:val="22"/>
              </w:rPr>
            </w:pPr>
            <w:r w:rsidRPr="003A6A80">
              <w:rPr>
                <w:rFonts w:ascii="Times New Roman" w:hAnsi="Times New Roman" w:cs="Times New Roman"/>
                <w:b/>
                <w:bCs/>
                <w:sz w:val="22"/>
                <w:szCs w:val="22"/>
              </w:rPr>
              <w:t>Stack</w:t>
            </w:r>
          </w:p>
        </w:tc>
        <w:tc>
          <w:tcPr>
            <w:tcW w:w="2100" w:type="dxa"/>
          </w:tcPr>
          <w:p w14:paraId="79A6662F" w14:textId="77777777" w:rsidR="00BD21A1" w:rsidRPr="003A6A80" w:rsidRDefault="00000000" w:rsidP="00844FEC">
            <w:pPr>
              <w:spacing w:line="360" w:lineRule="auto"/>
              <w:jc w:val="center"/>
              <w:rPr>
                <w:rFonts w:ascii="Times New Roman" w:hAnsi="Times New Roman" w:cs="Times New Roman"/>
                <w:sz w:val="22"/>
                <w:szCs w:val="22"/>
              </w:rPr>
            </w:pPr>
            <w:r w:rsidRPr="003A6A80">
              <w:rPr>
                <w:rFonts w:ascii="Times New Roman" w:hAnsi="Times New Roman" w:cs="Times New Roman"/>
                <w:b/>
                <w:bCs/>
                <w:sz w:val="22"/>
                <w:szCs w:val="22"/>
              </w:rPr>
              <w:t>Test Suite</w:t>
            </w:r>
          </w:p>
        </w:tc>
        <w:tc>
          <w:tcPr>
            <w:tcW w:w="2160" w:type="dxa"/>
          </w:tcPr>
          <w:p w14:paraId="7FAB12FB" w14:textId="77777777" w:rsidR="00BD21A1" w:rsidRPr="003A6A80" w:rsidRDefault="00000000" w:rsidP="00844FEC">
            <w:pPr>
              <w:spacing w:line="360" w:lineRule="auto"/>
              <w:jc w:val="center"/>
              <w:rPr>
                <w:rFonts w:ascii="Times New Roman" w:hAnsi="Times New Roman" w:cs="Times New Roman"/>
                <w:sz w:val="22"/>
                <w:szCs w:val="22"/>
              </w:rPr>
            </w:pPr>
            <w:r w:rsidRPr="003A6A80">
              <w:rPr>
                <w:rFonts w:ascii="Times New Roman" w:hAnsi="Times New Roman" w:cs="Times New Roman"/>
                <w:b/>
                <w:bCs/>
                <w:sz w:val="22"/>
                <w:szCs w:val="22"/>
              </w:rPr>
              <w:t>Key Pipeline Stages</w:t>
            </w:r>
          </w:p>
        </w:tc>
        <w:tc>
          <w:tcPr>
            <w:tcW w:w="1800" w:type="dxa"/>
          </w:tcPr>
          <w:p w14:paraId="61041567" w14:textId="77777777" w:rsidR="00BD21A1" w:rsidRPr="003A6A80" w:rsidRDefault="00000000" w:rsidP="00844FEC">
            <w:pPr>
              <w:spacing w:line="360" w:lineRule="auto"/>
              <w:jc w:val="center"/>
              <w:rPr>
                <w:rFonts w:ascii="Times New Roman" w:hAnsi="Times New Roman" w:cs="Times New Roman"/>
                <w:sz w:val="22"/>
                <w:szCs w:val="22"/>
              </w:rPr>
            </w:pPr>
            <w:r w:rsidRPr="003A6A80">
              <w:rPr>
                <w:rFonts w:ascii="Times New Roman" w:hAnsi="Times New Roman" w:cs="Times New Roman"/>
                <w:b/>
                <w:bCs/>
                <w:sz w:val="22"/>
                <w:szCs w:val="22"/>
              </w:rPr>
              <w:t>Archetype Context</w:t>
            </w:r>
          </w:p>
        </w:tc>
      </w:tr>
      <w:tr w:rsidR="00844FEC" w:rsidRPr="003A6A80" w14:paraId="7A4AAD32" w14:textId="77777777" w:rsidTr="003A6A80">
        <w:tc>
          <w:tcPr>
            <w:tcW w:w="1400" w:type="dxa"/>
          </w:tcPr>
          <w:p w14:paraId="03082AB8"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A</w:t>
            </w:r>
          </w:p>
        </w:tc>
        <w:tc>
          <w:tcPr>
            <w:tcW w:w="1900" w:type="dxa"/>
          </w:tcPr>
          <w:p w14:paraId="6B5B91E8"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Node.js + PostgreSQL</w:t>
            </w:r>
          </w:p>
        </w:tc>
        <w:tc>
          <w:tcPr>
            <w:tcW w:w="2100" w:type="dxa"/>
          </w:tcPr>
          <w:p w14:paraId="32F972E9"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 xml:space="preserve">~500 Jest unit tests; </w:t>
            </w:r>
            <w:proofErr w:type="spellStart"/>
            <w:r w:rsidRPr="003A6A80">
              <w:rPr>
                <w:rFonts w:ascii="Times New Roman" w:hAnsi="Times New Roman" w:cs="Times New Roman"/>
                <w:sz w:val="22"/>
                <w:szCs w:val="22"/>
              </w:rPr>
              <w:t>ESLint</w:t>
            </w:r>
            <w:proofErr w:type="spellEnd"/>
          </w:p>
        </w:tc>
        <w:tc>
          <w:tcPr>
            <w:tcW w:w="2160" w:type="dxa"/>
          </w:tcPr>
          <w:p w14:paraId="26BA2857"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Checkout, install, lint, test, Docker build, push</w:t>
            </w:r>
          </w:p>
        </w:tc>
        <w:tc>
          <w:tcPr>
            <w:tcW w:w="1800" w:type="dxa"/>
          </w:tcPr>
          <w:p w14:paraId="4EAA6753"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Startup / open-source web API</w:t>
            </w:r>
          </w:p>
        </w:tc>
      </w:tr>
      <w:tr w:rsidR="00844FEC" w:rsidRPr="003A6A80" w14:paraId="4CF6B3B9" w14:textId="77777777" w:rsidTr="003A6A80">
        <w:tc>
          <w:tcPr>
            <w:tcW w:w="1400" w:type="dxa"/>
          </w:tcPr>
          <w:p w14:paraId="1DE35366"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B</w:t>
            </w:r>
          </w:p>
        </w:tc>
        <w:tc>
          <w:tcPr>
            <w:tcW w:w="1900" w:type="dxa"/>
          </w:tcPr>
          <w:p w14:paraId="350329D3"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Python 3.11 + pandas</w:t>
            </w:r>
          </w:p>
        </w:tc>
        <w:tc>
          <w:tcPr>
            <w:tcW w:w="2100" w:type="dxa"/>
          </w:tcPr>
          <w:p w14:paraId="55685F37"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 xml:space="preserve">~200 </w:t>
            </w:r>
            <w:proofErr w:type="spellStart"/>
            <w:r w:rsidRPr="003A6A80">
              <w:rPr>
                <w:rFonts w:ascii="Times New Roman" w:hAnsi="Times New Roman" w:cs="Times New Roman"/>
                <w:sz w:val="22"/>
                <w:szCs w:val="22"/>
              </w:rPr>
              <w:t>Pytest</w:t>
            </w:r>
            <w:proofErr w:type="spellEnd"/>
            <w:r w:rsidRPr="003A6A80">
              <w:rPr>
                <w:rFonts w:ascii="Times New Roman" w:hAnsi="Times New Roman" w:cs="Times New Roman"/>
                <w:sz w:val="22"/>
                <w:szCs w:val="22"/>
              </w:rPr>
              <w:t xml:space="preserve"> tests; </w:t>
            </w:r>
            <w:proofErr w:type="spellStart"/>
            <w:r w:rsidRPr="003A6A80">
              <w:rPr>
                <w:rFonts w:ascii="Times New Roman" w:hAnsi="Times New Roman" w:cs="Times New Roman"/>
                <w:sz w:val="22"/>
                <w:szCs w:val="22"/>
              </w:rPr>
              <w:t>MyPy</w:t>
            </w:r>
            <w:proofErr w:type="spellEnd"/>
            <w:r w:rsidRPr="003A6A80">
              <w:rPr>
                <w:rFonts w:ascii="Times New Roman" w:hAnsi="Times New Roman" w:cs="Times New Roman"/>
                <w:sz w:val="22"/>
                <w:szCs w:val="22"/>
              </w:rPr>
              <w:t xml:space="preserve"> type check</w:t>
            </w:r>
          </w:p>
        </w:tc>
        <w:tc>
          <w:tcPr>
            <w:tcW w:w="2160" w:type="dxa"/>
          </w:tcPr>
          <w:p w14:paraId="20199979"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 xml:space="preserve">Checkout, </w:t>
            </w:r>
            <w:proofErr w:type="spellStart"/>
            <w:r w:rsidRPr="003A6A80">
              <w:rPr>
                <w:rFonts w:ascii="Times New Roman" w:hAnsi="Times New Roman" w:cs="Times New Roman"/>
                <w:sz w:val="22"/>
                <w:szCs w:val="22"/>
              </w:rPr>
              <w:t>venv</w:t>
            </w:r>
            <w:proofErr w:type="spellEnd"/>
            <w:r w:rsidRPr="003A6A80">
              <w:rPr>
                <w:rFonts w:ascii="Times New Roman" w:hAnsi="Times New Roman" w:cs="Times New Roman"/>
                <w:sz w:val="22"/>
                <w:szCs w:val="22"/>
              </w:rPr>
              <w:t xml:space="preserve">, type-check, test, </w:t>
            </w:r>
            <w:proofErr w:type="spellStart"/>
            <w:r w:rsidRPr="003A6A80">
              <w:rPr>
                <w:rFonts w:ascii="Times New Roman" w:hAnsi="Times New Roman" w:cs="Times New Roman"/>
                <w:sz w:val="22"/>
                <w:szCs w:val="22"/>
              </w:rPr>
              <w:t>PyPI</w:t>
            </w:r>
            <w:proofErr w:type="spellEnd"/>
            <w:r w:rsidRPr="003A6A80">
              <w:rPr>
                <w:rFonts w:ascii="Times New Roman" w:hAnsi="Times New Roman" w:cs="Times New Roman"/>
                <w:sz w:val="22"/>
                <w:szCs w:val="22"/>
              </w:rPr>
              <w:t xml:space="preserve"> artefact build</w:t>
            </w:r>
          </w:p>
        </w:tc>
        <w:tc>
          <w:tcPr>
            <w:tcW w:w="1800" w:type="dxa"/>
          </w:tcPr>
          <w:p w14:paraId="11217E4B"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Data engineering / ML pipeline</w:t>
            </w:r>
          </w:p>
        </w:tc>
      </w:tr>
      <w:tr w:rsidR="00844FEC" w:rsidRPr="003A6A80" w14:paraId="43402A22" w14:textId="77777777" w:rsidTr="003A6A80">
        <w:tc>
          <w:tcPr>
            <w:tcW w:w="1400" w:type="dxa"/>
          </w:tcPr>
          <w:p w14:paraId="2F59AE0E"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C</w:t>
            </w:r>
          </w:p>
        </w:tc>
        <w:tc>
          <w:tcPr>
            <w:tcW w:w="1900" w:type="dxa"/>
          </w:tcPr>
          <w:p w14:paraId="1E770D81"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Docker Compose (3 services)</w:t>
            </w:r>
          </w:p>
        </w:tc>
        <w:tc>
          <w:tcPr>
            <w:tcW w:w="2100" w:type="dxa"/>
          </w:tcPr>
          <w:p w14:paraId="584DCD1A"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Integration + end-to-end smoke tests</w:t>
            </w:r>
          </w:p>
        </w:tc>
        <w:tc>
          <w:tcPr>
            <w:tcW w:w="2160" w:type="dxa"/>
          </w:tcPr>
          <w:p w14:paraId="3BC243F9"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Checkout, parallel service builds, integration test, e2e smoke</w:t>
            </w:r>
          </w:p>
        </w:tc>
        <w:tc>
          <w:tcPr>
            <w:tcW w:w="1800" w:type="dxa"/>
          </w:tcPr>
          <w:p w14:paraId="26B68605"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Enterprise microservices / cloud-native</w:t>
            </w:r>
          </w:p>
        </w:tc>
      </w:tr>
    </w:tbl>
    <w:p w14:paraId="0F9D3CA9" w14:textId="77777777" w:rsidR="00BD21A1" w:rsidRPr="00844FEC" w:rsidRDefault="00BD21A1" w:rsidP="00844FEC">
      <w:pPr>
        <w:spacing w:after="80" w:line="360" w:lineRule="auto"/>
        <w:rPr>
          <w:rFonts w:ascii="Times New Roman" w:hAnsi="Times New Roman" w:cs="Times New Roman"/>
        </w:rPr>
      </w:pPr>
    </w:p>
    <w:p w14:paraId="1E2CDEDC"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Benchmark Project A (Node.js Web Application) consists of a RESTful API server implementing standard CRUD operations with a PostgreSQL backend. The pipeline stages include dependency installation via </w:t>
      </w:r>
      <w:proofErr w:type="spellStart"/>
      <w:r w:rsidRPr="00844FEC">
        <w:rPr>
          <w:rFonts w:ascii="Times New Roman" w:hAnsi="Times New Roman" w:cs="Times New Roman"/>
        </w:rPr>
        <w:t>npm</w:t>
      </w:r>
      <w:proofErr w:type="spellEnd"/>
      <w:r w:rsidRPr="00844FEC">
        <w:rPr>
          <w:rFonts w:ascii="Times New Roman" w:hAnsi="Times New Roman" w:cs="Times New Roman"/>
        </w:rPr>
        <w:t xml:space="preserve"> ci, </w:t>
      </w:r>
      <w:proofErr w:type="spellStart"/>
      <w:r w:rsidRPr="00844FEC">
        <w:rPr>
          <w:rFonts w:ascii="Times New Roman" w:hAnsi="Times New Roman" w:cs="Times New Roman"/>
        </w:rPr>
        <w:t>ESLint</w:t>
      </w:r>
      <w:proofErr w:type="spellEnd"/>
      <w:r w:rsidRPr="00844FEC">
        <w:rPr>
          <w:rFonts w:ascii="Times New Roman" w:hAnsi="Times New Roman" w:cs="Times New Roman"/>
        </w:rPr>
        <w:t xml:space="preserve"> static analysis, Jest unit test execution, Docker image build, and push to a private container registry. The project exercises dependency installation caching, test parallelism, and container build capabilities across all three platforms.</w:t>
      </w:r>
    </w:p>
    <w:p w14:paraId="3A6E71FE"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Benchmark Project B (Python Data Processing Pipeline) consists of a batch data transformation application that ingests structured CSV data, applies transformation and </w:t>
      </w:r>
      <w:r w:rsidRPr="00844FEC">
        <w:rPr>
          <w:rFonts w:ascii="Times New Roman" w:hAnsi="Times New Roman" w:cs="Times New Roman"/>
        </w:rPr>
        <w:lastRenderedPageBreak/>
        <w:t xml:space="preserve">validation logic, and outputs formatted reports. The pipeline stages include virtual environment creation, </w:t>
      </w:r>
      <w:proofErr w:type="spellStart"/>
      <w:r w:rsidRPr="00844FEC">
        <w:rPr>
          <w:rFonts w:ascii="Times New Roman" w:hAnsi="Times New Roman" w:cs="Times New Roman"/>
        </w:rPr>
        <w:t>MyPy</w:t>
      </w:r>
      <w:proofErr w:type="spellEnd"/>
      <w:r w:rsidRPr="00844FEC">
        <w:rPr>
          <w:rFonts w:ascii="Times New Roman" w:hAnsi="Times New Roman" w:cs="Times New Roman"/>
        </w:rPr>
        <w:t xml:space="preserve"> type checking, </w:t>
      </w:r>
      <w:proofErr w:type="spellStart"/>
      <w:r w:rsidRPr="00844FEC">
        <w:rPr>
          <w:rFonts w:ascii="Times New Roman" w:hAnsi="Times New Roman" w:cs="Times New Roman"/>
        </w:rPr>
        <w:t>Pytest</w:t>
      </w:r>
      <w:proofErr w:type="spellEnd"/>
      <w:r w:rsidRPr="00844FEC">
        <w:rPr>
          <w:rFonts w:ascii="Times New Roman" w:hAnsi="Times New Roman" w:cs="Times New Roman"/>
        </w:rPr>
        <w:t xml:space="preserve"> test execution, and </w:t>
      </w:r>
      <w:proofErr w:type="spellStart"/>
      <w:r w:rsidRPr="00844FEC">
        <w:rPr>
          <w:rFonts w:ascii="Times New Roman" w:hAnsi="Times New Roman" w:cs="Times New Roman"/>
        </w:rPr>
        <w:t>PyPI</w:t>
      </w:r>
      <w:proofErr w:type="spellEnd"/>
      <w:r w:rsidRPr="00844FEC">
        <w:rPr>
          <w:rFonts w:ascii="Times New Roman" w:hAnsi="Times New Roman" w:cs="Times New Roman"/>
        </w:rPr>
        <w:t xml:space="preserve"> artefact build. The project targets data engineering and machine learning workflow contexts and exercises each platform's Python environment management and artefact publishing capabilities.</w:t>
      </w:r>
    </w:p>
    <w:p w14:paraId="3A17EF78"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Benchmark Project C (Microservices Architecture) consists of a three-service Docker Compose application comprising an API gateway, a user service, and a notification service. The pipeline stages include parallel individual service builds, inter-service integration test execution using a composed test environment, and end-to-end smoke tests against the deployed stack. This project exercises multi-container orchestration, service dependency management, and parallel job execution capabilities. All three projects are hosted in a private GitHub repository with identical source code, and pipeline configurations are version-controlled alongside application code.</w:t>
      </w:r>
    </w:p>
    <w:p w14:paraId="434AB266" w14:textId="77777777" w:rsidR="00BD21A1" w:rsidRPr="00844FEC" w:rsidRDefault="00000000" w:rsidP="00844FEC">
      <w:pPr>
        <w:spacing w:line="360" w:lineRule="auto"/>
        <w:rPr>
          <w:rFonts w:ascii="Times New Roman" w:hAnsi="Times New Roman" w:cs="Times New Roman"/>
        </w:rPr>
      </w:pPr>
      <w:r w:rsidRPr="00844FEC">
        <w:rPr>
          <w:rFonts w:ascii="Times New Roman" w:hAnsi="Times New Roman" w:cs="Times New Roman"/>
        </w:rPr>
        <w:br w:type="page"/>
      </w:r>
    </w:p>
    <w:p w14:paraId="23AACACC" w14:textId="77777777" w:rsidR="00BD21A1" w:rsidRPr="00844FEC" w:rsidRDefault="00000000" w:rsidP="00844FEC">
      <w:pPr>
        <w:pStyle w:val="Heading1"/>
        <w:spacing w:line="360" w:lineRule="auto"/>
        <w:rPr>
          <w:rFonts w:ascii="Times New Roman" w:hAnsi="Times New Roman" w:cs="Times New Roman"/>
          <w:color w:val="auto"/>
        </w:rPr>
      </w:pPr>
      <w:r w:rsidRPr="00844FEC">
        <w:rPr>
          <w:rFonts w:ascii="Times New Roman" w:hAnsi="Times New Roman" w:cs="Times New Roman"/>
          <w:color w:val="auto"/>
        </w:rPr>
        <w:lastRenderedPageBreak/>
        <w:t>4 Theoretical Background</w:t>
      </w:r>
    </w:p>
    <w:p w14:paraId="6A32C27B"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This chapter establishes the theoretical foundations underpinning the research. It examines the origins and principles of Continuous Integration and Continuous Deployment, surveys the DevOps framework within which CI/CD practices operate, analyses the DORA metrics framework as the primary measurement model for software delivery performance, traces the evolution of CI/CD tooling through three technological generations, and examines the five critical evaluation dimensions relevant to platform comparison. The chapter concludes by presenting the proposed research evaluation framework, which integrates these theoretical constructs into a unified analytical model guiding the empirical investigation.</w:t>
      </w:r>
    </w:p>
    <w:p w14:paraId="385BE8BD" w14:textId="77777777" w:rsidR="00BD21A1" w:rsidRPr="00844FEC" w:rsidRDefault="00000000" w:rsidP="00844FEC">
      <w:pPr>
        <w:pStyle w:val="Heading2"/>
        <w:spacing w:line="360" w:lineRule="auto"/>
        <w:rPr>
          <w:rFonts w:ascii="Times New Roman" w:hAnsi="Times New Roman" w:cs="Times New Roman"/>
          <w:color w:val="auto"/>
        </w:rPr>
      </w:pPr>
      <w:r w:rsidRPr="00844FEC">
        <w:rPr>
          <w:rFonts w:ascii="Times New Roman" w:hAnsi="Times New Roman" w:cs="Times New Roman"/>
          <w:color w:val="auto"/>
        </w:rPr>
        <w:t>4.1 Foundations of Continuous Integration and Continuous Deployment</w:t>
      </w:r>
    </w:p>
    <w:p w14:paraId="38FC5E65"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Continuous Integration (CI) as a formal software engineering practice was first articulated by Booch [28] in the context of object-oriented development and subsequently systematised by Beck and Andres as a core practice of Extreme Programming (XP) [29]. Beck's original formulation required developers to integrate their work into a shared mainline repository multiple times per day, with each integration automatically verified by a build and comprehensive test suite. This practice directly addressed the integration hell phenomenon, characterised by complex merge conflicts and cascading test failures that accumulated when integration was deferred to the end of a development iteration [2].</w:t>
      </w:r>
    </w:p>
    <w:p w14:paraId="44BE2A53"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Fowler [30] provided the canonical formulation of CI through ten key practices: maintaining a single source repository, automating the build, making builds self-testing, ensuring every commit triggers a build, fixing broken builds immediately, keeping the build fast, testing in a production-like environment, making it easy to obtain the latest deliverables, ensuring everyone can see the build results, and automating deployment. These practices remain foundational to modern CI/CD implementations and provide the theoretical benchmark against which platform capabilities are assessed in this research.</w:t>
      </w:r>
    </w:p>
    <w:p w14:paraId="4E6A7FA1"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Continuous Delivery (CD) extends CI by ensuring that the integrated codebase is always in a deployable state, requiring that every successful build produce a release candidate that could, in principle, be deployed to production at any time without additional manual intervention. Humble and Farley [3] provide the canonical theoretical treatment of Continuous Delivery, introducing the concept of the deployment pipeline as the primary </w:t>
      </w:r>
      <w:r w:rsidRPr="00844FEC">
        <w:rPr>
          <w:rFonts w:ascii="Times New Roman" w:hAnsi="Times New Roman" w:cs="Times New Roman"/>
        </w:rPr>
        <w:lastRenderedPageBreak/>
        <w:t>mechanism for ensuring that software is always releasable. The deployment pipeline automates the build, test, and release process in a series of sequential stages, each of which must pass before the software advances to the next stage, providing a structured quality gate that balances thoroughness with speed.</w:t>
      </w:r>
    </w:p>
    <w:p w14:paraId="66AF1648"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Continuous Deployment goes further still, automating the final deployment step so that every build passing all pipeline stages is automatically released to production without manual approval. Whilst Continuous Deployment is practised by technology leaders such as Amazon, Netflix, and Facebook, many organisations implement Continuous Delivery, retaining a manual release approval gate for regulatory compliance, change management, or risk management reasons [1]. The distinction between Continuous Delivery and Continuous Deployment is important for the practical evaluation of CI/CD platforms, as platform features supporting manual approval gates, deployment environments, and release management represent a distinct capability category relevant to enterprise adoption.</w:t>
      </w:r>
    </w:p>
    <w:p w14:paraId="65F6BD58"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The theoretical benefits of CI/CD are well-established in empirical software engineering research. Zhao et al. [25] demonstrate, through a large-scale analysis of open-source projects on GitHub, that CI adoption is associated with increased commit frequency, reduced post-merge test failures, and greater diversity of contributors. Hilton et al. [26] find that CI adoption in popular open-source projects correlates with faster issue resolution and more rapid incorporation of pull requests. Forsgren et al. [1] establish, through four years of survey data from over 33,000 practitioners, that elite software delivery performers deploy on demand, achieving deployment frequencies of multiple times per day, enabled by robust CI/CD automation. These empirical findings justify the strategic importance attributed to CI/CD tooling selection and underscore the significance of the performance, reliability, and usability differences between platforms that this research seeks to quantify.</w:t>
      </w:r>
    </w:p>
    <w:p w14:paraId="45CAB61B" w14:textId="77777777" w:rsidR="00BD21A1" w:rsidRPr="00844FEC" w:rsidRDefault="00000000" w:rsidP="00844FEC">
      <w:pPr>
        <w:pStyle w:val="Heading2"/>
        <w:spacing w:line="360" w:lineRule="auto"/>
        <w:rPr>
          <w:rFonts w:ascii="Times New Roman" w:hAnsi="Times New Roman" w:cs="Times New Roman"/>
          <w:color w:val="auto"/>
        </w:rPr>
      </w:pPr>
      <w:r w:rsidRPr="00844FEC">
        <w:rPr>
          <w:rFonts w:ascii="Times New Roman" w:hAnsi="Times New Roman" w:cs="Times New Roman"/>
          <w:color w:val="auto"/>
        </w:rPr>
        <w:t>4.2 DevOps Principles and the CI/CD Ecosystem</w:t>
      </w:r>
    </w:p>
    <w:p w14:paraId="0CB8FB2F"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DevOps represents the cultural, organisational, and technical framework within which CI/CD practices are implemented. The term, coined by Debois in 2009 at the inaugural </w:t>
      </w:r>
      <w:proofErr w:type="spellStart"/>
      <w:r w:rsidRPr="00844FEC">
        <w:rPr>
          <w:rFonts w:ascii="Times New Roman" w:hAnsi="Times New Roman" w:cs="Times New Roman"/>
        </w:rPr>
        <w:t>DevOpsDays</w:t>
      </w:r>
      <w:proofErr w:type="spellEnd"/>
      <w:r w:rsidRPr="00844FEC">
        <w:rPr>
          <w:rFonts w:ascii="Times New Roman" w:hAnsi="Times New Roman" w:cs="Times New Roman"/>
        </w:rPr>
        <w:t xml:space="preserve"> conference, captures the convergence of software development and IT operations disciplines that had traditionally operated in organisational silos, creating friction in the software release process [31]. This organisational separation, characterised by handoff-based release processes and misaligned incentive structures, was identified as </w:t>
      </w:r>
      <w:r w:rsidRPr="00844FEC">
        <w:rPr>
          <w:rFonts w:ascii="Times New Roman" w:hAnsi="Times New Roman" w:cs="Times New Roman"/>
        </w:rPr>
        <w:lastRenderedPageBreak/>
        <w:t>a root cause of the slow, error-prone, and high-risk software releases that CI/CD automation was designed to eliminate.</w:t>
      </w:r>
    </w:p>
    <w:p w14:paraId="2F88F797"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Kim et al. [32] characterise DevOps through the Three Ways: the first way emphasises systems thinking and the optimisation of the entire value stream from development to operations rather than local optimisation of individual team performance; the second way emphasises amplifying feedback loops that enable rapid detection and correction of defects at every stage of the value stream; and the third way emphasises a culture of continual learning, experimentation, and improvement. CI/CD automation is a technical enabler of all three ways, accelerating value flow through automated pipelines, shortening feedback cycles through rapid test execution, and facilitating safe experimentation through automated rollback capabilities and feature flag infrastructure.</w:t>
      </w:r>
    </w:p>
    <w:p w14:paraId="348F3A91"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The CALMS framework, proposed by Willis and Debois [33], provides a complementary conceptualisation of DevOps across five dimensions: Culture, Automation, Lean, Measurement, and Sharing. Within this framework, CI/CD tooling falls primarily under the Automation dimension, providing the technical infrastructure for automated build, test, and deployment processes. However, CI/CD adoption has direct implications for the Measurement dimension by generating real-time pipeline telemetry (build duration, failure rates, queue latency) that can drive data-informed improvement decisions, and for the Culture dimension by creating shared ownership of the build pipeline between development and operations teams through pipeline-as-code practices that make pipeline configurations version-controlled, reviewable, and collaboratively maintained [32].</w:t>
      </w:r>
    </w:p>
    <w:p w14:paraId="75C696ED"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Lean software development principles, as articulated by </w:t>
      </w:r>
      <w:proofErr w:type="spellStart"/>
      <w:r w:rsidRPr="00844FEC">
        <w:rPr>
          <w:rFonts w:ascii="Times New Roman" w:hAnsi="Times New Roman" w:cs="Times New Roman"/>
        </w:rPr>
        <w:t>Poppendieck</w:t>
      </w:r>
      <w:proofErr w:type="spellEnd"/>
      <w:r w:rsidRPr="00844FEC">
        <w:rPr>
          <w:rFonts w:ascii="Times New Roman" w:hAnsi="Times New Roman" w:cs="Times New Roman"/>
        </w:rPr>
        <w:t xml:space="preserve"> and </w:t>
      </w:r>
      <w:proofErr w:type="spellStart"/>
      <w:r w:rsidRPr="00844FEC">
        <w:rPr>
          <w:rFonts w:ascii="Times New Roman" w:hAnsi="Times New Roman" w:cs="Times New Roman"/>
        </w:rPr>
        <w:t>Poppendieck</w:t>
      </w:r>
      <w:proofErr w:type="spellEnd"/>
      <w:r w:rsidRPr="00844FEC">
        <w:rPr>
          <w:rFonts w:ascii="Times New Roman" w:hAnsi="Times New Roman" w:cs="Times New Roman"/>
        </w:rPr>
        <w:t xml:space="preserve"> [34], provide a further theoretical underpinning for CI/CD adoption. Long integration cycles create inventory in the form of accumulated code changes awaiting testing and deployment, representing work-in-progress (WIP) inventory that delays value realisation and increases the cost of defect detection. CI/CD reduces this inventory by automating the integration, testing, and deployment pipeline, enabling the faster realisation of business value from software development effort and reducing the batch size of each release. Smaller batch sizes, in turn, reduce the risk associated with each deployment, supporting the cultural shift towards treating deployment as a routine, low-risk operation rather than a high-stakes, infrequent event.</w:t>
      </w:r>
    </w:p>
    <w:p w14:paraId="5E990286"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lastRenderedPageBreak/>
        <w:t>The Site Reliability Engineering (SRE) framework, developed at Google and documented by Beyer et al. [35], provides yet another theoretical lens through which CI/CD tooling can be evaluated. SRE operationalises the reliability dimension of software delivery through the concepts of Service Level Objectives (SLOs), Error Budgets, and Toil reduction. CI/CD pipeline reliability, measured through Mean Time to Recovery and pipeline success rate, directly influences the Error Budget available for feature development: an unreliable CI/CD pipeline that fails frequently and recovers slowly consumes Error Budget through build failures, effectively constraining the team's deployment velocity and innovation capacity. This connection between CI/CD reliability and organisational agility reinforces the importance of the reliability evaluation dimension in the proposed framework.</w:t>
      </w:r>
    </w:p>
    <w:p w14:paraId="2F02B568" w14:textId="77777777" w:rsidR="00BD21A1" w:rsidRPr="00844FEC" w:rsidRDefault="00000000" w:rsidP="00844FEC">
      <w:pPr>
        <w:pStyle w:val="Heading2"/>
        <w:spacing w:line="360" w:lineRule="auto"/>
        <w:rPr>
          <w:rFonts w:ascii="Times New Roman" w:hAnsi="Times New Roman" w:cs="Times New Roman"/>
          <w:color w:val="auto"/>
        </w:rPr>
      </w:pPr>
      <w:r w:rsidRPr="00844FEC">
        <w:rPr>
          <w:rFonts w:ascii="Times New Roman" w:hAnsi="Times New Roman" w:cs="Times New Roman"/>
          <w:color w:val="auto"/>
        </w:rPr>
        <w:t>4.3 DORA Metrics Framework</w:t>
      </w:r>
    </w:p>
    <w:p w14:paraId="15F631BF"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The DevOps Research and Assessment (DORA) programme, initiated by Forsgren, Humble, and Kim in 2013 and subsequently acquired by Google Cloud, has produced the most widely cited empirical framework for measuring software delivery performance [1]. The DORA metrics framework comprises four key performance indicators (KPIs) that have been shown, through longitudinal research across four years and over 33,000 practitioners, to predict organisational performance outcomes including profitability, market share, and productivity. Table 7 presents the four DORA metrics alongside their elite performer thresholds and their relationship to CI/CD platform characteristics.</w:t>
      </w:r>
    </w:p>
    <w:p w14:paraId="20DF337F" w14:textId="1EEB4D09" w:rsidR="00BD21A1" w:rsidRPr="003A6A80" w:rsidRDefault="00000000" w:rsidP="00844FEC">
      <w:pPr>
        <w:spacing w:before="220" w:after="80" w:line="360" w:lineRule="auto"/>
        <w:rPr>
          <w:rFonts w:ascii="Times New Roman" w:hAnsi="Times New Roman" w:cs="Times New Roman"/>
        </w:rPr>
      </w:pPr>
      <w:r w:rsidRPr="003A6A80">
        <w:rPr>
          <w:rFonts w:ascii="Times New Roman" w:hAnsi="Times New Roman" w:cs="Times New Roman"/>
          <w:sz w:val="22"/>
          <w:szCs w:val="22"/>
        </w:rPr>
        <w:t xml:space="preserve">Table 7: DORA Metrics </w:t>
      </w:r>
      <w:r w:rsidR="003A6A80">
        <w:rPr>
          <w:rFonts w:ascii="Times New Roman" w:hAnsi="Times New Roman" w:cs="Times New Roman"/>
          <w:sz w:val="22"/>
          <w:szCs w:val="22"/>
        </w:rPr>
        <w:t>-</w:t>
      </w:r>
      <w:r w:rsidRPr="003A6A80">
        <w:rPr>
          <w:rFonts w:ascii="Times New Roman" w:hAnsi="Times New Roman" w:cs="Times New Roman"/>
          <w:sz w:val="22"/>
          <w:szCs w:val="22"/>
        </w:rPr>
        <w:t>Elite Thresholds and Relationship to CI/CD Platform Evaluation</w:t>
      </w:r>
    </w:p>
    <w:tbl>
      <w:tblPr>
        <w:tblStyle w:val="TableGrid"/>
        <w:tblW w:w="9360" w:type="dxa"/>
        <w:tblLook w:val="04A0" w:firstRow="1" w:lastRow="0" w:firstColumn="1" w:lastColumn="0" w:noHBand="0" w:noVBand="1"/>
      </w:tblPr>
      <w:tblGrid>
        <w:gridCol w:w="2200"/>
        <w:gridCol w:w="2000"/>
        <w:gridCol w:w="1960"/>
        <w:gridCol w:w="3200"/>
      </w:tblGrid>
      <w:tr w:rsidR="00844FEC" w:rsidRPr="003A6A80" w14:paraId="05313A18" w14:textId="77777777" w:rsidTr="003A6A80">
        <w:tc>
          <w:tcPr>
            <w:tcW w:w="2200" w:type="dxa"/>
          </w:tcPr>
          <w:p w14:paraId="2DC75113" w14:textId="77777777" w:rsidR="00BD21A1" w:rsidRPr="003A6A80" w:rsidRDefault="00000000" w:rsidP="00844FEC">
            <w:pPr>
              <w:spacing w:line="360" w:lineRule="auto"/>
              <w:jc w:val="center"/>
              <w:rPr>
                <w:rFonts w:ascii="Times New Roman" w:hAnsi="Times New Roman" w:cs="Times New Roman"/>
                <w:sz w:val="22"/>
                <w:szCs w:val="22"/>
              </w:rPr>
            </w:pPr>
            <w:r w:rsidRPr="003A6A80">
              <w:rPr>
                <w:rFonts w:ascii="Times New Roman" w:hAnsi="Times New Roman" w:cs="Times New Roman"/>
                <w:b/>
                <w:bCs/>
                <w:sz w:val="22"/>
                <w:szCs w:val="22"/>
              </w:rPr>
              <w:t>DORA Metric</w:t>
            </w:r>
          </w:p>
        </w:tc>
        <w:tc>
          <w:tcPr>
            <w:tcW w:w="2000" w:type="dxa"/>
          </w:tcPr>
          <w:p w14:paraId="527E19BF" w14:textId="77777777" w:rsidR="00BD21A1" w:rsidRPr="003A6A80" w:rsidRDefault="00000000" w:rsidP="00844FEC">
            <w:pPr>
              <w:spacing w:line="360" w:lineRule="auto"/>
              <w:jc w:val="center"/>
              <w:rPr>
                <w:rFonts w:ascii="Times New Roman" w:hAnsi="Times New Roman" w:cs="Times New Roman"/>
                <w:sz w:val="22"/>
                <w:szCs w:val="22"/>
              </w:rPr>
            </w:pPr>
            <w:r w:rsidRPr="003A6A80">
              <w:rPr>
                <w:rFonts w:ascii="Times New Roman" w:hAnsi="Times New Roman" w:cs="Times New Roman"/>
                <w:b/>
                <w:bCs/>
                <w:sz w:val="22"/>
                <w:szCs w:val="22"/>
              </w:rPr>
              <w:t>Elite Performer Threshold</w:t>
            </w:r>
          </w:p>
        </w:tc>
        <w:tc>
          <w:tcPr>
            <w:tcW w:w="1960" w:type="dxa"/>
          </w:tcPr>
          <w:p w14:paraId="4AAE980B" w14:textId="77777777" w:rsidR="00BD21A1" w:rsidRPr="003A6A80" w:rsidRDefault="00000000" w:rsidP="00844FEC">
            <w:pPr>
              <w:spacing w:line="360" w:lineRule="auto"/>
              <w:jc w:val="center"/>
              <w:rPr>
                <w:rFonts w:ascii="Times New Roman" w:hAnsi="Times New Roman" w:cs="Times New Roman"/>
                <w:sz w:val="22"/>
                <w:szCs w:val="22"/>
              </w:rPr>
            </w:pPr>
            <w:r w:rsidRPr="003A6A80">
              <w:rPr>
                <w:rFonts w:ascii="Times New Roman" w:hAnsi="Times New Roman" w:cs="Times New Roman"/>
                <w:b/>
                <w:bCs/>
                <w:sz w:val="22"/>
                <w:szCs w:val="22"/>
              </w:rPr>
              <w:t>Measurement Unit</w:t>
            </w:r>
          </w:p>
        </w:tc>
        <w:tc>
          <w:tcPr>
            <w:tcW w:w="3200" w:type="dxa"/>
          </w:tcPr>
          <w:p w14:paraId="270BA7CD" w14:textId="77777777" w:rsidR="00BD21A1" w:rsidRPr="003A6A80" w:rsidRDefault="00000000" w:rsidP="00844FEC">
            <w:pPr>
              <w:spacing w:line="360" w:lineRule="auto"/>
              <w:jc w:val="center"/>
              <w:rPr>
                <w:rFonts w:ascii="Times New Roman" w:hAnsi="Times New Roman" w:cs="Times New Roman"/>
                <w:sz w:val="22"/>
                <w:szCs w:val="22"/>
              </w:rPr>
            </w:pPr>
            <w:r w:rsidRPr="003A6A80">
              <w:rPr>
                <w:rFonts w:ascii="Times New Roman" w:hAnsi="Times New Roman" w:cs="Times New Roman"/>
                <w:b/>
                <w:bCs/>
                <w:sz w:val="22"/>
                <w:szCs w:val="22"/>
              </w:rPr>
              <w:t>Relationship to CI/CD Platform</w:t>
            </w:r>
          </w:p>
        </w:tc>
      </w:tr>
      <w:tr w:rsidR="00844FEC" w:rsidRPr="003A6A80" w14:paraId="282B3B18" w14:textId="77777777" w:rsidTr="003A6A80">
        <w:tc>
          <w:tcPr>
            <w:tcW w:w="2200" w:type="dxa"/>
          </w:tcPr>
          <w:p w14:paraId="4C8E5D4B"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Deployment Frequency</w:t>
            </w:r>
          </w:p>
        </w:tc>
        <w:tc>
          <w:tcPr>
            <w:tcW w:w="2000" w:type="dxa"/>
          </w:tcPr>
          <w:p w14:paraId="0C9DF764"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On demand (multiple/day)</w:t>
            </w:r>
          </w:p>
        </w:tc>
        <w:tc>
          <w:tcPr>
            <w:tcW w:w="1960" w:type="dxa"/>
          </w:tcPr>
          <w:p w14:paraId="23287572"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Deployments per day</w:t>
            </w:r>
          </w:p>
        </w:tc>
        <w:tc>
          <w:tcPr>
            <w:tcW w:w="3200" w:type="dxa"/>
          </w:tcPr>
          <w:p w14:paraId="622E6024"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CI/CD automation enables continuous release pipeline</w:t>
            </w:r>
          </w:p>
        </w:tc>
      </w:tr>
      <w:tr w:rsidR="00844FEC" w:rsidRPr="003A6A80" w14:paraId="3CE86D63" w14:textId="77777777" w:rsidTr="003A6A80">
        <w:tc>
          <w:tcPr>
            <w:tcW w:w="2200" w:type="dxa"/>
          </w:tcPr>
          <w:p w14:paraId="1D86BE6B"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Lead Time for Changes</w:t>
            </w:r>
          </w:p>
        </w:tc>
        <w:tc>
          <w:tcPr>
            <w:tcW w:w="2000" w:type="dxa"/>
          </w:tcPr>
          <w:p w14:paraId="5543D946"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&lt; 1 hour</w:t>
            </w:r>
          </w:p>
        </w:tc>
        <w:tc>
          <w:tcPr>
            <w:tcW w:w="1960" w:type="dxa"/>
          </w:tcPr>
          <w:p w14:paraId="26F33A6F"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Hours</w:t>
            </w:r>
          </w:p>
        </w:tc>
        <w:tc>
          <w:tcPr>
            <w:tcW w:w="3200" w:type="dxa"/>
          </w:tcPr>
          <w:p w14:paraId="5C156C4B"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Pipeline build speed and queue latency are primary determinants</w:t>
            </w:r>
          </w:p>
        </w:tc>
      </w:tr>
      <w:tr w:rsidR="00844FEC" w:rsidRPr="003A6A80" w14:paraId="309EC489" w14:textId="77777777" w:rsidTr="003A6A80">
        <w:tc>
          <w:tcPr>
            <w:tcW w:w="2200" w:type="dxa"/>
          </w:tcPr>
          <w:p w14:paraId="3BB93745"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Change Failure Rate</w:t>
            </w:r>
          </w:p>
        </w:tc>
        <w:tc>
          <w:tcPr>
            <w:tcW w:w="2000" w:type="dxa"/>
          </w:tcPr>
          <w:p w14:paraId="4B8A36C5"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0–5%</w:t>
            </w:r>
          </w:p>
        </w:tc>
        <w:tc>
          <w:tcPr>
            <w:tcW w:w="1960" w:type="dxa"/>
          </w:tcPr>
          <w:p w14:paraId="10640234"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Percentage</w:t>
            </w:r>
          </w:p>
        </w:tc>
        <w:tc>
          <w:tcPr>
            <w:tcW w:w="3200" w:type="dxa"/>
          </w:tcPr>
          <w:p w14:paraId="67B5482D"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Automated test coverage and pipeline reliability reduce failure rate</w:t>
            </w:r>
          </w:p>
        </w:tc>
      </w:tr>
      <w:tr w:rsidR="00844FEC" w:rsidRPr="003A6A80" w14:paraId="2D424A04" w14:textId="77777777" w:rsidTr="003A6A80">
        <w:tc>
          <w:tcPr>
            <w:tcW w:w="2200" w:type="dxa"/>
          </w:tcPr>
          <w:p w14:paraId="55E67B9C"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Time to Restore Service</w:t>
            </w:r>
          </w:p>
        </w:tc>
        <w:tc>
          <w:tcPr>
            <w:tcW w:w="2000" w:type="dxa"/>
          </w:tcPr>
          <w:p w14:paraId="0620E039"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&lt; 1 hour</w:t>
            </w:r>
          </w:p>
        </w:tc>
        <w:tc>
          <w:tcPr>
            <w:tcW w:w="1960" w:type="dxa"/>
          </w:tcPr>
          <w:p w14:paraId="3646A84D"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Hours</w:t>
            </w:r>
          </w:p>
        </w:tc>
        <w:tc>
          <w:tcPr>
            <w:tcW w:w="3200" w:type="dxa"/>
          </w:tcPr>
          <w:p w14:paraId="4FB35149" w14:textId="77777777" w:rsidR="00BD21A1" w:rsidRPr="003A6A80" w:rsidRDefault="00000000" w:rsidP="00844FEC">
            <w:pPr>
              <w:spacing w:line="360" w:lineRule="auto"/>
              <w:rPr>
                <w:rFonts w:ascii="Times New Roman" w:hAnsi="Times New Roman" w:cs="Times New Roman"/>
                <w:sz w:val="22"/>
                <w:szCs w:val="22"/>
              </w:rPr>
            </w:pPr>
            <w:r w:rsidRPr="003A6A80">
              <w:rPr>
                <w:rFonts w:ascii="Times New Roman" w:hAnsi="Times New Roman" w:cs="Times New Roman"/>
                <w:sz w:val="22"/>
                <w:szCs w:val="22"/>
              </w:rPr>
              <w:t>MTTR of pipeline failures contributes to overall service recovery time</w:t>
            </w:r>
          </w:p>
        </w:tc>
      </w:tr>
    </w:tbl>
    <w:p w14:paraId="631E55E4" w14:textId="77777777" w:rsidR="00BD21A1" w:rsidRPr="00844FEC" w:rsidRDefault="00BD21A1" w:rsidP="00844FEC">
      <w:pPr>
        <w:spacing w:after="80" w:line="360" w:lineRule="auto"/>
        <w:rPr>
          <w:rFonts w:ascii="Times New Roman" w:hAnsi="Times New Roman" w:cs="Times New Roman"/>
        </w:rPr>
      </w:pPr>
    </w:p>
    <w:p w14:paraId="1DD1EEE3"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Deployment Frequency measures how often an organisation successfully releases to production. Elite performers deploy on demand, typically multiple times per day, whilst low performers deploy less frequently than once per month. The 2023 DORA State of DevOps Report found that elite performers were 127 times more likely to use CI/CD automation than low performers, establishing CI/CD as a necessary condition for achieving elite deployment frequency [36]. Platform characteristics that support Continuous Deployment automation, including native approval workflows, environment management, and rollback mechanisms, are therefore directly relevant to this metric.</w:t>
      </w:r>
    </w:p>
    <w:p w14:paraId="19C632E3"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Lead Time for Changes measures the elapsed time from a code commit to that code running successfully in production. Elite performers achieve lead times of less than one hour, with </w:t>
      </w:r>
      <w:proofErr w:type="gramStart"/>
      <w:r w:rsidRPr="00844FEC">
        <w:rPr>
          <w:rFonts w:ascii="Times New Roman" w:hAnsi="Times New Roman" w:cs="Times New Roman"/>
        </w:rPr>
        <w:t>the majority of</w:t>
      </w:r>
      <w:proofErr w:type="gramEnd"/>
      <w:r w:rsidRPr="00844FEC">
        <w:rPr>
          <w:rFonts w:ascii="Times New Roman" w:hAnsi="Times New Roman" w:cs="Times New Roman"/>
        </w:rPr>
        <w:t xml:space="preserve"> this time attributable to CI/CD pipeline execution. Build performance, measured by total pipeline duration and queue latency, is therefore the primary platform-level determinant of Lead Time for Changes. A platform that reduces average build time by 30% directly contributes a proportional improvement to this DORA metric, making build performance the most strategically significant dimension in the proposed evaluation framework [1].</w:t>
      </w:r>
    </w:p>
    <w:p w14:paraId="639AFFAF"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Change Failure Rate measures the percentage of deployments that cause a failure in production, requiring a hotfix, rollback, or other remediation action. Elite performers maintain change failure rates between 0% and 5%. Automated testing integrated into CI/CD pipelines is the primary mechanism through which organisations reduce change failure rate, making pipeline reliability and test execution completeness critical attributes of CI/CD platform evaluation. A platform that executes tests reliably and completely, with low rates of flaky test failures or pipeline interruptions, directly supports the maintenance of elite-level change failure rates [36].</w:t>
      </w:r>
    </w:p>
    <w:p w14:paraId="4C4FD8E1"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Time to Restore Service measures the elapsed time to recover from a service incident or failure. Elite performers recover in less than one hour. Whilst this metric is primarily influenced by incident response procedures and infrastructure resilience, CI/CD pipeline reliability, specifically MTTR following a pipeline failure, is a relevant contributor to organisational recovery capability. A platform that fails frequently and requires extended manual intervention to recover imposes a recurring operational tax that erodes the time </w:t>
      </w:r>
      <w:r w:rsidRPr="00844FEC">
        <w:rPr>
          <w:rFonts w:ascii="Times New Roman" w:hAnsi="Times New Roman" w:cs="Times New Roman"/>
        </w:rPr>
        <w:lastRenderedPageBreak/>
        <w:t>available for addressing production incidents, indirectly degrading Time to Restore Service performance [1].</w:t>
      </w:r>
    </w:p>
    <w:p w14:paraId="2E4016B1"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The DORA framework also distinguishes between throughput metrics (Deployment Frequency and Lead Time for Changes) and stability metrics (Change Failure Rate and Time to Restore Service), finding that high-performing organisations achieve high scores on both dimensions simultaneously. This finding, which challenges the intuitive assumption that speed and stability are in tension, is theoretically explained by the quality gate function of CI/CD pipelines: automated testing and deployment validation enable organisations to deploy more frequently whilst simultaneously reducing the rate of production failures [36]. This dual function of CI/CD automation provides the theoretical justification for evaluating both performance and reliability dimensions in the proposed framework, as they represent the two sides of the throughput-stability balance.</w:t>
      </w:r>
    </w:p>
    <w:p w14:paraId="6BB34DCE" w14:textId="77777777" w:rsidR="00BD21A1" w:rsidRPr="00844FEC" w:rsidRDefault="00000000" w:rsidP="00844FEC">
      <w:pPr>
        <w:pStyle w:val="Heading2"/>
        <w:spacing w:line="360" w:lineRule="auto"/>
        <w:rPr>
          <w:rFonts w:ascii="Times New Roman" w:hAnsi="Times New Roman" w:cs="Times New Roman"/>
          <w:color w:val="auto"/>
        </w:rPr>
      </w:pPr>
      <w:r w:rsidRPr="00844FEC">
        <w:rPr>
          <w:rFonts w:ascii="Times New Roman" w:hAnsi="Times New Roman" w:cs="Times New Roman"/>
          <w:color w:val="auto"/>
        </w:rPr>
        <w:t>4.4 Evolution of CI/CD Tooling</w:t>
      </w:r>
    </w:p>
    <w:p w14:paraId="58BCB8F1"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The evolution of CI/CD tooling can be traced through three distinct technological generations, each characterised by different architectural assumptions, operational models, and capability profiles. Understanding this evolutionary trajectory is essential for contextualising the current capabilities and inherent limitations of the three platforms under study.</w:t>
      </w:r>
    </w:p>
    <w:p w14:paraId="5B0FDEF9" w14:textId="77777777" w:rsidR="00BD21A1" w:rsidRPr="00844FEC" w:rsidRDefault="00000000" w:rsidP="00844FEC">
      <w:pPr>
        <w:pStyle w:val="Heading3"/>
        <w:spacing w:line="360" w:lineRule="auto"/>
        <w:rPr>
          <w:rFonts w:ascii="Times New Roman" w:hAnsi="Times New Roman" w:cs="Times New Roman"/>
          <w:color w:val="auto"/>
        </w:rPr>
      </w:pPr>
      <w:r w:rsidRPr="00844FEC">
        <w:rPr>
          <w:rFonts w:ascii="Times New Roman" w:hAnsi="Times New Roman" w:cs="Times New Roman"/>
          <w:color w:val="auto"/>
        </w:rPr>
        <w:t>4.4.1 First Generation: Self-Hosted Continuous Integration</w:t>
      </w:r>
    </w:p>
    <w:p w14:paraId="0AE9E61B"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The first generation of CI tools, exemplified by </w:t>
      </w:r>
      <w:proofErr w:type="spellStart"/>
      <w:r w:rsidRPr="00844FEC">
        <w:rPr>
          <w:rFonts w:ascii="Times New Roman" w:hAnsi="Times New Roman" w:cs="Times New Roman"/>
        </w:rPr>
        <w:t>CruiseControl</w:t>
      </w:r>
      <w:proofErr w:type="spellEnd"/>
      <w:r w:rsidRPr="00844FEC">
        <w:rPr>
          <w:rFonts w:ascii="Times New Roman" w:hAnsi="Times New Roman" w:cs="Times New Roman"/>
        </w:rPr>
        <w:t xml:space="preserve"> (2001), </w:t>
      </w:r>
      <w:proofErr w:type="gramStart"/>
      <w:r w:rsidRPr="00844FEC">
        <w:rPr>
          <w:rFonts w:ascii="Times New Roman" w:hAnsi="Times New Roman" w:cs="Times New Roman"/>
        </w:rPr>
        <w:t>Ant-Hill</w:t>
      </w:r>
      <w:proofErr w:type="gramEnd"/>
      <w:r w:rsidRPr="00844FEC">
        <w:rPr>
          <w:rFonts w:ascii="Times New Roman" w:hAnsi="Times New Roman" w:cs="Times New Roman"/>
        </w:rPr>
        <w:t xml:space="preserve"> (2003), and Tinderbox (2004), required extensive manual configuration, operated on dedicated </w:t>
      </w:r>
      <w:proofErr w:type="gramStart"/>
      <w:r w:rsidRPr="00844FEC">
        <w:rPr>
          <w:rFonts w:ascii="Times New Roman" w:hAnsi="Times New Roman" w:cs="Times New Roman"/>
        </w:rPr>
        <w:t>on-premise</w:t>
      </w:r>
      <w:proofErr w:type="gramEnd"/>
      <w:r w:rsidRPr="00844FEC">
        <w:rPr>
          <w:rFonts w:ascii="Times New Roman" w:hAnsi="Times New Roman" w:cs="Times New Roman"/>
        </w:rPr>
        <w:t xml:space="preserve"> build servers, and provided limited integration with version control systems beyond file system polling. Build configurations were specified in XML, and integration with testing frameworks required custom scripting. These tools established the foundational pattern of trigger-on-commit, build, test, and report, but imposed substantial operational burden on development teams responsible for maintaining build infrastructure [2].</w:t>
      </w:r>
    </w:p>
    <w:p w14:paraId="4A2D3FA6"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Jenkins, originating as Hudson in 2005 at Sun Microsystems and rebranding as Jenkins in 2011 following a community fork from Oracle, represented the maturation of the first generation through the introduction of a plugin architecture that enabled community-driven </w:t>
      </w:r>
      <w:r w:rsidRPr="00844FEC">
        <w:rPr>
          <w:rFonts w:ascii="Times New Roman" w:hAnsi="Times New Roman" w:cs="Times New Roman"/>
        </w:rPr>
        <w:lastRenderedPageBreak/>
        <w:t>extension of core capabilities, a web-based user interface that reduced configuration complexity, and master-agent distributed execution that enabled scaling across multiple build nodes [5]. Jenkins' success in this generation was attributable to its combination of flexibility, active community, and zero licence cost, characteristics that continue to drive its adoption in enterprise environments today, even as cloud-native alternatives have emerged.</w:t>
      </w:r>
    </w:p>
    <w:p w14:paraId="44EF92BB" w14:textId="77777777" w:rsidR="00BD21A1" w:rsidRPr="00844FEC" w:rsidRDefault="00000000" w:rsidP="00844FEC">
      <w:pPr>
        <w:pStyle w:val="Heading3"/>
        <w:spacing w:line="360" w:lineRule="auto"/>
        <w:rPr>
          <w:rFonts w:ascii="Times New Roman" w:hAnsi="Times New Roman" w:cs="Times New Roman"/>
          <w:color w:val="auto"/>
        </w:rPr>
      </w:pPr>
      <w:r w:rsidRPr="00844FEC">
        <w:rPr>
          <w:rFonts w:ascii="Times New Roman" w:hAnsi="Times New Roman" w:cs="Times New Roman"/>
          <w:color w:val="auto"/>
        </w:rPr>
        <w:t>4.4.2 Second Generation: Cloud-Native SaaS CI/CD</w:t>
      </w:r>
    </w:p>
    <w:p w14:paraId="35DCD817"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The second generation emerged with the shift to cloud computing and the software-as-a-service model in the early 2010s. Platforms such as Travis CI (2011), </w:t>
      </w:r>
      <w:proofErr w:type="spellStart"/>
      <w:r w:rsidRPr="00844FEC">
        <w:rPr>
          <w:rFonts w:ascii="Times New Roman" w:hAnsi="Times New Roman" w:cs="Times New Roman"/>
        </w:rPr>
        <w:t>CircleCI</w:t>
      </w:r>
      <w:proofErr w:type="spellEnd"/>
      <w:r w:rsidRPr="00844FEC">
        <w:rPr>
          <w:rFonts w:ascii="Times New Roman" w:hAnsi="Times New Roman" w:cs="Times New Roman"/>
        </w:rPr>
        <w:t xml:space="preserve"> (2011), and </w:t>
      </w:r>
      <w:proofErr w:type="spellStart"/>
      <w:r w:rsidRPr="00844FEC">
        <w:rPr>
          <w:rFonts w:ascii="Times New Roman" w:hAnsi="Times New Roman" w:cs="Times New Roman"/>
        </w:rPr>
        <w:t>Codeship</w:t>
      </w:r>
      <w:proofErr w:type="spellEnd"/>
      <w:r w:rsidRPr="00844FEC">
        <w:rPr>
          <w:rFonts w:ascii="Times New Roman" w:hAnsi="Times New Roman" w:cs="Times New Roman"/>
        </w:rPr>
        <w:t xml:space="preserve"> (2011) eliminated the need for dedicated build infrastructure, introduced container-based build environments for improved reproducibility and isolation, and adopted YAML as the configuration language standard, reducing the cognitive overhead associated with Groovy-based </w:t>
      </w:r>
      <w:proofErr w:type="spellStart"/>
      <w:r w:rsidRPr="00844FEC">
        <w:rPr>
          <w:rFonts w:ascii="Times New Roman" w:hAnsi="Times New Roman" w:cs="Times New Roman"/>
        </w:rPr>
        <w:t>Jenkinsfile</w:t>
      </w:r>
      <w:proofErr w:type="spellEnd"/>
      <w:r w:rsidRPr="00844FEC">
        <w:rPr>
          <w:rFonts w:ascii="Times New Roman" w:hAnsi="Times New Roman" w:cs="Times New Roman"/>
        </w:rPr>
        <w:t xml:space="preserve"> authorship [7]. This generation significantly reduced the operational overhead associated with CI/CD management, enabling small teams without dedicated DevOps resources to implement professional CI/CD practices.</w:t>
      </w:r>
    </w:p>
    <w:p w14:paraId="745AC11F" w14:textId="77777777" w:rsidR="00BD21A1" w:rsidRPr="00844FEC" w:rsidRDefault="00000000" w:rsidP="00844FEC">
      <w:pPr>
        <w:spacing w:after="180" w:line="360" w:lineRule="auto"/>
        <w:jc w:val="both"/>
        <w:rPr>
          <w:rFonts w:ascii="Times New Roman" w:hAnsi="Times New Roman" w:cs="Times New Roman"/>
        </w:rPr>
      </w:pPr>
      <w:proofErr w:type="spellStart"/>
      <w:r w:rsidRPr="00844FEC">
        <w:rPr>
          <w:rFonts w:ascii="Times New Roman" w:hAnsi="Times New Roman" w:cs="Times New Roman"/>
        </w:rPr>
        <w:t>CircleCI's</w:t>
      </w:r>
      <w:proofErr w:type="spellEnd"/>
      <w:r w:rsidRPr="00844FEC">
        <w:rPr>
          <w:rFonts w:ascii="Times New Roman" w:hAnsi="Times New Roman" w:cs="Times New Roman"/>
        </w:rPr>
        <w:t xml:space="preserve"> architecture, which uses Docker containers as the primary execution environment, provided a significant advance in build reproducibility: the same Docker image used in the CI pipeline could be used in production, eliminating the category of environment-specific defects that had been a persistent challenge in first-generation CI deployments. </w:t>
      </w:r>
      <w:proofErr w:type="spellStart"/>
      <w:r w:rsidRPr="00844FEC">
        <w:rPr>
          <w:rFonts w:ascii="Times New Roman" w:hAnsi="Times New Roman" w:cs="Times New Roman"/>
        </w:rPr>
        <w:t>CircleCI</w:t>
      </w:r>
      <w:proofErr w:type="spellEnd"/>
      <w:r w:rsidRPr="00844FEC">
        <w:rPr>
          <w:rFonts w:ascii="Times New Roman" w:hAnsi="Times New Roman" w:cs="Times New Roman"/>
        </w:rPr>
        <w:t xml:space="preserve"> also introduced the concept of machine resource classes, enabling developers to select the compute resources appropriate for each job's requirements and thereby optimise the cost-performance trade-off at the job level rather than the platform level [7].</w:t>
      </w:r>
    </w:p>
    <w:p w14:paraId="58AFA923" w14:textId="77777777" w:rsidR="00BD21A1" w:rsidRPr="00844FEC" w:rsidRDefault="00000000" w:rsidP="00844FEC">
      <w:pPr>
        <w:pStyle w:val="Heading3"/>
        <w:spacing w:line="360" w:lineRule="auto"/>
        <w:rPr>
          <w:rFonts w:ascii="Times New Roman" w:hAnsi="Times New Roman" w:cs="Times New Roman"/>
          <w:color w:val="auto"/>
        </w:rPr>
      </w:pPr>
      <w:r w:rsidRPr="00844FEC">
        <w:rPr>
          <w:rFonts w:ascii="Times New Roman" w:hAnsi="Times New Roman" w:cs="Times New Roman"/>
          <w:color w:val="auto"/>
        </w:rPr>
        <w:t>4.4.3 Third Generation: Platform-Integrated DevOps Automation</w:t>
      </w:r>
    </w:p>
    <w:p w14:paraId="65F88CB0"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The third generation, exemplified by GitHub Actions (2019), GitLab CI/CD (2015), and Bitbucket Pipelines (2016), integrates CI/CD directly into the source control platform, eliminating the context switching between code review and pipeline management that characterised second-generation workflows [21]. This generation introduces marketplace ecosystems of reusable workflow components, event-driven automation across the full software development lifecycle, and AI-assisted configuration generation. GitHub Actions represents the most commercially significant example of this generation, benefiting from </w:t>
      </w:r>
      <w:r w:rsidRPr="00844FEC">
        <w:rPr>
          <w:rFonts w:ascii="Times New Roman" w:hAnsi="Times New Roman" w:cs="Times New Roman"/>
        </w:rPr>
        <w:lastRenderedPageBreak/>
        <w:t>GitHub's dominant position in the source control market and the network effects generated by its 100 million developer user base as of 2025.</w:t>
      </w:r>
    </w:p>
    <w:p w14:paraId="0B3A2823"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The convergence of source control and CI/CD in a single platform represents a fundamental shift in the tooling landscape with significant implications for vendor lock-in, ecosystem effects, and migration costs. Rostami </w:t>
      </w:r>
      <w:proofErr w:type="spellStart"/>
      <w:r w:rsidRPr="00844FEC">
        <w:rPr>
          <w:rFonts w:ascii="Times New Roman" w:hAnsi="Times New Roman" w:cs="Times New Roman"/>
        </w:rPr>
        <w:t>Mazrae</w:t>
      </w:r>
      <w:proofErr w:type="spellEnd"/>
      <w:r w:rsidRPr="00844FEC">
        <w:rPr>
          <w:rFonts w:ascii="Times New Roman" w:hAnsi="Times New Roman" w:cs="Times New Roman"/>
        </w:rPr>
        <w:t xml:space="preserve"> et al. [8] document the increasing co-usage of CI/CD tools and their associated ecosystems, finding that GitHub Actions adoption correlates strongly with adoption of GitHub's broader product suite, including GitHub Packages, GitHub Security, and GitHub Copilot, creating a platform gravity effect that increases switching costs and reinforces adoption patterns. This phenomenon has important implications for the long-term TCO analysis, as ecosystem lock-in costs are frequently omitted from headline pricing comparisons.</w:t>
      </w:r>
    </w:p>
    <w:p w14:paraId="51228547" w14:textId="77777777" w:rsidR="00BD21A1" w:rsidRPr="00844FEC" w:rsidRDefault="00000000" w:rsidP="00844FEC">
      <w:pPr>
        <w:pStyle w:val="Heading2"/>
        <w:spacing w:line="360" w:lineRule="auto"/>
        <w:rPr>
          <w:rFonts w:ascii="Times New Roman" w:hAnsi="Times New Roman" w:cs="Times New Roman"/>
          <w:color w:val="auto"/>
        </w:rPr>
      </w:pPr>
      <w:r w:rsidRPr="00844FEC">
        <w:rPr>
          <w:rFonts w:ascii="Times New Roman" w:hAnsi="Times New Roman" w:cs="Times New Roman"/>
          <w:color w:val="auto"/>
        </w:rPr>
        <w:t>4.5 Critical Evaluation Dimensions</w:t>
      </w:r>
    </w:p>
    <w:p w14:paraId="345FE855"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Based on the theoretical literature review and the current state analysis presented in Chapter 3, five evaluation dimensions are identified as critical for a comprehensive CI/CD platform comparison. Each dimension is grounded in theoretical constructs and operationalised through specific metrics within the proposed research framework.</w:t>
      </w:r>
    </w:p>
    <w:p w14:paraId="5E60E22A" w14:textId="77777777" w:rsidR="00BD21A1" w:rsidRPr="00844FEC" w:rsidRDefault="00000000" w:rsidP="00844FEC">
      <w:pPr>
        <w:pStyle w:val="Heading3"/>
        <w:spacing w:line="360" w:lineRule="auto"/>
        <w:rPr>
          <w:rFonts w:ascii="Times New Roman" w:hAnsi="Times New Roman" w:cs="Times New Roman"/>
          <w:color w:val="auto"/>
        </w:rPr>
      </w:pPr>
      <w:r w:rsidRPr="00844FEC">
        <w:rPr>
          <w:rFonts w:ascii="Times New Roman" w:hAnsi="Times New Roman" w:cs="Times New Roman"/>
          <w:color w:val="auto"/>
        </w:rPr>
        <w:t>4.5.1 Build Performance</w:t>
      </w:r>
    </w:p>
    <w:p w14:paraId="45D14491"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Build performance is the primary dimension for practitioner decision-making, directly influencing the Lead Time for Changes DORA metric. Performance encompasses three sub-dimensions: raw build speed measured as total pipeline duration from trigger to completion, queue latency measured as the elapsed time between pipeline trigger and job start, and resource efficiency measured as CPU and memory utilisation relative to build throughput. Performance must be evaluated under multiple caching and parallelism conditions to reflect realistic operational scenarios, as the relative performance of platforms varies substantially between cold builds that exercise dependency installation and warm builds that benefit from cached dependencies [26].</w:t>
      </w:r>
    </w:p>
    <w:p w14:paraId="08404A51"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Caching mechanism effectiveness is a particularly important performance sub-dimension for cloud-native platforms, where dependency installation can account for 30 to 60 percent of total build time. GitHub Actions' actions/cache mechanism, </w:t>
      </w:r>
      <w:proofErr w:type="spellStart"/>
      <w:r w:rsidRPr="00844FEC">
        <w:rPr>
          <w:rFonts w:ascii="Times New Roman" w:hAnsi="Times New Roman" w:cs="Times New Roman"/>
        </w:rPr>
        <w:t>CircleCI's</w:t>
      </w:r>
      <w:proofErr w:type="spellEnd"/>
      <w:r w:rsidRPr="00844FEC">
        <w:rPr>
          <w:rFonts w:ascii="Times New Roman" w:hAnsi="Times New Roman" w:cs="Times New Roman"/>
        </w:rPr>
        <w:t xml:space="preserve"> advanced cache layers, and Jenkins' workspace caching plugin employ different cache keying strategies and </w:t>
      </w:r>
      <w:r w:rsidRPr="00844FEC">
        <w:rPr>
          <w:rFonts w:ascii="Times New Roman" w:hAnsi="Times New Roman" w:cs="Times New Roman"/>
        </w:rPr>
        <w:lastRenderedPageBreak/>
        <w:t>storage backends that produce different cache hit rates and restoration times across build configurations [22]. Parallelism capability, enabling concurrent execution of independent job steps across multiple runner instances, is a second important performance sub-dimension that can reduce total pipeline duration by a factor proportional to the degree of parallelism achieved, subject to the serial bottlenecks identified by Amdahl's Law.</w:t>
      </w:r>
    </w:p>
    <w:p w14:paraId="256FBE86" w14:textId="77777777" w:rsidR="00BD21A1" w:rsidRPr="00844FEC" w:rsidRDefault="00000000" w:rsidP="00844FEC">
      <w:pPr>
        <w:pStyle w:val="Heading3"/>
        <w:spacing w:line="360" w:lineRule="auto"/>
        <w:rPr>
          <w:rFonts w:ascii="Times New Roman" w:hAnsi="Times New Roman" w:cs="Times New Roman"/>
          <w:color w:val="auto"/>
        </w:rPr>
      </w:pPr>
      <w:r w:rsidRPr="00844FEC">
        <w:rPr>
          <w:rFonts w:ascii="Times New Roman" w:hAnsi="Times New Roman" w:cs="Times New Roman"/>
          <w:color w:val="auto"/>
        </w:rPr>
        <w:t>4.5.2 Reliability</w:t>
      </w:r>
    </w:p>
    <w:p w14:paraId="4AECDDE4" w14:textId="295CC9EE"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Reliability, measured through pipeline success rate, MTTR, and MTTF, captures the dependability of the CI/CD platform under normal operational conditions and following intentionally injected failures. High reliability is essential for maintaining the Change Failure Rate and Time to Restore Service DORA metrics at elite levels. Reliability must be evaluated longitudinally across multiple build runs rather than through point-in-time </w:t>
      </w:r>
      <w:r w:rsidR="003A6A80" w:rsidRPr="00844FEC">
        <w:rPr>
          <w:rFonts w:ascii="Times New Roman" w:hAnsi="Times New Roman" w:cs="Times New Roman"/>
        </w:rPr>
        <w:t>assessment and</w:t>
      </w:r>
      <w:r w:rsidRPr="00844FEC">
        <w:rPr>
          <w:rFonts w:ascii="Times New Roman" w:hAnsi="Times New Roman" w:cs="Times New Roman"/>
        </w:rPr>
        <w:t xml:space="preserve"> must account for the different failure modes of managed cloud platforms, including infrastructure outages and runner unavailability, versus self-hosted installations, including server maintenance windows and plugin conflicts [25].</w:t>
      </w:r>
    </w:p>
    <w:p w14:paraId="7C094B0B"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The distinction between inherent platform reliability and reliability as experienced by users is important. A platform may have high infrastructure uptime whilst exhibiting poor user-experienced reliability due to flaky test execution environments, inconsistent caching behaviour, or non-deterministic resource allocation. The experimental protocol employed in this research, which includes intentional failure injection and measurement of MTTR and MTTF, captures user-experienced reliability rather than infrastructure-level uptime metrics, providing a more practically relevant reliability assessment.</w:t>
      </w:r>
    </w:p>
    <w:p w14:paraId="0B90CF53" w14:textId="77777777" w:rsidR="00BD21A1" w:rsidRPr="00844FEC" w:rsidRDefault="00000000" w:rsidP="00844FEC">
      <w:pPr>
        <w:pStyle w:val="Heading3"/>
        <w:spacing w:line="360" w:lineRule="auto"/>
        <w:rPr>
          <w:rFonts w:ascii="Times New Roman" w:hAnsi="Times New Roman" w:cs="Times New Roman"/>
          <w:color w:val="auto"/>
        </w:rPr>
      </w:pPr>
      <w:r w:rsidRPr="00844FEC">
        <w:rPr>
          <w:rFonts w:ascii="Times New Roman" w:hAnsi="Times New Roman" w:cs="Times New Roman"/>
          <w:color w:val="auto"/>
        </w:rPr>
        <w:t>4.5.3 Total Cost of Ownership</w:t>
      </w:r>
    </w:p>
    <w:p w14:paraId="4D6E4D09"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Total cost of ownership encompasses the full financial cost of operating each platform, including subscription fees, compute infrastructure costs, operational labour costs for setup and maintenance, and the opportunity costs associated with build inefficiencies that reduce developer productivity. TCO is highly context-dependent and must be modelled across multiple usage scenarios and team sizes to produce actionable comparative guidance [11]. The pricing structure of cloud-native platforms, based on consumed compute minutes at rates determined by resource class, creates non-linear cost curves that may favour self-hosted alternatives at very high build volumes despite the higher operational overhead of Jenkins.</w:t>
      </w:r>
    </w:p>
    <w:p w14:paraId="1B8E40B7"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lastRenderedPageBreak/>
        <w:t xml:space="preserve">A frequently overlooked component of CI/CD TCO is the cost of developer time spent maintaining pipeline configurations, troubleshooting build failures, and managing platform-specific dependencies. </w:t>
      </w:r>
      <w:proofErr w:type="spellStart"/>
      <w:r w:rsidRPr="00844FEC">
        <w:rPr>
          <w:rFonts w:ascii="Times New Roman" w:hAnsi="Times New Roman" w:cs="Times New Roman"/>
        </w:rPr>
        <w:t>Lwakatare</w:t>
      </w:r>
      <w:proofErr w:type="spellEnd"/>
      <w:r w:rsidRPr="00844FEC">
        <w:rPr>
          <w:rFonts w:ascii="Times New Roman" w:hAnsi="Times New Roman" w:cs="Times New Roman"/>
        </w:rPr>
        <w:t xml:space="preserve"> et al. [11] estimate that the operational overhead of a self-hosted Jenkins instance, including initial setup, ongoing maintenance, plugin management, and security patching, requires between 0.25 and 0.5 full-time equivalent (FTE) per year for a medium-sized development team, representing a substantial hidden cost that is absent from cloud-native platform TCO calculations. This operational overhead cost must be incorporated into any honest comparative TCO assessment.</w:t>
      </w:r>
    </w:p>
    <w:p w14:paraId="3B557C48" w14:textId="77777777" w:rsidR="00BD21A1" w:rsidRPr="00844FEC" w:rsidRDefault="00000000" w:rsidP="00844FEC">
      <w:pPr>
        <w:pStyle w:val="Heading3"/>
        <w:spacing w:line="360" w:lineRule="auto"/>
        <w:rPr>
          <w:rFonts w:ascii="Times New Roman" w:hAnsi="Times New Roman" w:cs="Times New Roman"/>
          <w:color w:val="auto"/>
        </w:rPr>
      </w:pPr>
      <w:r w:rsidRPr="00844FEC">
        <w:rPr>
          <w:rFonts w:ascii="Times New Roman" w:hAnsi="Times New Roman" w:cs="Times New Roman"/>
          <w:color w:val="auto"/>
        </w:rPr>
        <w:t>4.5.4 Developer Usability</w:t>
      </w:r>
    </w:p>
    <w:p w14:paraId="598D9ACA"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Developer usability, assessed through the System Usability Scale and supplementary task completion metrics, captures the ease with which developers can configure, operate, and troubleshoot CI/CD pipelines. Usability influences developer productivity, onboarding time for new team members, and the likelihood of pipeline maintenance debt accumulating due to overly complex or opaque configurations [17]. Configuration complexity, measured by lines of pipeline configuration code per logical stage and by the cognitive load imposed by platform-specific syntax and abstractions, provides a quantitative proxy for usability that can be assessed independently of subjective perception.</w:t>
      </w:r>
    </w:p>
    <w:p w14:paraId="28781FE9"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The SUS instrument, selected for its psychometric rigour and domain-agnostic design, captures the holistic usability experience including learnability, efficiency, memorability, error recovery, and satisfaction [18]. SUS scores are interpreted using Bangor et al.'s adjective rating scale, where scores above 85 are classified as excellent, 71 to 85 as good, 51 to 70 as fair, and below 51 as poor. The purposive sampling strategy targeting developers without prior platform experience ensures that SUS scores reflect genuine learnability rather than familiarity effects that would confound cross-platform comparison.</w:t>
      </w:r>
    </w:p>
    <w:p w14:paraId="236CF008" w14:textId="77777777" w:rsidR="00BD21A1" w:rsidRPr="00844FEC" w:rsidRDefault="00000000" w:rsidP="00844FEC">
      <w:pPr>
        <w:pStyle w:val="Heading3"/>
        <w:spacing w:line="360" w:lineRule="auto"/>
        <w:rPr>
          <w:rFonts w:ascii="Times New Roman" w:hAnsi="Times New Roman" w:cs="Times New Roman"/>
          <w:color w:val="auto"/>
        </w:rPr>
      </w:pPr>
      <w:r w:rsidRPr="00844FEC">
        <w:rPr>
          <w:rFonts w:ascii="Times New Roman" w:hAnsi="Times New Roman" w:cs="Times New Roman"/>
          <w:color w:val="auto"/>
        </w:rPr>
        <w:t>4.5.5 Integration Capability</w:t>
      </w:r>
    </w:p>
    <w:p w14:paraId="25413A33"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Integration capability encompasses the breadth and depth of integrations with version control systems, cloud deployment targets, testing frameworks, artefact registries, security scanning tools, and notification systems. Integration capability is evaluated through a structured scoring rubric applied consistently to vendor documentation, the platform's native integration marketplace, and functional testing of key integration scenarios [16]. The rubric assesses integration depth (whether the integration is native or plugin-based), </w:t>
      </w:r>
      <w:r w:rsidRPr="00844FEC">
        <w:rPr>
          <w:rFonts w:ascii="Times New Roman" w:hAnsi="Times New Roman" w:cs="Times New Roman"/>
        </w:rPr>
        <w:lastRenderedPageBreak/>
        <w:t>reliability (whether the integration is actively maintained and version-compatible), and configuration complexity (the effort required to implement and maintain the integration).</w:t>
      </w:r>
    </w:p>
    <w:p w14:paraId="52628174"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 xml:space="preserve">GitHub Actions' advantage in GitHub ecosystem integration, </w:t>
      </w:r>
      <w:proofErr w:type="spellStart"/>
      <w:r w:rsidRPr="00844FEC">
        <w:rPr>
          <w:rFonts w:ascii="Times New Roman" w:hAnsi="Times New Roman" w:cs="Times New Roman"/>
        </w:rPr>
        <w:t>CircleCI's</w:t>
      </w:r>
      <w:proofErr w:type="spellEnd"/>
      <w:r w:rsidRPr="00844FEC">
        <w:rPr>
          <w:rFonts w:ascii="Times New Roman" w:hAnsi="Times New Roman" w:cs="Times New Roman"/>
        </w:rPr>
        <w:t xml:space="preserve"> strength in Docker and container registry integrations, and Jenkins' breadth in legacy enterprise tool integrations represent distinct integration profiles that are differentially valuable across organisational contexts. An organisation operating entirely within the GitHub ecosystem derives substantially more value from native GitHub Actions integrations than one operating in a multi-VCS environment where Jenkins' platform-agnostic plugin ecosystem provides a significant advantage. This context-dependence of integration capability assessment further reinforces the need for the context-specific comparative framework proposed in this research.</w:t>
      </w:r>
    </w:p>
    <w:p w14:paraId="2DA0628A" w14:textId="77777777" w:rsidR="00BD21A1" w:rsidRPr="00844FEC" w:rsidRDefault="00000000" w:rsidP="00844FEC">
      <w:pPr>
        <w:spacing w:line="360" w:lineRule="auto"/>
        <w:rPr>
          <w:rFonts w:ascii="Times New Roman" w:hAnsi="Times New Roman" w:cs="Times New Roman"/>
        </w:rPr>
      </w:pPr>
      <w:r w:rsidRPr="00844FEC">
        <w:rPr>
          <w:rFonts w:ascii="Times New Roman" w:hAnsi="Times New Roman" w:cs="Times New Roman"/>
        </w:rPr>
        <w:br w:type="page"/>
      </w:r>
    </w:p>
    <w:p w14:paraId="7CF117C7" w14:textId="77777777" w:rsidR="00BD21A1" w:rsidRPr="00844FEC" w:rsidRDefault="00000000" w:rsidP="00844FEC">
      <w:pPr>
        <w:pStyle w:val="Heading1"/>
        <w:spacing w:line="360" w:lineRule="auto"/>
        <w:rPr>
          <w:rFonts w:ascii="Times New Roman" w:hAnsi="Times New Roman" w:cs="Times New Roman"/>
          <w:color w:val="auto"/>
        </w:rPr>
      </w:pPr>
      <w:r w:rsidRPr="00844FEC">
        <w:rPr>
          <w:rFonts w:ascii="Times New Roman" w:hAnsi="Times New Roman" w:cs="Times New Roman"/>
          <w:color w:val="auto"/>
        </w:rPr>
        <w:lastRenderedPageBreak/>
        <w:t>References</w:t>
      </w:r>
    </w:p>
    <w:p w14:paraId="482A30B8"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[1]</w:t>
      </w:r>
      <w:r w:rsidRPr="00844FEC">
        <w:rPr>
          <w:rFonts w:ascii="Times New Roman" w:hAnsi="Times New Roman" w:cs="Times New Roman"/>
        </w:rPr>
        <w:tab/>
        <w:t>N. Forsgren, J. Humble, and G. Kim, Accelerate: The Science of Lean Software and DevOps: Building and Scaling High Performing Technology Organizations. Portland, OR: IT Revolution Press, 2018.</w:t>
      </w:r>
    </w:p>
    <w:p w14:paraId="159BCD66"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[2]</w:t>
      </w:r>
      <w:r w:rsidRPr="00844FEC">
        <w:rPr>
          <w:rFonts w:ascii="Times New Roman" w:hAnsi="Times New Roman" w:cs="Times New Roman"/>
        </w:rPr>
        <w:tab/>
        <w:t xml:space="preserve">M. Shahin, M. A. Babar, and L. Zhu, "Continuous integration, delivery and deployment: A systematic review on approaches, tools, challenges and practices," IEEE Access, vol. 5, pp. 3909-3943, 2017, </w:t>
      </w:r>
      <w:proofErr w:type="spellStart"/>
      <w:r w:rsidRPr="00844FEC">
        <w:rPr>
          <w:rFonts w:ascii="Times New Roman" w:hAnsi="Times New Roman" w:cs="Times New Roman"/>
        </w:rPr>
        <w:t>doi</w:t>
      </w:r>
      <w:proofErr w:type="spellEnd"/>
      <w:r w:rsidRPr="00844FEC">
        <w:rPr>
          <w:rFonts w:ascii="Times New Roman" w:hAnsi="Times New Roman" w:cs="Times New Roman"/>
        </w:rPr>
        <w:t>: 10.1109/ACCESS.2017.2685629.</w:t>
      </w:r>
    </w:p>
    <w:p w14:paraId="152391A2"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[3]</w:t>
      </w:r>
      <w:r w:rsidRPr="00844FEC">
        <w:rPr>
          <w:rFonts w:ascii="Times New Roman" w:hAnsi="Times New Roman" w:cs="Times New Roman"/>
        </w:rPr>
        <w:tab/>
        <w:t>J. Humble and D. Farley, Continuous Delivery: Reliable Software Releases through Build, Test, and Deployment Automation. Upper Saddle River, NJ: Addison-Wesley, 2010.</w:t>
      </w:r>
    </w:p>
    <w:p w14:paraId="1096A396"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[4]</w:t>
      </w:r>
      <w:r w:rsidRPr="00844FEC">
        <w:rPr>
          <w:rFonts w:ascii="Times New Roman" w:hAnsi="Times New Roman" w:cs="Times New Roman"/>
        </w:rPr>
        <w:tab/>
        <w:t>Mordor Intelligence, "Continuous Integration Tools Market Size and Share Analysis," Industry Report, 2025. [Online]. Available: https://www.mordorintelligence.com</w:t>
      </w:r>
    </w:p>
    <w:p w14:paraId="7E0E59A6"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[5]</w:t>
      </w:r>
      <w:r w:rsidRPr="00844FEC">
        <w:rPr>
          <w:rFonts w:ascii="Times New Roman" w:hAnsi="Times New Roman" w:cs="Times New Roman"/>
        </w:rPr>
        <w:tab/>
        <w:t xml:space="preserve">R. Leszko, Continuous Delivery with Docker and Jenkins: Create Secure Applications by Building Complete CI/CD Pipelines, 3rd ed. Birmingham, UK: </w:t>
      </w:r>
      <w:proofErr w:type="spellStart"/>
      <w:r w:rsidRPr="00844FEC">
        <w:rPr>
          <w:rFonts w:ascii="Times New Roman" w:hAnsi="Times New Roman" w:cs="Times New Roman"/>
        </w:rPr>
        <w:t>Packt</w:t>
      </w:r>
      <w:proofErr w:type="spellEnd"/>
      <w:r w:rsidRPr="00844FEC">
        <w:rPr>
          <w:rFonts w:ascii="Times New Roman" w:hAnsi="Times New Roman" w:cs="Times New Roman"/>
        </w:rPr>
        <w:t xml:space="preserve"> Publishing, 2022.</w:t>
      </w:r>
    </w:p>
    <w:p w14:paraId="0792434C"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[6]</w:t>
      </w:r>
      <w:r w:rsidRPr="00844FEC">
        <w:rPr>
          <w:rFonts w:ascii="Times New Roman" w:hAnsi="Times New Roman" w:cs="Times New Roman"/>
        </w:rPr>
        <w:tab/>
        <w:t>Stack Overflow, "Stack Overflow Developer Survey 2024," Survey Report, 2024. [Online]. Available: https://survey.stackoverflow.co/2024/</w:t>
      </w:r>
    </w:p>
    <w:p w14:paraId="112C762E"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[7]</w:t>
      </w:r>
      <w:r w:rsidRPr="00844FEC">
        <w:rPr>
          <w:rFonts w:ascii="Times New Roman" w:hAnsi="Times New Roman" w:cs="Times New Roman"/>
        </w:rPr>
        <w:tab/>
        <w:t xml:space="preserve">P. Rodriguez, L. E. </w:t>
      </w:r>
      <w:proofErr w:type="spellStart"/>
      <w:r w:rsidRPr="00844FEC">
        <w:rPr>
          <w:rFonts w:ascii="Times New Roman" w:hAnsi="Times New Roman" w:cs="Times New Roman"/>
        </w:rPr>
        <w:t>Lwakatare</w:t>
      </w:r>
      <w:proofErr w:type="spellEnd"/>
      <w:r w:rsidRPr="00844FEC">
        <w:rPr>
          <w:rFonts w:ascii="Times New Roman" w:hAnsi="Times New Roman" w:cs="Times New Roman"/>
        </w:rPr>
        <w:t xml:space="preserve">, P. Kuvaja, M. </w:t>
      </w:r>
      <w:proofErr w:type="spellStart"/>
      <w:r w:rsidRPr="00844FEC">
        <w:rPr>
          <w:rFonts w:ascii="Times New Roman" w:hAnsi="Times New Roman" w:cs="Times New Roman"/>
        </w:rPr>
        <w:t>Oivo</w:t>
      </w:r>
      <w:proofErr w:type="spellEnd"/>
      <w:r w:rsidRPr="00844FEC">
        <w:rPr>
          <w:rFonts w:ascii="Times New Roman" w:hAnsi="Times New Roman" w:cs="Times New Roman"/>
        </w:rPr>
        <w:t xml:space="preserve">, and J. Markkula, "Continuous deployment of software intensive products and services: A systematic mapping study," J. Syst. </w:t>
      </w:r>
      <w:proofErr w:type="spellStart"/>
      <w:r w:rsidRPr="00844FEC">
        <w:rPr>
          <w:rFonts w:ascii="Times New Roman" w:hAnsi="Times New Roman" w:cs="Times New Roman"/>
        </w:rPr>
        <w:t>Softw</w:t>
      </w:r>
      <w:proofErr w:type="spellEnd"/>
      <w:r w:rsidRPr="00844FEC">
        <w:rPr>
          <w:rFonts w:ascii="Times New Roman" w:hAnsi="Times New Roman" w:cs="Times New Roman"/>
        </w:rPr>
        <w:t xml:space="preserve">., vol. 123, pp. 263-291, 2017, </w:t>
      </w:r>
      <w:proofErr w:type="spellStart"/>
      <w:r w:rsidRPr="00844FEC">
        <w:rPr>
          <w:rFonts w:ascii="Times New Roman" w:hAnsi="Times New Roman" w:cs="Times New Roman"/>
        </w:rPr>
        <w:t>doi</w:t>
      </w:r>
      <w:proofErr w:type="spellEnd"/>
      <w:r w:rsidRPr="00844FEC">
        <w:rPr>
          <w:rFonts w:ascii="Times New Roman" w:hAnsi="Times New Roman" w:cs="Times New Roman"/>
        </w:rPr>
        <w:t>: 10.1016/j.jss.2015.12.015.</w:t>
      </w:r>
    </w:p>
    <w:p w14:paraId="71BE85B2"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[8]</w:t>
      </w:r>
      <w:r w:rsidRPr="00844FEC">
        <w:rPr>
          <w:rFonts w:ascii="Times New Roman" w:hAnsi="Times New Roman" w:cs="Times New Roman"/>
        </w:rPr>
        <w:tab/>
        <w:t xml:space="preserve">P. Rostami Mazrae, T. </w:t>
      </w:r>
      <w:proofErr w:type="spellStart"/>
      <w:r w:rsidRPr="00844FEC">
        <w:rPr>
          <w:rFonts w:ascii="Times New Roman" w:hAnsi="Times New Roman" w:cs="Times New Roman"/>
        </w:rPr>
        <w:t>Mens</w:t>
      </w:r>
      <w:proofErr w:type="spellEnd"/>
      <w:r w:rsidRPr="00844FEC">
        <w:rPr>
          <w:rFonts w:ascii="Times New Roman" w:hAnsi="Times New Roman" w:cs="Times New Roman"/>
        </w:rPr>
        <w:t xml:space="preserve">, M. </w:t>
      </w:r>
      <w:proofErr w:type="spellStart"/>
      <w:r w:rsidRPr="00844FEC">
        <w:rPr>
          <w:rFonts w:ascii="Times New Roman" w:hAnsi="Times New Roman" w:cs="Times New Roman"/>
        </w:rPr>
        <w:t>Golzadeh</w:t>
      </w:r>
      <w:proofErr w:type="spellEnd"/>
      <w:r w:rsidRPr="00844FEC">
        <w:rPr>
          <w:rFonts w:ascii="Times New Roman" w:hAnsi="Times New Roman" w:cs="Times New Roman"/>
        </w:rPr>
        <w:t xml:space="preserve">, and A. Decan, "On the usage, co-usage and migration of CI/CD tools: A qualitative analysis," Empirical </w:t>
      </w:r>
      <w:proofErr w:type="spellStart"/>
      <w:r w:rsidRPr="00844FEC">
        <w:rPr>
          <w:rFonts w:ascii="Times New Roman" w:hAnsi="Times New Roman" w:cs="Times New Roman"/>
        </w:rPr>
        <w:t>Softw</w:t>
      </w:r>
      <w:proofErr w:type="spellEnd"/>
      <w:r w:rsidRPr="00844FEC">
        <w:rPr>
          <w:rFonts w:ascii="Times New Roman" w:hAnsi="Times New Roman" w:cs="Times New Roman"/>
        </w:rPr>
        <w:t xml:space="preserve">. Eng., vol. 28, no. 2, p. 52, 2023, </w:t>
      </w:r>
      <w:proofErr w:type="spellStart"/>
      <w:r w:rsidRPr="00844FEC">
        <w:rPr>
          <w:rFonts w:ascii="Times New Roman" w:hAnsi="Times New Roman" w:cs="Times New Roman"/>
        </w:rPr>
        <w:t>doi</w:t>
      </w:r>
      <w:proofErr w:type="spellEnd"/>
      <w:r w:rsidRPr="00844FEC">
        <w:rPr>
          <w:rFonts w:ascii="Times New Roman" w:hAnsi="Times New Roman" w:cs="Times New Roman"/>
        </w:rPr>
        <w:t>: 10.1007/s10664-022-10285-5.</w:t>
      </w:r>
    </w:p>
    <w:p w14:paraId="351BE657"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[9]</w:t>
      </w:r>
      <w:r w:rsidRPr="00844FEC">
        <w:rPr>
          <w:rFonts w:ascii="Times New Roman" w:hAnsi="Times New Roman" w:cs="Times New Roman"/>
        </w:rPr>
        <w:tab/>
        <w:t xml:space="preserve">F. Zampetti, S. Geremia, G. Bavota, and M. </w:t>
      </w:r>
      <w:proofErr w:type="gramStart"/>
      <w:r w:rsidRPr="00844FEC">
        <w:rPr>
          <w:rFonts w:ascii="Times New Roman" w:hAnsi="Times New Roman" w:cs="Times New Roman"/>
        </w:rPr>
        <w:t>Di</w:t>
      </w:r>
      <w:proofErr w:type="gramEnd"/>
      <w:r w:rsidRPr="00844FEC">
        <w:rPr>
          <w:rFonts w:ascii="Times New Roman" w:hAnsi="Times New Roman" w:cs="Times New Roman"/>
        </w:rPr>
        <w:t xml:space="preserve"> Penta, "CI/CD pipelines evolution and restructuring: A qualitative and quantitative study," in Proc. IEEE Int. Conf. </w:t>
      </w:r>
      <w:proofErr w:type="spellStart"/>
      <w:r w:rsidRPr="00844FEC">
        <w:rPr>
          <w:rFonts w:ascii="Times New Roman" w:hAnsi="Times New Roman" w:cs="Times New Roman"/>
        </w:rPr>
        <w:t>Softw</w:t>
      </w:r>
      <w:proofErr w:type="spellEnd"/>
      <w:r w:rsidRPr="00844FEC">
        <w:rPr>
          <w:rFonts w:ascii="Times New Roman" w:hAnsi="Times New Roman" w:cs="Times New Roman"/>
        </w:rPr>
        <w:t xml:space="preserve">. Maintenance Evol. (ICSME), 2021, pp. 471-482, </w:t>
      </w:r>
      <w:proofErr w:type="spellStart"/>
      <w:r w:rsidRPr="00844FEC">
        <w:rPr>
          <w:rFonts w:ascii="Times New Roman" w:hAnsi="Times New Roman" w:cs="Times New Roman"/>
        </w:rPr>
        <w:t>doi</w:t>
      </w:r>
      <w:proofErr w:type="spellEnd"/>
      <w:r w:rsidRPr="00844FEC">
        <w:rPr>
          <w:rFonts w:ascii="Times New Roman" w:hAnsi="Times New Roman" w:cs="Times New Roman"/>
        </w:rPr>
        <w:t>: 10.1109/ICSME52107.2021.00048.</w:t>
      </w:r>
    </w:p>
    <w:p w14:paraId="0A606802"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[10]</w:t>
      </w:r>
      <w:r w:rsidRPr="00844FEC">
        <w:rPr>
          <w:rFonts w:ascii="Times New Roman" w:hAnsi="Times New Roman" w:cs="Times New Roman"/>
        </w:rPr>
        <w:tab/>
        <w:t xml:space="preserve">C. Singh, N. S. Gaba, M. Kaur, and B. Kaur, "Comparison of different CI/CD tools integrated with cloud platform," in Proc. 9th Int. Conf. Cloud </w:t>
      </w:r>
      <w:proofErr w:type="spellStart"/>
      <w:r w:rsidRPr="00844FEC">
        <w:rPr>
          <w:rFonts w:ascii="Times New Roman" w:hAnsi="Times New Roman" w:cs="Times New Roman"/>
        </w:rPr>
        <w:t>Comput</w:t>
      </w:r>
      <w:proofErr w:type="spellEnd"/>
      <w:r w:rsidRPr="00844FEC">
        <w:rPr>
          <w:rFonts w:ascii="Times New Roman" w:hAnsi="Times New Roman" w:cs="Times New Roman"/>
        </w:rPr>
        <w:t xml:space="preserve">., Data Sci. Eng. (Confluence), 2019, pp. 7-12, </w:t>
      </w:r>
      <w:proofErr w:type="spellStart"/>
      <w:r w:rsidRPr="00844FEC">
        <w:rPr>
          <w:rFonts w:ascii="Times New Roman" w:hAnsi="Times New Roman" w:cs="Times New Roman"/>
        </w:rPr>
        <w:t>doi</w:t>
      </w:r>
      <w:proofErr w:type="spellEnd"/>
      <w:r w:rsidRPr="00844FEC">
        <w:rPr>
          <w:rFonts w:ascii="Times New Roman" w:hAnsi="Times New Roman" w:cs="Times New Roman"/>
        </w:rPr>
        <w:t>: 10.1109/CONFLUENCE.2019.8776985.</w:t>
      </w:r>
    </w:p>
    <w:p w14:paraId="2F82C462"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lastRenderedPageBreak/>
        <w:t>[11]</w:t>
      </w:r>
      <w:r w:rsidRPr="00844FEC">
        <w:rPr>
          <w:rFonts w:ascii="Times New Roman" w:hAnsi="Times New Roman" w:cs="Times New Roman"/>
        </w:rPr>
        <w:tab/>
        <w:t xml:space="preserve">L. E. </w:t>
      </w:r>
      <w:proofErr w:type="spellStart"/>
      <w:r w:rsidRPr="00844FEC">
        <w:rPr>
          <w:rFonts w:ascii="Times New Roman" w:hAnsi="Times New Roman" w:cs="Times New Roman"/>
        </w:rPr>
        <w:t>Lwakatare</w:t>
      </w:r>
      <w:proofErr w:type="spellEnd"/>
      <w:r w:rsidRPr="00844FEC">
        <w:rPr>
          <w:rFonts w:ascii="Times New Roman" w:hAnsi="Times New Roman" w:cs="Times New Roman"/>
        </w:rPr>
        <w:t xml:space="preserve">, T. Karvonen, T. Sauvola, P. Kuvaja, H. H. Olsson, J. Bosch, and M. </w:t>
      </w:r>
      <w:proofErr w:type="spellStart"/>
      <w:r w:rsidRPr="00844FEC">
        <w:rPr>
          <w:rFonts w:ascii="Times New Roman" w:hAnsi="Times New Roman" w:cs="Times New Roman"/>
        </w:rPr>
        <w:t>Oivo</w:t>
      </w:r>
      <w:proofErr w:type="spellEnd"/>
      <w:r w:rsidRPr="00844FEC">
        <w:rPr>
          <w:rFonts w:ascii="Times New Roman" w:hAnsi="Times New Roman" w:cs="Times New Roman"/>
        </w:rPr>
        <w:t xml:space="preserve">, "Towards DevOps in the embedded systems domain: Why is it so </w:t>
      </w:r>
      <w:proofErr w:type="gramStart"/>
      <w:r w:rsidRPr="00844FEC">
        <w:rPr>
          <w:rFonts w:ascii="Times New Roman" w:hAnsi="Times New Roman" w:cs="Times New Roman"/>
        </w:rPr>
        <w:t>hard?,</w:t>
      </w:r>
      <w:proofErr w:type="gramEnd"/>
      <w:r w:rsidRPr="00844FEC">
        <w:rPr>
          <w:rFonts w:ascii="Times New Roman" w:hAnsi="Times New Roman" w:cs="Times New Roman"/>
        </w:rPr>
        <w:t xml:space="preserve">" in Proc. IEEE Int. Conf. </w:t>
      </w:r>
      <w:proofErr w:type="spellStart"/>
      <w:r w:rsidRPr="00844FEC">
        <w:rPr>
          <w:rFonts w:ascii="Times New Roman" w:hAnsi="Times New Roman" w:cs="Times New Roman"/>
        </w:rPr>
        <w:t>Softw</w:t>
      </w:r>
      <w:proofErr w:type="spellEnd"/>
      <w:r w:rsidRPr="00844FEC">
        <w:rPr>
          <w:rFonts w:ascii="Times New Roman" w:hAnsi="Times New Roman" w:cs="Times New Roman"/>
        </w:rPr>
        <w:t xml:space="preserve">. Sci. Technol. Eng. (SAST), 2016, pp. 76-84, </w:t>
      </w:r>
      <w:proofErr w:type="spellStart"/>
      <w:r w:rsidRPr="00844FEC">
        <w:rPr>
          <w:rFonts w:ascii="Times New Roman" w:hAnsi="Times New Roman" w:cs="Times New Roman"/>
        </w:rPr>
        <w:t>doi</w:t>
      </w:r>
      <w:proofErr w:type="spellEnd"/>
      <w:r w:rsidRPr="00844FEC">
        <w:rPr>
          <w:rFonts w:ascii="Times New Roman" w:hAnsi="Times New Roman" w:cs="Times New Roman"/>
        </w:rPr>
        <w:t>: 10.1109/SAST.2016.7.</w:t>
      </w:r>
    </w:p>
    <w:p w14:paraId="46B4AB28"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[12]</w:t>
      </w:r>
      <w:r w:rsidRPr="00844FEC">
        <w:rPr>
          <w:rFonts w:ascii="Times New Roman" w:hAnsi="Times New Roman" w:cs="Times New Roman"/>
        </w:rPr>
        <w:tab/>
        <w:t>J. W. Creswell and V. L. Plano Clark, Designing and Conducting Mixed Methods Research, 3rd ed. Thousand Oaks, CA: SAGE Publications, 2017.</w:t>
      </w:r>
    </w:p>
    <w:p w14:paraId="1C170948"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[13]</w:t>
      </w:r>
      <w:r w:rsidRPr="00844FEC">
        <w:rPr>
          <w:rFonts w:ascii="Times New Roman" w:hAnsi="Times New Roman" w:cs="Times New Roman"/>
        </w:rPr>
        <w:tab/>
        <w:t xml:space="preserve">C. Wohlin, P. Runeson, M. Host, M. C. Ohlsson, B. </w:t>
      </w:r>
      <w:proofErr w:type="spellStart"/>
      <w:r w:rsidRPr="00844FEC">
        <w:rPr>
          <w:rFonts w:ascii="Times New Roman" w:hAnsi="Times New Roman" w:cs="Times New Roman"/>
        </w:rPr>
        <w:t>Regnell</w:t>
      </w:r>
      <w:proofErr w:type="spellEnd"/>
      <w:r w:rsidRPr="00844FEC">
        <w:rPr>
          <w:rFonts w:ascii="Times New Roman" w:hAnsi="Times New Roman" w:cs="Times New Roman"/>
        </w:rPr>
        <w:t xml:space="preserve">, and A. </w:t>
      </w:r>
      <w:proofErr w:type="spellStart"/>
      <w:r w:rsidRPr="00844FEC">
        <w:rPr>
          <w:rFonts w:ascii="Times New Roman" w:hAnsi="Times New Roman" w:cs="Times New Roman"/>
        </w:rPr>
        <w:t>Wesslen</w:t>
      </w:r>
      <w:proofErr w:type="spellEnd"/>
      <w:r w:rsidRPr="00844FEC">
        <w:rPr>
          <w:rFonts w:ascii="Times New Roman" w:hAnsi="Times New Roman" w:cs="Times New Roman"/>
        </w:rPr>
        <w:t>, Experimentation in Software Engineering. Berlin: Springer, 2012.</w:t>
      </w:r>
    </w:p>
    <w:p w14:paraId="3ACBCA46"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[14]</w:t>
      </w:r>
      <w:r w:rsidRPr="00844FEC">
        <w:rPr>
          <w:rFonts w:ascii="Times New Roman" w:hAnsi="Times New Roman" w:cs="Times New Roman"/>
        </w:rPr>
        <w:tab/>
        <w:t>A. Bryman, Social Research Methods, 5th ed. Oxford: Oxford University Press, 2016.</w:t>
      </w:r>
    </w:p>
    <w:p w14:paraId="371BC555"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[15]</w:t>
      </w:r>
      <w:r w:rsidRPr="00844FEC">
        <w:rPr>
          <w:rFonts w:ascii="Times New Roman" w:hAnsi="Times New Roman" w:cs="Times New Roman"/>
        </w:rPr>
        <w:tab/>
        <w:t>B. Kitchenham and S. Charters, "Guidelines for performing systematic literature reviews in software engineering," Technical Report EBSE-2007-01, Keele University and Durham University, 2007.</w:t>
      </w:r>
    </w:p>
    <w:p w14:paraId="3F6E28EB"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[16]</w:t>
      </w:r>
      <w:r w:rsidRPr="00844FEC">
        <w:rPr>
          <w:rFonts w:ascii="Times New Roman" w:hAnsi="Times New Roman" w:cs="Times New Roman"/>
        </w:rPr>
        <w:tab/>
        <w:t xml:space="preserve">J. C. Bernardo, G. Pinto, and B. Cacho, "How do developers evaluate the usability of CI/CD </w:t>
      </w:r>
      <w:proofErr w:type="gramStart"/>
      <w:r w:rsidRPr="00844FEC">
        <w:rPr>
          <w:rFonts w:ascii="Times New Roman" w:hAnsi="Times New Roman" w:cs="Times New Roman"/>
        </w:rPr>
        <w:t>tools?,</w:t>
      </w:r>
      <w:proofErr w:type="gramEnd"/>
      <w:r w:rsidRPr="00844FEC">
        <w:rPr>
          <w:rFonts w:ascii="Times New Roman" w:hAnsi="Times New Roman" w:cs="Times New Roman"/>
        </w:rPr>
        <w:t xml:space="preserve">" in Proc. IEEE Int. Conf. </w:t>
      </w:r>
      <w:proofErr w:type="spellStart"/>
      <w:r w:rsidRPr="00844FEC">
        <w:rPr>
          <w:rFonts w:ascii="Times New Roman" w:hAnsi="Times New Roman" w:cs="Times New Roman"/>
        </w:rPr>
        <w:t>Softw</w:t>
      </w:r>
      <w:proofErr w:type="spellEnd"/>
      <w:r w:rsidRPr="00844FEC">
        <w:rPr>
          <w:rFonts w:ascii="Times New Roman" w:hAnsi="Times New Roman" w:cs="Times New Roman"/>
        </w:rPr>
        <w:t xml:space="preserve">. Maintenance Evol. (ICSME), 2022, pp. 247-258, </w:t>
      </w:r>
      <w:proofErr w:type="spellStart"/>
      <w:r w:rsidRPr="00844FEC">
        <w:rPr>
          <w:rFonts w:ascii="Times New Roman" w:hAnsi="Times New Roman" w:cs="Times New Roman"/>
        </w:rPr>
        <w:t>doi</w:t>
      </w:r>
      <w:proofErr w:type="spellEnd"/>
      <w:r w:rsidRPr="00844FEC">
        <w:rPr>
          <w:rFonts w:ascii="Times New Roman" w:hAnsi="Times New Roman" w:cs="Times New Roman"/>
        </w:rPr>
        <w:t>: 10.1109/ICSME55016.2022.00031.</w:t>
      </w:r>
    </w:p>
    <w:p w14:paraId="00248D73"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[17]</w:t>
      </w:r>
      <w:r w:rsidRPr="00844FEC">
        <w:rPr>
          <w:rFonts w:ascii="Times New Roman" w:hAnsi="Times New Roman" w:cs="Times New Roman"/>
        </w:rPr>
        <w:tab/>
        <w:t xml:space="preserve">J. Brooke, "SUS: A quick and dirty usability scale," in Usability Evaluation in Industry, P. W. Jordan, B. Thomas, B. A. </w:t>
      </w:r>
      <w:proofErr w:type="spellStart"/>
      <w:r w:rsidRPr="00844FEC">
        <w:rPr>
          <w:rFonts w:ascii="Times New Roman" w:hAnsi="Times New Roman" w:cs="Times New Roman"/>
        </w:rPr>
        <w:t>Weerdmeester</w:t>
      </w:r>
      <w:proofErr w:type="spellEnd"/>
      <w:r w:rsidRPr="00844FEC">
        <w:rPr>
          <w:rFonts w:ascii="Times New Roman" w:hAnsi="Times New Roman" w:cs="Times New Roman"/>
        </w:rPr>
        <w:t>, and I. L. McClelland, Eds. London: Taylor and Francis, 1996, pp. 189-194.</w:t>
      </w:r>
    </w:p>
    <w:p w14:paraId="15533299"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[18]</w:t>
      </w:r>
      <w:r w:rsidRPr="00844FEC">
        <w:rPr>
          <w:rFonts w:ascii="Times New Roman" w:hAnsi="Times New Roman" w:cs="Times New Roman"/>
        </w:rPr>
        <w:tab/>
        <w:t>A. Bangor, P. Kortum, and J. Miller, "Determining what individual SUS scores mean: Adding an adjective rating scale," J. Usability Studies, vol. 4, no. 3, pp. 114-123, 2009.</w:t>
      </w:r>
    </w:p>
    <w:p w14:paraId="33C8C571"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[19]</w:t>
      </w:r>
      <w:r w:rsidRPr="00844FEC">
        <w:rPr>
          <w:rFonts w:ascii="Times New Roman" w:hAnsi="Times New Roman" w:cs="Times New Roman"/>
        </w:rPr>
        <w:tab/>
        <w:t>W. H. Kruskal and W. A. Wallis, "Use of ranks in one-criterion variance analysis," J. Amer. Statistical Assoc., vol. 47, no. 260, pp. 583-621, 1952.</w:t>
      </w:r>
    </w:p>
    <w:p w14:paraId="384B4830"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[20]</w:t>
      </w:r>
      <w:r w:rsidRPr="00844FEC">
        <w:rPr>
          <w:rFonts w:ascii="Times New Roman" w:hAnsi="Times New Roman" w:cs="Times New Roman"/>
        </w:rPr>
        <w:tab/>
        <w:t xml:space="preserve">J. Cohen, Statistical Power Analysis for the </w:t>
      </w:r>
      <w:proofErr w:type="spellStart"/>
      <w:r w:rsidRPr="00844FEC">
        <w:rPr>
          <w:rFonts w:ascii="Times New Roman" w:hAnsi="Times New Roman" w:cs="Times New Roman"/>
        </w:rPr>
        <w:t>Behavioral</w:t>
      </w:r>
      <w:proofErr w:type="spellEnd"/>
      <w:r w:rsidRPr="00844FEC">
        <w:rPr>
          <w:rFonts w:ascii="Times New Roman" w:hAnsi="Times New Roman" w:cs="Times New Roman"/>
        </w:rPr>
        <w:t xml:space="preserve"> Sciences, 2nd ed. Hillsdale, NJ: Lawrence Erlbaum Associates, 1988.</w:t>
      </w:r>
    </w:p>
    <w:p w14:paraId="3B1D3813"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[21]</w:t>
      </w:r>
      <w:r w:rsidRPr="00844FEC">
        <w:rPr>
          <w:rFonts w:ascii="Times New Roman" w:hAnsi="Times New Roman" w:cs="Times New Roman"/>
        </w:rPr>
        <w:tab/>
        <w:t xml:space="preserve">A. Decan, T. </w:t>
      </w:r>
      <w:proofErr w:type="spellStart"/>
      <w:r w:rsidRPr="00844FEC">
        <w:rPr>
          <w:rFonts w:ascii="Times New Roman" w:hAnsi="Times New Roman" w:cs="Times New Roman"/>
        </w:rPr>
        <w:t>Mens</w:t>
      </w:r>
      <w:proofErr w:type="spellEnd"/>
      <w:r w:rsidRPr="00844FEC">
        <w:rPr>
          <w:rFonts w:ascii="Times New Roman" w:hAnsi="Times New Roman" w:cs="Times New Roman"/>
        </w:rPr>
        <w:t xml:space="preserve">, P. R. </w:t>
      </w:r>
      <w:proofErr w:type="spellStart"/>
      <w:r w:rsidRPr="00844FEC">
        <w:rPr>
          <w:rFonts w:ascii="Times New Roman" w:hAnsi="Times New Roman" w:cs="Times New Roman"/>
        </w:rPr>
        <w:t>Mazrae</w:t>
      </w:r>
      <w:proofErr w:type="spellEnd"/>
      <w:r w:rsidRPr="00844FEC">
        <w:rPr>
          <w:rFonts w:ascii="Times New Roman" w:hAnsi="Times New Roman" w:cs="Times New Roman"/>
        </w:rPr>
        <w:t xml:space="preserve">, and M. </w:t>
      </w:r>
      <w:proofErr w:type="spellStart"/>
      <w:r w:rsidRPr="00844FEC">
        <w:rPr>
          <w:rFonts w:ascii="Times New Roman" w:hAnsi="Times New Roman" w:cs="Times New Roman"/>
        </w:rPr>
        <w:t>Golzadeh</w:t>
      </w:r>
      <w:proofErr w:type="spellEnd"/>
      <w:r w:rsidRPr="00844FEC">
        <w:rPr>
          <w:rFonts w:ascii="Times New Roman" w:hAnsi="Times New Roman" w:cs="Times New Roman"/>
        </w:rPr>
        <w:t xml:space="preserve">, "On the use of GitHub Actions in software development repositories," in Proc. 38th IEEE Int. Conf. </w:t>
      </w:r>
      <w:proofErr w:type="spellStart"/>
      <w:r w:rsidRPr="00844FEC">
        <w:rPr>
          <w:rFonts w:ascii="Times New Roman" w:hAnsi="Times New Roman" w:cs="Times New Roman"/>
        </w:rPr>
        <w:t>Softw</w:t>
      </w:r>
      <w:proofErr w:type="spellEnd"/>
      <w:r w:rsidRPr="00844FEC">
        <w:rPr>
          <w:rFonts w:ascii="Times New Roman" w:hAnsi="Times New Roman" w:cs="Times New Roman"/>
        </w:rPr>
        <w:t xml:space="preserve">. Maintenance </w:t>
      </w:r>
      <w:r w:rsidRPr="00844FEC">
        <w:rPr>
          <w:rFonts w:ascii="Times New Roman" w:hAnsi="Times New Roman" w:cs="Times New Roman"/>
        </w:rPr>
        <w:lastRenderedPageBreak/>
        <w:t xml:space="preserve">Evol. (ICSME), Limassol, Cyprus, 2022, pp. 235-245, </w:t>
      </w:r>
      <w:proofErr w:type="spellStart"/>
      <w:r w:rsidRPr="00844FEC">
        <w:rPr>
          <w:rFonts w:ascii="Times New Roman" w:hAnsi="Times New Roman" w:cs="Times New Roman"/>
        </w:rPr>
        <w:t>doi</w:t>
      </w:r>
      <w:proofErr w:type="spellEnd"/>
      <w:r w:rsidRPr="00844FEC">
        <w:rPr>
          <w:rFonts w:ascii="Times New Roman" w:hAnsi="Times New Roman" w:cs="Times New Roman"/>
        </w:rPr>
        <w:t>: 10.1109/ICSME55016.2022.00029.</w:t>
      </w:r>
    </w:p>
    <w:p w14:paraId="6AFCF430"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[22]</w:t>
      </w:r>
      <w:r w:rsidRPr="00844FEC">
        <w:rPr>
          <w:rFonts w:ascii="Times New Roman" w:hAnsi="Times New Roman" w:cs="Times New Roman"/>
        </w:rPr>
        <w:tab/>
      </w:r>
      <w:proofErr w:type="spellStart"/>
      <w:r w:rsidRPr="00844FEC">
        <w:rPr>
          <w:rFonts w:ascii="Times New Roman" w:hAnsi="Times New Roman" w:cs="Times New Roman"/>
        </w:rPr>
        <w:t>Northflank</w:t>
      </w:r>
      <w:proofErr w:type="spellEnd"/>
      <w:r w:rsidRPr="00844FEC">
        <w:rPr>
          <w:rFonts w:ascii="Times New Roman" w:hAnsi="Times New Roman" w:cs="Times New Roman"/>
        </w:rPr>
        <w:t xml:space="preserve">, "GitHub Actions vs Jenkins: Which CI/CD tool is right for </w:t>
      </w:r>
      <w:proofErr w:type="gramStart"/>
      <w:r w:rsidRPr="00844FEC">
        <w:rPr>
          <w:rFonts w:ascii="Times New Roman" w:hAnsi="Times New Roman" w:cs="Times New Roman"/>
        </w:rPr>
        <w:t>you?,</w:t>
      </w:r>
      <w:proofErr w:type="gramEnd"/>
      <w:r w:rsidRPr="00844FEC">
        <w:rPr>
          <w:rFonts w:ascii="Times New Roman" w:hAnsi="Times New Roman" w:cs="Times New Roman"/>
        </w:rPr>
        <w:t>" Technical Blog, 2026. [Online]. Available: https://northflank.com/blog/github-actions-vs-jenkins</w:t>
      </w:r>
    </w:p>
    <w:p w14:paraId="0530B3A0"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[23]</w:t>
      </w:r>
      <w:r w:rsidRPr="00844FEC">
        <w:rPr>
          <w:rFonts w:ascii="Times New Roman" w:hAnsi="Times New Roman" w:cs="Times New Roman"/>
        </w:rPr>
        <w:tab/>
      </w:r>
      <w:proofErr w:type="spellStart"/>
      <w:r w:rsidRPr="00844FEC">
        <w:rPr>
          <w:rFonts w:ascii="Times New Roman" w:hAnsi="Times New Roman" w:cs="Times New Roman"/>
        </w:rPr>
        <w:t>CloudBees</w:t>
      </w:r>
      <w:proofErr w:type="spellEnd"/>
      <w:r w:rsidRPr="00844FEC">
        <w:rPr>
          <w:rFonts w:ascii="Times New Roman" w:hAnsi="Times New Roman" w:cs="Times New Roman"/>
        </w:rPr>
        <w:t>, "</w:t>
      </w:r>
      <w:proofErr w:type="spellStart"/>
      <w:r w:rsidRPr="00844FEC">
        <w:rPr>
          <w:rFonts w:ascii="Times New Roman" w:hAnsi="Times New Roman" w:cs="Times New Roman"/>
        </w:rPr>
        <w:t>CloudBees</w:t>
      </w:r>
      <w:proofErr w:type="spellEnd"/>
      <w:r w:rsidRPr="00844FEC">
        <w:rPr>
          <w:rFonts w:ascii="Times New Roman" w:hAnsi="Times New Roman" w:cs="Times New Roman"/>
        </w:rPr>
        <w:t xml:space="preserve"> CI 2025 Release Notes," Technical Documentation, 2025. [Online]. Available: https://docs.cloudbees.com/docs/cloudbees-ci/latest/release-notes/</w:t>
      </w:r>
    </w:p>
    <w:p w14:paraId="3867C10A"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[24]</w:t>
      </w:r>
      <w:r w:rsidRPr="00844FEC">
        <w:rPr>
          <w:rFonts w:ascii="Times New Roman" w:hAnsi="Times New Roman" w:cs="Times New Roman"/>
        </w:rPr>
        <w:tab/>
        <w:t xml:space="preserve">M. </w:t>
      </w:r>
      <w:proofErr w:type="spellStart"/>
      <w:r w:rsidRPr="00844FEC">
        <w:rPr>
          <w:rFonts w:ascii="Times New Roman" w:hAnsi="Times New Roman" w:cs="Times New Roman"/>
        </w:rPr>
        <w:t>Allamanis</w:t>
      </w:r>
      <w:proofErr w:type="spellEnd"/>
      <w:r w:rsidRPr="00844FEC">
        <w:rPr>
          <w:rFonts w:ascii="Times New Roman" w:hAnsi="Times New Roman" w:cs="Times New Roman"/>
        </w:rPr>
        <w:t xml:space="preserve">, E. T. Barr, P. </w:t>
      </w:r>
      <w:proofErr w:type="spellStart"/>
      <w:r w:rsidRPr="00844FEC">
        <w:rPr>
          <w:rFonts w:ascii="Times New Roman" w:hAnsi="Times New Roman" w:cs="Times New Roman"/>
        </w:rPr>
        <w:t>Devanbu</w:t>
      </w:r>
      <w:proofErr w:type="spellEnd"/>
      <w:r w:rsidRPr="00844FEC">
        <w:rPr>
          <w:rFonts w:ascii="Times New Roman" w:hAnsi="Times New Roman" w:cs="Times New Roman"/>
        </w:rPr>
        <w:t xml:space="preserve">, and C. Sutton, "A survey of machine learning for big code and naturalness," ACM </w:t>
      </w:r>
      <w:proofErr w:type="spellStart"/>
      <w:r w:rsidRPr="00844FEC">
        <w:rPr>
          <w:rFonts w:ascii="Times New Roman" w:hAnsi="Times New Roman" w:cs="Times New Roman"/>
        </w:rPr>
        <w:t>Comput</w:t>
      </w:r>
      <w:proofErr w:type="spellEnd"/>
      <w:r w:rsidRPr="00844FEC">
        <w:rPr>
          <w:rFonts w:ascii="Times New Roman" w:hAnsi="Times New Roman" w:cs="Times New Roman"/>
        </w:rPr>
        <w:t xml:space="preserve">. </w:t>
      </w:r>
      <w:proofErr w:type="spellStart"/>
      <w:r w:rsidRPr="00844FEC">
        <w:rPr>
          <w:rFonts w:ascii="Times New Roman" w:hAnsi="Times New Roman" w:cs="Times New Roman"/>
        </w:rPr>
        <w:t>Surv</w:t>
      </w:r>
      <w:proofErr w:type="spellEnd"/>
      <w:r w:rsidRPr="00844FEC">
        <w:rPr>
          <w:rFonts w:ascii="Times New Roman" w:hAnsi="Times New Roman" w:cs="Times New Roman"/>
        </w:rPr>
        <w:t xml:space="preserve">., vol. 51, no. 4, pp. 1-37, 2018, </w:t>
      </w:r>
      <w:proofErr w:type="spellStart"/>
      <w:r w:rsidRPr="00844FEC">
        <w:rPr>
          <w:rFonts w:ascii="Times New Roman" w:hAnsi="Times New Roman" w:cs="Times New Roman"/>
        </w:rPr>
        <w:t>doi</w:t>
      </w:r>
      <w:proofErr w:type="spellEnd"/>
      <w:r w:rsidRPr="00844FEC">
        <w:rPr>
          <w:rFonts w:ascii="Times New Roman" w:hAnsi="Times New Roman" w:cs="Times New Roman"/>
        </w:rPr>
        <w:t>: 10.1145/3212695.</w:t>
      </w:r>
    </w:p>
    <w:p w14:paraId="7F657425"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[25]</w:t>
      </w:r>
      <w:r w:rsidRPr="00844FEC">
        <w:rPr>
          <w:rFonts w:ascii="Times New Roman" w:hAnsi="Times New Roman" w:cs="Times New Roman"/>
        </w:rPr>
        <w:tab/>
        <w:t xml:space="preserve">Y. Zhao, A. </w:t>
      </w:r>
      <w:proofErr w:type="spellStart"/>
      <w:r w:rsidRPr="00844FEC">
        <w:rPr>
          <w:rFonts w:ascii="Times New Roman" w:hAnsi="Times New Roman" w:cs="Times New Roman"/>
        </w:rPr>
        <w:t>Serebrenik</w:t>
      </w:r>
      <w:proofErr w:type="spellEnd"/>
      <w:r w:rsidRPr="00844FEC">
        <w:rPr>
          <w:rFonts w:ascii="Times New Roman" w:hAnsi="Times New Roman" w:cs="Times New Roman"/>
        </w:rPr>
        <w:t xml:space="preserve">, Y. Zhou, V. Filkov, and B. Vasilescu, "The impact of continuous integration on other software development practices: A large-scale empirical study," in Proc. 32nd IEEE/ACM Int. Conf. Automated </w:t>
      </w:r>
      <w:proofErr w:type="spellStart"/>
      <w:r w:rsidRPr="00844FEC">
        <w:rPr>
          <w:rFonts w:ascii="Times New Roman" w:hAnsi="Times New Roman" w:cs="Times New Roman"/>
        </w:rPr>
        <w:t>Softw</w:t>
      </w:r>
      <w:proofErr w:type="spellEnd"/>
      <w:r w:rsidRPr="00844FEC">
        <w:rPr>
          <w:rFonts w:ascii="Times New Roman" w:hAnsi="Times New Roman" w:cs="Times New Roman"/>
        </w:rPr>
        <w:t xml:space="preserve">. Eng. (ASE), 2017, pp. 60-71, </w:t>
      </w:r>
      <w:proofErr w:type="spellStart"/>
      <w:r w:rsidRPr="00844FEC">
        <w:rPr>
          <w:rFonts w:ascii="Times New Roman" w:hAnsi="Times New Roman" w:cs="Times New Roman"/>
        </w:rPr>
        <w:t>doi</w:t>
      </w:r>
      <w:proofErr w:type="spellEnd"/>
      <w:r w:rsidRPr="00844FEC">
        <w:rPr>
          <w:rFonts w:ascii="Times New Roman" w:hAnsi="Times New Roman" w:cs="Times New Roman"/>
        </w:rPr>
        <w:t>: 10.1109/ASE.2017.8115619.</w:t>
      </w:r>
    </w:p>
    <w:p w14:paraId="7225B5A3"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[26]</w:t>
      </w:r>
      <w:r w:rsidRPr="00844FEC">
        <w:rPr>
          <w:rFonts w:ascii="Times New Roman" w:hAnsi="Times New Roman" w:cs="Times New Roman"/>
        </w:rPr>
        <w:tab/>
        <w:t xml:space="preserve">M. Hilton, T. Tunnell, K. Huang, D. Marinov, and D. Dig, "Usage, costs, and benefits of continuous integration in open-source projects," in Proc. 31st IEEE/ACM Int. Conf. Automated </w:t>
      </w:r>
      <w:proofErr w:type="spellStart"/>
      <w:r w:rsidRPr="00844FEC">
        <w:rPr>
          <w:rFonts w:ascii="Times New Roman" w:hAnsi="Times New Roman" w:cs="Times New Roman"/>
        </w:rPr>
        <w:t>Softw</w:t>
      </w:r>
      <w:proofErr w:type="spellEnd"/>
      <w:r w:rsidRPr="00844FEC">
        <w:rPr>
          <w:rFonts w:ascii="Times New Roman" w:hAnsi="Times New Roman" w:cs="Times New Roman"/>
        </w:rPr>
        <w:t xml:space="preserve">. Eng. (ASE), 2016, pp. 426-437, </w:t>
      </w:r>
      <w:proofErr w:type="spellStart"/>
      <w:r w:rsidRPr="00844FEC">
        <w:rPr>
          <w:rFonts w:ascii="Times New Roman" w:hAnsi="Times New Roman" w:cs="Times New Roman"/>
        </w:rPr>
        <w:t>doi</w:t>
      </w:r>
      <w:proofErr w:type="spellEnd"/>
      <w:r w:rsidRPr="00844FEC">
        <w:rPr>
          <w:rFonts w:ascii="Times New Roman" w:hAnsi="Times New Roman" w:cs="Times New Roman"/>
        </w:rPr>
        <w:t>: 10.1145/2970276.2970358.</w:t>
      </w:r>
    </w:p>
    <w:p w14:paraId="2BB61458"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[27]</w:t>
      </w:r>
      <w:r w:rsidRPr="00844FEC">
        <w:rPr>
          <w:rFonts w:ascii="Times New Roman" w:hAnsi="Times New Roman" w:cs="Times New Roman"/>
        </w:rPr>
        <w:tab/>
        <w:t xml:space="preserve">C. Vasilescu, D. Yu, H. Wang, P. </w:t>
      </w:r>
      <w:proofErr w:type="spellStart"/>
      <w:r w:rsidRPr="00844FEC">
        <w:rPr>
          <w:rFonts w:ascii="Times New Roman" w:hAnsi="Times New Roman" w:cs="Times New Roman"/>
        </w:rPr>
        <w:t>Devanbu</w:t>
      </w:r>
      <w:proofErr w:type="spellEnd"/>
      <w:r w:rsidRPr="00844FEC">
        <w:rPr>
          <w:rFonts w:ascii="Times New Roman" w:hAnsi="Times New Roman" w:cs="Times New Roman"/>
        </w:rPr>
        <w:t xml:space="preserve">, and V. Filkov, "Quality and productivity outcomes relating to continuous integration in GitHub," in Proc. ACM SIGSOFT Int. Symp. Found. </w:t>
      </w:r>
      <w:proofErr w:type="spellStart"/>
      <w:r w:rsidRPr="00844FEC">
        <w:rPr>
          <w:rFonts w:ascii="Times New Roman" w:hAnsi="Times New Roman" w:cs="Times New Roman"/>
        </w:rPr>
        <w:t>Softw</w:t>
      </w:r>
      <w:proofErr w:type="spellEnd"/>
      <w:r w:rsidRPr="00844FEC">
        <w:rPr>
          <w:rFonts w:ascii="Times New Roman" w:hAnsi="Times New Roman" w:cs="Times New Roman"/>
        </w:rPr>
        <w:t xml:space="preserve">. Eng. (FSE), 2015, pp. 805-816, </w:t>
      </w:r>
      <w:proofErr w:type="spellStart"/>
      <w:r w:rsidRPr="00844FEC">
        <w:rPr>
          <w:rFonts w:ascii="Times New Roman" w:hAnsi="Times New Roman" w:cs="Times New Roman"/>
        </w:rPr>
        <w:t>doi</w:t>
      </w:r>
      <w:proofErr w:type="spellEnd"/>
      <w:r w:rsidRPr="00844FEC">
        <w:rPr>
          <w:rFonts w:ascii="Times New Roman" w:hAnsi="Times New Roman" w:cs="Times New Roman"/>
        </w:rPr>
        <w:t>: 10.1145/2786805.2786850.</w:t>
      </w:r>
    </w:p>
    <w:p w14:paraId="03373DA1"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[28]</w:t>
      </w:r>
      <w:r w:rsidRPr="00844FEC">
        <w:rPr>
          <w:rFonts w:ascii="Times New Roman" w:hAnsi="Times New Roman" w:cs="Times New Roman"/>
        </w:rPr>
        <w:tab/>
        <w:t>G. Booch, Object-Oriented Analysis and Design with Applications, 2nd ed. Redwood City, CA: Benjamin/Cummings, 1994.</w:t>
      </w:r>
    </w:p>
    <w:p w14:paraId="7943EBCD"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[29]</w:t>
      </w:r>
      <w:r w:rsidRPr="00844FEC">
        <w:rPr>
          <w:rFonts w:ascii="Times New Roman" w:hAnsi="Times New Roman" w:cs="Times New Roman"/>
        </w:rPr>
        <w:tab/>
        <w:t>K. Beck and C. Andres, Extreme Programming Explained: Embrace Change, 2nd ed. Upper Saddle River, NJ: Addison-Wesley, 2004.</w:t>
      </w:r>
    </w:p>
    <w:p w14:paraId="3DBA1F05"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[30]</w:t>
      </w:r>
      <w:r w:rsidRPr="00844FEC">
        <w:rPr>
          <w:rFonts w:ascii="Times New Roman" w:hAnsi="Times New Roman" w:cs="Times New Roman"/>
        </w:rPr>
        <w:tab/>
        <w:t xml:space="preserve">M. Fowler and M. </w:t>
      </w:r>
      <w:proofErr w:type="spellStart"/>
      <w:r w:rsidRPr="00844FEC">
        <w:rPr>
          <w:rFonts w:ascii="Times New Roman" w:hAnsi="Times New Roman" w:cs="Times New Roman"/>
        </w:rPr>
        <w:t>Foemmel</w:t>
      </w:r>
      <w:proofErr w:type="spellEnd"/>
      <w:r w:rsidRPr="00844FEC">
        <w:rPr>
          <w:rFonts w:ascii="Times New Roman" w:hAnsi="Times New Roman" w:cs="Times New Roman"/>
        </w:rPr>
        <w:t>, "Continuous integration," Thought Works, 2006. [Online]. Available: https://www.martinfowler.com/articles/continuousIntegration.html</w:t>
      </w:r>
    </w:p>
    <w:p w14:paraId="2844E3DA"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[31]</w:t>
      </w:r>
      <w:r w:rsidRPr="00844FEC">
        <w:rPr>
          <w:rFonts w:ascii="Times New Roman" w:hAnsi="Times New Roman" w:cs="Times New Roman"/>
        </w:rPr>
        <w:tab/>
        <w:t>P. Debois, "Agile infrastructure and operations: How Infra-</w:t>
      </w:r>
      <w:proofErr w:type="spellStart"/>
      <w:r w:rsidRPr="00844FEC">
        <w:rPr>
          <w:rFonts w:ascii="Times New Roman" w:hAnsi="Times New Roman" w:cs="Times New Roman"/>
        </w:rPr>
        <w:t>gile</w:t>
      </w:r>
      <w:proofErr w:type="spellEnd"/>
      <w:r w:rsidRPr="00844FEC">
        <w:rPr>
          <w:rFonts w:ascii="Times New Roman" w:hAnsi="Times New Roman" w:cs="Times New Roman"/>
        </w:rPr>
        <w:t xml:space="preserve"> are </w:t>
      </w:r>
      <w:proofErr w:type="gramStart"/>
      <w:r w:rsidRPr="00844FEC">
        <w:rPr>
          <w:rFonts w:ascii="Times New Roman" w:hAnsi="Times New Roman" w:cs="Times New Roman"/>
        </w:rPr>
        <w:t>you?,</w:t>
      </w:r>
      <w:proofErr w:type="gramEnd"/>
      <w:r w:rsidRPr="00844FEC">
        <w:rPr>
          <w:rFonts w:ascii="Times New Roman" w:hAnsi="Times New Roman" w:cs="Times New Roman"/>
        </w:rPr>
        <w:t>" in Proc. Agile 2008 Conf., Toronto, Canada, 2008, pp. 202-207.</w:t>
      </w:r>
    </w:p>
    <w:p w14:paraId="75E5DE49"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lastRenderedPageBreak/>
        <w:t>[32]</w:t>
      </w:r>
      <w:r w:rsidRPr="00844FEC">
        <w:rPr>
          <w:rFonts w:ascii="Times New Roman" w:hAnsi="Times New Roman" w:cs="Times New Roman"/>
        </w:rPr>
        <w:tab/>
        <w:t>G. Kim, J. Humble, P. Debois, and J. Willis, The DevOps Handbook: How to Create World-Class Agility, Reliability, and Security in Technology Organizations. Portland, OR: IT Revolution Press, 2016.</w:t>
      </w:r>
    </w:p>
    <w:p w14:paraId="0E8D8A49"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[33]</w:t>
      </w:r>
      <w:r w:rsidRPr="00844FEC">
        <w:rPr>
          <w:rFonts w:ascii="Times New Roman" w:hAnsi="Times New Roman" w:cs="Times New Roman"/>
        </w:rPr>
        <w:tab/>
        <w:t>D. Willis, "CALMS: A cultural framework for DevOps adoption," Damon Edwards Blog, 2010. [Online]. Available: https://itrevolution.com/articles/calms/</w:t>
      </w:r>
    </w:p>
    <w:p w14:paraId="66FEDE6B"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[34]</w:t>
      </w:r>
      <w:r w:rsidRPr="00844FEC">
        <w:rPr>
          <w:rFonts w:ascii="Times New Roman" w:hAnsi="Times New Roman" w:cs="Times New Roman"/>
        </w:rPr>
        <w:tab/>
        <w:t xml:space="preserve">M. </w:t>
      </w:r>
      <w:proofErr w:type="spellStart"/>
      <w:r w:rsidRPr="00844FEC">
        <w:rPr>
          <w:rFonts w:ascii="Times New Roman" w:hAnsi="Times New Roman" w:cs="Times New Roman"/>
        </w:rPr>
        <w:t>Poppendieck</w:t>
      </w:r>
      <w:proofErr w:type="spellEnd"/>
      <w:r w:rsidRPr="00844FEC">
        <w:rPr>
          <w:rFonts w:ascii="Times New Roman" w:hAnsi="Times New Roman" w:cs="Times New Roman"/>
        </w:rPr>
        <w:t xml:space="preserve"> and T. </w:t>
      </w:r>
      <w:proofErr w:type="spellStart"/>
      <w:r w:rsidRPr="00844FEC">
        <w:rPr>
          <w:rFonts w:ascii="Times New Roman" w:hAnsi="Times New Roman" w:cs="Times New Roman"/>
        </w:rPr>
        <w:t>Poppendieck</w:t>
      </w:r>
      <w:proofErr w:type="spellEnd"/>
      <w:r w:rsidRPr="00844FEC">
        <w:rPr>
          <w:rFonts w:ascii="Times New Roman" w:hAnsi="Times New Roman" w:cs="Times New Roman"/>
        </w:rPr>
        <w:t>, Implementing Lean Software Development: From Concept to Cash. Upper Saddle River, NJ: Addison-Wesley, 2006.</w:t>
      </w:r>
    </w:p>
    <w:p w14:paraId="5AA7AF26"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[35]</w:t>
      </w:r>
      <w:r w:rsidRPr="00844FEC">
        <w:rPr>
          <w:rFonts w:ascii="Times New Roman" w:hAnsi="Times New Roman" w:cs="Times New Roman"/>
        </w:rPr>
        <w:tab/>
        <w:t>B. Beyer, C. Jones, J. Petoff, and N. R. Murphy, Site Reliability Engineering: How Google Runs Production Systems. Sebastopol, CA: O'Reilly Media, 2016.</w:t>
      </w:r>
    </w:p>
    <w:p w14:paraId="6DF71D71"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[36]</w:t>
      </w:r>
      <w:r w:rsidRPr="00844FEC">
        <w:rPr>
          <w:rFonts w:ascii="Times New Roman" w:hAnsi="Times New Roman" w:cs="Times New Roman"/>
        </w:rPr>
        <w:tab/>
        <w:t>Google Cloud, "2023 Accelerate State of DevOps Report," Annual Research Report, DORA, 2023. [Online]. Available: https://cloud.google.com/devops/state-of-devops</w:t>
      </w:r>
    </w:p>
    <w:p w14:paraId="3C3173AF"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[37]</w:t>
      </w:r>
      <w:r w:rsidRPr="00844FEC">
        <w:rPr>
          <w:rFonts w:ascii="Times New Roman" w:hAnsi="Times New Roman" w:cs="Times New Roman"/>
        </w:rPr>
        <w:tab/>
        <w:t xml:space="preserve">L. E. </w:t>
      </w:r>
      <w:proofErr w:type="spellStart"/>
      <w:r w:rsidRPr="00844FEC">
        <w:rPr>
          <w:rFonts w:ascii="Times New Roman" w:hAnsi="Times New Roman" w:cs="Times New Roman"/>
        </w:rPr>
        <w:t>Lwakatare</w:t>
      </w:r>
      <w:proofErr w:type="spellEnd"/>
      <w:r w:rsidRPr="00844FEC">
        <w:rPr>
          <w:rFonts w:ascii="Times New Roman" w:hAnsi="Times New Roman" w:cs="Times New Roman"/>
        </w:rPr>
        <w:t xml:space="preserve">, P. Kuvaja, and M. </w:t>
      </w:r>
      <w:proofErr w:type="spellStart"/>
      <w:r w:rsidRPr="00844FEC">
        <w:rPr>
          <w:rFonts w:ascii="Times New Roman" w:hAnsi="Times New Roman" w:cs="Times New Roman"/>
        </w:rPr>
        <w:t>Oivo</w:t>
      </w:r>
      <w:proofErr w:type="spellEnd"/>
      <w:r w:rsidRPr="00844FEC">
        <w:rPr>
          <w:rFonts w:ascii="Times New Roman" w:hAnsi="Times New Roman" w:cs="Times New Roman"/>
        </w:rPr>
        <w:t xml:space="preserve">, "Dimensions of DevOps," in Agile Processes in Software Engineering and Extreme Programming, vol. 212, Berlin: Springer, 2015, pp. 212-223, </w:t>
      </w:r>
      <w:proofErr w:type="spellStart"/>
      <w:r w:rsidRPr="00844FEC">
        <w:rPr>
          <w:rFonts w:ascii="Times New Roman" w:hAnsi="Times New Roman" w:cs="Times New Roman"/>
        </w:rPr>
        <w:t>doi</w:t>
      </w:r>
      <w:proofErr w:type="spellEnd"/>
      <w:r w:rsidRPr="00844FEC">
        <w:rPr>
          <w:rFonts w:ascii="Times New Roman" w:hAnsi="Times New Roman" w:cs="Times New Roman"/>
        </w:rPr>
        <w:t>: 10.1007/978-3-319-18612-2_19.</w:t>
      </w:r>
    </w:p>
    <w:p w14:paraId="502FCF53"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[38]</w:t>
      </w:r>
      <w:r w:rsidRPr="00844FEC">
        <w:rPr>
          <w:rFonts w:ascii="Times New Roman" w:hAnsi="Times New Roman" w:cs="Times New Roman"/>
        </w:rPr>
        <w:tab/>
        <w:t xml:space="preserve">J. Bass, "How do software architects consider non-functional requirements during agile </w:t>
      </w:r>
      <w:proofErr w:type="gramStart"/>
      <w:r w:rsidRPr="00844FEC">
        <w:rPr>
          <w:rFonts w:ascii="Times New Roman" w:hAnsi="Times New Roman" w:cs="Times New Roman"/>
        </w:rPr>
        <w:t>development?,</w:t>
      </w:r>
      <w:proofErr w:type="gramEnd"/>
      <w:r w:rsidRPr="00844FEC">
        <w:rPr>
          <w:rFonts w:ascii="Times New Roman" w:hAnsi="Times New Roman" w:cs="Times New Roman"/>
        </w:rPr>
        <w:t xml:space="preserve">" in Proc. IEEE 8th Int. Conf. </w:t>
      </w:r>
      <w:proofErr w:type="spellStart"/>
      <w:r w:rsidRPr="00844FEC">
        <w:rPr>
          <w:rFonts w:ascii="Times New Roman" w:hAnsi="Times New Roman" w:cs="Times New Roman"/>
        </w:rPr>
        <w:t>Softw</w:t>
      </w:r>
      <w:proofErr w:type="spellEnd"/>
      <w:r w:rsidRPr="00844FEC">
        <w:rPr>
          <w:rFonts w:ascii="Times New Roman" w:hAnsi="Times New Roman" w:cs="Times New Roman"/>
        </w:rPr>
        <w:t>. Eng. Adv. (ICSEA), 2013, pp. 62-67.</w:t>
      </w:r>
    </w:p>
    <w:p w14:paraId="55317952"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[39]</w:t>
      </w:r>
      <w:r w:rsidRPr="00844FEC">
        <w:rPr>
          <w:rFonts w:ascii="Times New Roman" w:hAnsi="Times New Roman" w:cs="Times New Roman"/>
        </w:rPr>
        <w:tab/>
        <w:t xml:space="preserve">S. </w:t>
      </w:r>
      <w:proofErr w:type="spellStart"/>
      <w:r w:rsidRPr="00844FEC">
        <w:rPr>
          <w:rFonts w:ascii="Times New Roman" w:hAnsi="Times New Roman" w:cs="Times New Roman"/>
        </w:rPr>
        <w:t>Elberzhager</w:t>
      </w:r>
      <w:proofErr w:type="spellEnd"/>
      <w:r w:rsidRPr="00844FEC">
        <w:rPr>
          <w:rFonts w:ascii="Times New Roman" w:hAnsi="Times New Roman" w:cs="Times New Roman"/>
        </w:rPr>
        <w:t xml:space="preserve">, J. </w:t>
      </w:r>
      <w:proofErr w:type="spellStart"/>
      <w:r w:rsidRPr="00844FEC">
        <w:rPr>
          <w:rFonts w:ascii="Times New Roman" w:hAnsi="Times New Roman" w:cs="Times New Roman"/>
        </w:rPr>
        <w:t>Muntes</w:t>
      </w:r>
      <w:proofErr w:type="spellEnd"/>
      <w:r w:rsidRPr="00844FEC">
        <w:rPr>
          <w:rFonts w:ascii="Times New Roman" w:hAnsi="Times New Roman" w:cs="Times New Roman"/>
        </w:rPr>
        <w:t xml:space="preserve">-Mulero, and A. Heckel, "Quality attribute prioritization for DevOps tool selection: A systematic evaluation framework," in Proc. IEEE/ACM 3rd Int. Workshop DevOps, 2020, pp. 33-40, </w:t>
      </w:r>
      <w:proofErr w:type="spellStart"/>
      <w:r w:rsidRPr="00844FEC">
        <w:rPr>
          <w:rFonts w:ascii="Times New Roman" w:hAnsi="Times New Roman" w:cs="Times New Roman"/>
        </w:rPr>
        <w:t>doi</w:t>
      </w:r>
      <w:proofErr w:type="spellEnd"/>
      <w:r w:rsidRPr="00844FEC">
        <w:rPr>
          <w:rFonts w:ascii="Times New Roman" w:hAnsi="Times New Roman" w:cs="Times New Roman"/>
        </w:rPr>
        <w:t>: 10.1145/3387903.3389304.</w:t>
      </w:r>
    </w:p>
    <w:p w14:paraId="66081448"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[40]</w:t>
      </w:r>
      <w:r w:rsidRPr="00844FEC">
        <w:rPr>
          <w:rFonts w:ascii="Times New Roman" w:hAnsi="Times New Roman" w:cs="Times New Roman"/>
        </w:rPr>
        <w:tab/>
        <w:t>P. M. Duvall, S. Matyas, and A. Glover, Continuous Integration: Improving Software Quality and Reducing Risk. Upper Saddle River, NJ: Addison-Wesley, 2007.</w:t>
      </w:r>
    </w:p>
    <w:p w14:paraId="5EFEF1A9"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[41]</w:t>
      </w:r>
      <w:r w:rsidRPr="00844FEC">
        <w:rPr>
          <w:rFonts w:ascii="Times New Roman" w:hAnsi="Times New Roman" w:cs="Times New Roman"/>
        </w:rPr>
        <w:tab/>
        <w:t xml:space="preserve">J. Smart, BDD in Action: </w:t>
      </w:r>
      <w:proofErr w:type="spellStart"/>
      <w:r w:rsidRPr="00844FEC">
        <w:rPr>
          <w:rFonts w:ascii="Times New Roman" w:hAnsi="Times New Roman" w:cs="Times New Roman"/>
        </w:rPr>
        <w:t>Behavior</w:t>
      </w:r>
      <w:proofErr w:type="spellEnd"/>
      <w:r w:rsidRPr="00844FEC">
        <w:rPr>
          <w:rFonts w:ascii="Times New Roman" w:hAnsi="Times New Roman" w:cs="Times New Roman"/>
        </w:rPr>
        <w:t>-Driven Development for the Whole Software Lifecycle. Shelter Island, NY: Manning Publications, 2014.</w:t>
      </w:r>
    </w:p>
    <w:p w14:paraId="7589C29F"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[42]</w:t>
      </w:r>
      <w:r w:rsidRPr="00844FEC">
        <w:rPr>
          <w:rFonts w:ascii="Times New Roman" w:hAnsi="Times New Roman" w:cs="Times New Roman"/>
        </w:rPr>
        <w:tab/>
        <w:t xml:space="preserve">A. Sureka and P. </w:t>
      </w:r>
      <w:proofErr w:type="spellStart"/>
      <w:r w:rsidRPr="00844FEC">
        <w:rPr>
          <w:rFonts w:ascii="Times New Roman" w:hAnsi="Times New Roman" w:cs="Times New Roman"/>
        </w:rPr>
        <w:t>Jalote</w:t>
      </w:r>
      <w:proofErr w:type="spellEnd"/>
      <w:r w:rsidRPr="00844FEC">
        <w:rPr>
          <w:rFonts w:ascii="Times New Roman" w:hAnsi="Times New Roman" w:cs="Times New Roman"/>
        </w:rPr>
        <w:t xml:space="preserve">, "Detecting duplicate bug report using character n-gram-based features," in Proc. Asia Pacific </w:t>
      </w:r>
      <w:proofErr w:type="spellStart"/>
      <w:r w:rsidRPr="00844FEC">
        <w:rPr>
          <w:rFonts w:ascii="Times New Roman" w:hAnsi="Times New Roman" w:cs="Times New Roman"/>
        </w:rPr>
        <w:t>Softw</w:t>
      </w:r>
      <w:proofErr w:type="spellEnd"/>
      <w:r w:rsidRPr="00844FEC">
        <w:rPr>
          <w:rFonts w:ascii="Times New Roman" w:hAnsi="Times New Roman" w:cs="Times New Roman"/>
        </w:rPr>
        <w:t xml:space="preserve">. Eng. Conf. (APSEC), 2010, pp. 366-374, </w:t>
      </w:r>
      <w:proofErr w:type="spellStart"/>
      <w:r w:rsidRPr="00844FEC">
        <w:rPr>
          <w:rFonts w:ascii="Times New Roman" w:hAnsi="Times New Roman" w:cs="Times New Roman"/>
        </w:rPr>
        <w:t>doi</w:t>
      </w:r>
      <w:proofErr w:type="spellEnd"/>
      <w:r w:rsidRPr="00844FEC">
        <w:rPr>
          <w:rFonts w:ascii="Times New Roman" w:hAnsi="Times New Roman" w:cs="Times New Roman"/>
        </w:rPr>
        <w:t>: 10.1109/APSEC.2010.49.</w:t>
      </w:r>
    </w:p>
    <w:p w14:paraId="40FC52FC"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lastRenderedPageBreak/>
        <w:t>[43]</w:t>
      </w:r>
      <w:r w:rsidRPr="00844FEC">
        <w:rPr>
          <w:rFonts w:ascii="Times New Roman" w:hAnsi="Times New Roman" w:cs="Times New Roman"/>
        </w:rPr>
        <w:tab/>
        <w:t xml:space="preserve">JetBrains, "The State of Developer Ecosystem 2023," Survey Report, JetBrains </w:t>
      </w:r>
      <w:proofErr w:type="spellStart"/>
      <w:r w:rsidRPr="00844FEC">
        <w:rPr>
          <w:rFonts w:ascii="Times New Roman" w:hAnsi="Times New Roman" w:cs="Times New Roman"/>
        </w:rPr>
        <w:t>s.r.o.</w:t>
      </w:r>
      <w:proofErr w:type="spellEnd"/>
      <w:r w:rsidRPr="00844FEC">
        <w:rPr>
          <w:rFonts w:ascii="Times New Roman" w:hAnsi="Times New Roman" w:cs="Times New Roman"/>
        </w:rPr>
        <w:t>, 2023. [Online]. Available: https://www.jetbrains.com/lp/devecosystem-2023/</w:t>
      </w:r>
    </w:p>
    <w:p w14:paraId="2B0865E4"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[44]</w:t>
      </w:r>
      <w:r w:rsidRPr="00844FEC">
        <w:rPr>
          <w:rFonts w:ascii="Times New Roman" w:hAnsi="Times New Roman" w:cs="Times New Roman"/>
        </w:rPr>
        <w:tab/>
        <w:t xml:space="preserve">I. Richardson, V. Casey, J. Burton, and F. McCaffery, "A process framework for global software engineering teams," </w:t>
      </w:r>
      <w:proofErr w:type="spellStart"/>
      <w:r w:rsidRPr="00844FEC">
        <w:rPr>
          <w:rFonts w:ascii="Times New Roman" w:hAnsi="Times New Roman" w:cs="Times New Roman"/>
        </w:rPr>
        <w:t>Softw</w:t>
      </w:r>
      <w:proofErr w:type="spellEnd"/>
      <w:r w:rsidRPr="00844FEC">
        <w:rPr>
          <w:rFonts w:ascii="Times New Roman" w:hAnsi="Times New Roman" w:cs="Times New Roman"/>
        </w:rPr>
        <w:t xml:space="preserve">. Quality J., vol. 18, no. 2, pp. 247-265, 2010, </w:t>
      </w:r>
      <w:proofErr w:type="spellStart"/>
      <w:r w:rsidRPr="00844FEC">
        <w:rPr>
          <w:rFonts w:ascii="Times New Roman" w:hAnsi="Times New Roman" w:cs="Times New Roman"/>
        </w:rPr>
        <w:t>doi</w:t>
      </w:r>
      <w:proofErr w:type="spellEnd"/>
      <w:r w:rsidRPr="00844FEC">
        <w:rPr>
          <w:rFonts w:ascii="Times New Roman" w:hAnsi="Times New Roman" w:cs="Times New Roman"/>
        </w:rPr>
        <w:t>: 10.1007/s11219-010-9101-5.</w:t>
      </w:r>
    </w:p>
    <w:p w14:paraId="7C399538" w14:textId="77777777" w:rsidR="00BD21A1" w:rsidRPr="00844FEC" w:rsidRDefault="00000000" w:rsidP="00844FEC">
      <w:pPr>
        <w:spacing w:after="180" w:line="360" w:lineRule="auto"/>
        <w:jc w:val="both"/>
        <w:rPr>
          <w:rFonts w:ascii="Times New Roman" w:hAnsi="Times New Roman" w:cs="Times New Roman"/>
        </w:rPr>
      </w:pPr>
      <w:r w:rsidRPr="00844FEC">
        <w:rPr>
          <w:rFonts w:ascii="Times New Roman" w:hAnsi="Times New Roman" w:cs="Times New Roman"/>
        </w:rPr>
        <w:t>[45]</w:t>
      </w:r>
      <w:r w:rsidRPr="00844FEC">
        <w:rPr>
          <w:rFonts w:ascii="Times New Roman" w:hAnsi="Times New Roman" w:cs="Times New Roman"/>
        </w:rPr>
        <w:tab/>
        <w:t xml:space="preserve">D. Ferreira, A. Rolim, F. Coelho, A. de Almeida Filho, and R. Gheyi, "Lessons learned on CI/CD pipelines from developer discussions on Stack Overflow," in Proc. 36th IEEE Int. Conf. </w:t>
      </w:r>
      <w:proofErr w:type="spellStart"/>
      <w:r w:rsidRPr="00844FEC">
        <w:rPr>
          <w:rFonts w:ascii="Times New Roman" w:hAnsi="Times New Roman" w:cs="Times New Roman"/>
        </w:rPr>
        <w:t>Softw</w:t>
      </w:r>
      <w:proofErr w:type="spellEnd"/>
      <w:r w:rsidRPr="00844FEC">
        <w:rPr>
          <w:rFonts w:ascii="Times New Roman" w:hAnsi="Times New Roman" w:cs="Times New Roman"/>
        </w:rPr>
        <w:t xml:space="preserve">. Maintenance Evol. (ICSME), 2020, pp. 322-333, </w:t>
      </w:r>
      <w:proofErr w:type="spellStart"/>
      <w:r w:rsidRPr="00844FEC">
        <w:rPr>
          <w:rFonts w:ascii="Times New Roman" w:hAnsi="Times New Roman" w:cs="Times New Roman"/>
        </w:rPr>
        <w:t>doi</w:t>
      </w:r>
      <w:proofErr w:type="spellEnd"/>
      <w:r w:rsidRPr="00844FEC">
        <w:rPr>
          <w:rFonts w:ascii="Times New Roman" w:hAnsi="Times New Roman" w:cs="Times New Roman"/>
        </w:rPr>
        <w:t>: 10.1109/ICSME46990.2020.00039.</w:t>
      </w:r>
    </w:p>
    <w:sectPr w:rsidR="00BD21A1" w:rsidRPr="00844FEC">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1094E"/>
    <w:multiLevelType w:val="hybridMultilevel"/>
    <w:tmpl w:val="3CECB892"/>
    <w:lvl w:ilvl="0" w:tplc="30C69794">
      <w:start w:val="1"/>
      <w:numFmt w:val="bullet"/>
      <w:lvlText w:val="●"/>
      <w:lvlJc w:val="left"/>
      <w:pPr>
        <w:ind w:left="720" w:hanging="360"/>
      </w:pPr>
    </w:lvl>
    <w:lvl w:ilvl="1" w:tplc="7576AECC">
      <w:start w:val="1"/>
      <w:numFmt w:val="bullet"/>
      <w:lvlText w:val="○"/>
      <w:lvlJc w:val="left"/>
      <w:pPr>
        <w:ind w:left="1440" w:hanging="360"/>
      </w:pPr>
    </w:lvl>
    <w:lvl w:ilvl="2" w:tplc="5BBE0396">
      <w:start w:val="1"/>
      <w:numFmt w:val="bullet"/>
      <w:lvlText w:val="■"/>
      <w:lvlJc w:val="left"/>
      <w:pPr>
        <w:ind w:left="2160" w:hanging="360"/>
      </w:pPr>
    </w:lvl>
    <w:lvl w:ilvl="3" w:tplc="FC167FD4">
      <w:start w:val="1"/>
      <w:numFmt w:val="bullet"/>
      <w:lvlText w:val="●"/>
      <w:lvlJc w:val="left"/>
      <w:pPr>
        <w:ind w:left="2880" w:hanging="360"/>
      </w:pPr>
    </w:lvl>
    <w:lvl w:ilvl="4" w:tplc="71DEF376">
      <w:start w:val="1"/>
      <w:numFmt w:val="bullet"/>
      <w:lvlText w:val="○"/>
      <w:lvlJc w:val="left"/>
      <w:pPr>
        <w:ind w:left="3600" w:hanging="360"/>
      </w:pPr>
    </w:lvl>
    <w:lvl w:ilvl="5" w:tplc="B3C059FE">
      <w:start w:val="1"/>
      <w:numFmt w:val="bullet"/>
      <w:lvlText w:val="■"/>
      <w:lvlJc w:val="left"/>
      <w:pPr>
        <w:ind w:left="4320" w:hanging="360"/>
      </w:pPr>
    </w:lvl>
    <w:lvl w:ilvl="6" w:tplc="DCE82A6C">
      <w:start w:val="1"/>
      <w:numFmt w:val="bullet"/>
      <w:lvlText w:val="●"/>
      <w:lvlJc w:val="left"/>
      <w:pPr>
        <w:ind w:left="5040" w:hanging="360"/>
      </w:pPr>
    </w:lvl>
    <w:lvl w:ilvl="7" w:tplc="D22EC156">
      <w:start w:val="1"/>
      <w:numFmt w:val="bullet"/>
      <w:lvlText w:val="●"/>
      <w:lvlJc w:val="left"/>
      <w:pPr>
        <w:ind w:left="5760" w:hanging="360"/>
      </w:pPr>
    </w:lvl>
    <w:lvl w:ilvl="8" w:tplc="7D280B84">
      <w:start w:val="1"/>
      <w:numFmt w:val="bullet"/>
      <w:lvlText w:val="●"/>
      <w:lvlJc w:val="left"/>
      <w:pPr>
        <w:ind w:left="6480" w:hanging="360"/>
      </w:pPr>
    </w:lvl>
  </w:abstractNum>
  <w:abstractNum w:abstractNumId="1" w15:restartNumberingAfterBreak="0">
    <w:nsid w:val="456B5520"/>
    <w:multiLevelType w:val="hybridMultilevel"/>
    <w:tmpl w:val="0164CE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6D44461"/>
    <w:multiLevelType w:val="hybridMultilevel"/>
    <w:tmpl w:val="05225ACE"/>
    <w:lvl w:ilvl="0" w:tplc="F37459FC">
      <w:start w:val="1"/>
      <w:numFmt w:val="bullet"/>
      <w:lvlText w:val="•"/>
      <w:lvlJc w:val="left"/>
      <w:pPr>
        <w:ind w:left="720" w:hanging="360"/>
      </w:pPr>
    </w:lvl>
    <w:lvl w:ilvl="1" w:tplc="85E64BF8">
      <w:numFmt w:val="decimal"/>
      <w:lvlText w:val=""/>
      <w:lvlJc w:val="left"/>
    </w:lvl>
    <w:lvl w:ilvl="2" w:tplc="E31086DC">
      <w:numFmt w:val="decimal"/>
      <w:lvlText w:val=""/>
      <w:lvlJc w:val="left"/>
    </w:lvl>
    <w:lvl w:ilvl="3" w:tplc="3E78E026">
      <w:numFmt w:val="decimal"/>
      <w:lvlText w:val=""/>
      <w:lvlJc w:val="left"/>
    </w:lvl>
    <w:lvl w:ilvl="4" w:tplc="8FB21C46">
      <w:numFmt w:val="decimal"/>
      <w:lvlText w:val=""/>
      <w:lvlJc w:val="left"/>
    </w:lvl>
    <w:lvl w:ilvl="5" w:tplc="3462E444">
      <w:numFmt w:val="decimal"/>
      <w:lvlText w:val=""/>
      <w:lvlJc w:val="left"/>
    </w:lvl>
    <w:lvl w:ilvl="6" w:tplc="A2C28D3A">
      <w:numFmt w:val="decimal"/>
      <w:lvlText w:val=""/>
      <w:lvlJc w:val="left"/>
    </w:lvl>
    <w:lvl w:ilvl="7" w:tplc="7FBA7DCE">
      <w:numFmt w:val="decimal"/>
      <w:lvlText w:val=""/>
      <w:lvlJc w:val="left"/>
    </w:lvl>
    <w:lvl w:ilvl="8" w:tplc="CD40A5F0">
      <w:numFmt w:val="decimal"/>
      <w:lvlText w:val=""/>
      <w:lvlJc w:val="left"/>
    </w:lvl>
  </w:abstractNum>
  <w:abstractNum w:abstractNumId="3" w15:restartNumberingAfterBreak="0">
    <w:nsid w:val="62896E7D"/>
    <w:multiLevelType w:val="hybridMultilevel"/>
    <w:tmpl w:val="C414E04E"/>
    <w:lvl w:ilvl="0" w:tplc="45D8E78E">
      <w:numFmt w:val="bullet"/>
      <w:lvlText w:val="•"/>
      <w:lvlJc w:val="left"/>
      <w:pPr>
        <w:ind w:left="720" w:hanging="360"/>
      </w:pPr>
      <w:rPr>
        <w:rFonts w:ascii="Times New Roman" w:eastAsia="Arial"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8C23341"/>
    <w:multiLevelType w:val="hybridMultilevel"/>
    <w:tmpl w:val="EC307D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1820763">
    <w:abstractNumId w:val="0"/>
    <w:lvlOverride w:ilvl="0">
      <w:startOverride w:val="1"/>
    </w:lvlOverride>
  </w:num>
  <w:num w:numId="2" w16cid:durableId="854147292">
    <w:abstractNumId w:val="4"/>
  </w:num>
  <w:num w:numId="3" w16cid:durableId="930091940">
    <w:abstractNumId w:val="3"/>
  </w:num>
  <w:num w:numId="4" w16cid:durableId="1755391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1A1"/>
    <w:rsid w:val="000D6519"/>
    <w:rsid w:val="001B32F6"/>
    <w:rsid w:val="003A6A80"/>
    <w:rsid w:val="00444C5D"/>
    <w:rsid w:val="00844FEC"/>
    <w:rsid w:val="008B7040"/>
    <w:rsid w:val="00BD21A1"/>
    <w:rsid w:val="00F166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38F6C"/>
  <w15:docId w15:val="{12A745FC-7BCA-40F8-8DE8-8F7F32E47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1F3864"/>
      <w:sz w:val="36"/>
      <w:szCs w:val="36"/>
    </w:rPr>
  </w:style>
  <w:style w:type="paragraph" w:styleId="Heading2">
    <w:name w:val="heading 2"/>
    <w:uiPriority w:val="9"/>
    <w:unhideWhenUsed/>
    <w:qFormat/>
    <w:pPr>
      <w:spacing w:before="320" w:after="160"/>
      <w:outlineLvl w:val="1"/>
    </w:pPr>
    <w:rPr>
      <w:b/>
      <w:bCs/>
      <w:color w:val="2E4057"/>
      <w:sz w:val="28"/>
      <w:szCs w:val="28"/>
    </w:rPr>
  </w:style>
  <w:style w:type="paragraph" w:styleId="Heading3">
    <w:name w:val="heading 3"/>
    <w:uiPriority w:val="9"/>
    <w:unhideWhenUsed/>
    <w:qFormat/>
    <w:pPr>
      <w:spacing w:before="240" w:after="120"/>
      <w:outlineLvl w:val="2"/>
    </w:pPr>
    <w:rPr>
      <w:b/>
      <w:bCs/>
      <w:color w:val="2E4057"/>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44F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10952</Words>
  <Characters>62433</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cp:lastModifiedBy>
  <cp:revision>2</cp:revision>
  <dcterms:created xsi:type="dcterms:W3CDTF">2026-04-21T04:10:00Z</dcterms:created>
  <dcterms:modified xsi:type="dcterms:W3CDTF">2026-04-21T04:10:00Z</dcterms:modified>
</cp:coreProperties>
</file>