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5139F39" w14:textId="3CC3D68E" w:rsidR="009303D9" w:rsidRPr="008B6524" w:rsidRDefault="00F37C4A" w:rsidP="008B6524">
      <w:pPr>
        <w:pStyle w:val="papertitle"/>
        <w:spacing w:before="5pt" w:beforeAutospacing="1" w:after="5pt" w:afterAutospacing="1"/>
        <w:rPr>
          <w:kern w:val="48"/>
        </w:rPr>
      </w:pPr>
      <w:r>
        <w:rPr>
          <w:kern w:val="48"/>
        </w:rPr>
        <w:t>Spectral Efficiency of MU-Massive MIMO System for Perfect and Imperfect CSI Condition</w:t>
      </w:r>
    </w:p>
    <w:p w14:paraId="32FB178C" w14:textId="77777777" w:rsidR="00D7522C" w:rsidRDefault="00D7522C" w:rsidP="003B4E04">
      <w:pPr>
        <w:pStyle w:val="Author"/>
        <w:spacing w:before="5pt" w:beforeAutospacing="1" w:after="5pt" w:afterAutospacing="1" w:line="6pt" w:lineRule="auto"/>
        <w:rPr>
          <w:sz w:val="16"/>
          <w:szCs w:val="16"/>
        </w:rPr>
      </w:pPr>
    </w:p>
    <w:p w14:paraId="65C335E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C9C677" w14:textId="77777777" w:rsidR="00F37C4A" w:rsidRPr="0086522E" w:rsidRDefault="00F37C4A" w:rsidP="00F37C4A">
      <w:pPr>
        <w:pStyle w:val="Author"/>
        <w:spacing w:before="0pt" w:after="6pt" w:line="11.40pt" w:lineRule="auto"/>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Pr="0086522E">
        <w:rPr>
          <w:sz w:val="18"/>
          <w:szCs w:val="18"/>
        </w:rPr>
        <w:t xml:space="preserve">Ika Rohmatul Aini </w:t>
      </w:r>
      <w:r w:rsidRPr="0086522E">
        <w:rPr>
          <w:sz w:val="18"/>
          <w:szCs w:val="18"/>
        </w:rPr>
        <w:br/>
      </w:r>
      <w:r w:rsidRPr="0086522E">
        <w:rPr>
          <w:i/>
          <w:sz w:val="18"/>
          <w:szCs w:val="18"/>
        </w:rPr>
        <w:t>Electrical Engineering Dep</w:t>
      </w:r>
      <w:r>
        <w:rPr>
          <w:i/>
          <w:sz w:val="18"/>
          <w:szCs w:val="18"/>
        </w:rPr>
        <w:t>a</w:t>
      </w:r>
      <w:r w:rsidRPr="0086522E">
        <w:rPr>
          <w:i/>
          <w:sz w:val="18"/>
          <w:szCs w:val="18"/>
        </w:rPr>
        <w:t>rtment</w:t>
      </w:r>
      <w:r w:rsidRPr="0086522E">
        <w:rPr>
          <w:sz w:val="18"/>
          <w:szCs w:val="18"/>
        </w:rPr>
        <w:br/>
      </w:r>
      <w:r w:rsidRPr="0086522E">
        <w:rPr>
          <w:i/>
          <w:sz w:val="18"/>
          <w:szCs w:val="18"/>
        </w:rPr>
        <w:t>Institut Teknologi Sepuluh Nopember</w:t>
      </w:r>
      <w:r w:rsidRPr="0086522E">
        <w:rPr>
          <w:i/>
          <w:sz w:val="18"/>
          <w:szCs w:val="18"/>
        </w:rPr>
        <w:br/>
      </w:r>
      <w:r w:rsidRPr="0086522E">
        <w:rPr>
          <w:sz w:val="18"/>
          <w:szCs w:val="18"/>
        </w:rPr>
        <w:t>Surabaya, Indonesia</w:t>
      </w:r>
      <w:r w:rsidRPr="0086522E">
        <w:rPr>
          <w:sz w:val="18"/>
          <w:szCs w:val="18"/>
        </w:rPr>
        <w:br/>
      </w:r>
      <w:bookmarkStart w:id="0" w:name="_Hlk59701807"/>
      <w:r w:rsidRPr="0086522E">
        <w:rPr>
          <w:sz w:val="18"/>
          <w:szCs w:val="18"/>
        </w:rPr>
        <w:t>ikaaini.17071@mhs.its.ac.id</w:t>
      </w:r>
      <w:bookmarkEnd w:id="0"/>
    </w:p>
    <w:p w14:paraId="39CFA011" w14:textId="77777777" w:rsidR="00F37C4A" w:rsidRPr="0086522E" w:rsidRDefault="00F37C4A" w:rsidP="00F37C4A">
      <w:pPr>
        <w:pStyle w:val="Author"/>
        <w:spacing w:before="0pt" w:after="6pt" w:line="11.40pt" w:lineRule="auto"/>
        <w:rPr>
          <w:sz w:val="18"/>
          <w:szCs w:val="18"/>
        </w:rPr>
      </w:pPr>
      <w:r w:rsidRPr="0086522E">
        <w:rPr>
          <w:sz w:val="18"/>
          <w:szCs w:val="18"/>
        </w:rPr>
        <w:br w:type="column"/>
      </w:r>
      <w:r w:rsidRPr="0086522E">
        <w:rPr>
          <w:sz w:val="18"/>
          <w:szCs w:val="18"/>
        </w:rPr>
        <w:br w:type="column"/>
      </w:r>
      <w:bookmarkStart w:id="1" w:name="_Hlk59701882"/>
      <w:r w:rsidRPr="00F847A6">
        <w:rPr>
          <w:sz w:val="18"/>
          <w:szCs w:val="18"/>
        </w:rPr>
        <w:t>2</w:t>
      </w:r>
      <w:r w:rsidRPr="00F847A6">
        <w:rPr>
          <w:sz w:val="18"/>
          <w:szCs w:val="18"/>
          <w:vertAlign w:val="superscript"/>
        </w:rPr>
        <w:t>nd</w:t>
      </w:r>
      <w:r w:rsidRPr="0086522E">
        <w:rPr>
          <w:sz w:val="18"/>
          <w:szCs w:val="18"/>
        </w:rPr>
        <w:t xml:space="preserve"> Puji Handayani</w:t>
      </w:r>
      <w:bookmarkEnd w:id="1"/>
      <w:r w:rsidRPr="0086522E">
        <w:rPr>
          <w:sz w:val="18"/>
          <w:szCs w:val="18"/>
        </w:rPr>
        <w:br/>
      </w:r>
      <w:bookmarkStart w:id="2" w:name="_Hlk59701904"/>
      <w:r w:rsidRPr="0086522E">
        <w:rPr>
          <w:i/>
          <w:sz w:val="18"/>
          <w:szCs w:val="18"/>
        </w:rPr>
        <w:t>Electrical Engineering Dep</w:t>
      </w:r>
      <w:r>
        <w:rPr>
          <w:i/>
          <w:sz w:val="18"/>
          <w:szCs w:val="18"/>
        </w:rPr>
        <w:t>a</w:t>
      </w:r>
      <w:r w:rsidRPr="0086522E">
        <w:rPr>
          <w:i/>
          <w:sz w:val="18"/>
          <w:szCs w:val="18"/>
        </w:rPr>
        <w:t>rtment</w:t>
      </w:r>
      <w:bookmarkEnd w:id="2"/>
      <w:r w:rsidRPr="0086522E">
        <w:rPr>
          <w:sz w:val="18"/>
          <w:szCs w:val="18"/>
        </w:rPr>
        <w:br/>
      </w:r>
      <w:bookmarkStart w:id="3" w:name="_Hlk59701923"/>
      <w:r w:rsidRPr="0086522E">
        <w:rPr>
          <w:i/>
          <w:sz w:val="18"/>
          <w:szCs w:val="18"/>
        </w:rPr>
        <w:t xml:space="preserve">Institut Teknologi Sepuluh Nopember </w:t>
      </w:r>
      <w:bookmarkEnd w:id="3"/>
      <w:r w:rsidRPr="0086522E">
        <w:rPr>
          <w:i/>
          <w:sz w:val="18"/>
          <w:szCs w:val="18"/>
        </w:rPr>
        <w:br/>
      </w:r>
      <w:bookmarkStart w:id="4" w:name="_Hlk59701940"/>
      <w:r w:rsidRPr="0086522E">
        <w:rPr>
          <w:sz w:val="18"/>
          <w:szCs w:val="18"/>
        </w:rPr>
        <w:t>Surabaya, Indonesia</w:t>
      </w:r>
      <w:bookmarkEnd w:id="4"/>
      <w:r w:rsidRPr="0086522E">
        <w:rPr>
          <w:sz w:val="18"/>
          <w:szCs w:val="18"/>
        </w:rPr>
        <w:br/>
      </w:r>
      <w:bookmarkStart w:id="5" w:name="_Hlk59701952"/>
      <w:r w:rsidRPr="0086522E">
        <w:rPr>
          <w:sz w:val="18"/>
          <w:szCs w:val="18"/>
        </w:rPr>
        <w:t>puji@ee.its.ac.id</w:t>
      </w:r>
      <w:bookmarkEnd w:id="5"/>
    </w:p>
    <w:p w14:paraId="41E842F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65D6DA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434494" w14:textId="3AF7BD35" w:rsidR="004D72B5" w:rsidRDefault="009303D9" w:rsidP="00972203">
      <w:pPr>
        <w:pStyle w:val="Abstract"/>
        <w:rPr>
          <w:i/>
          <w:iCs/>
        </w:rPr>
      </w:pPr>
      <w:r>
        <w:rPr>
          <w:i/>
          <w:iCs/>
        </w:rPr>
        <w:t>Abstract</w:t>
      </w:r>
      <w:r>
        <w:t>—</w:t>
      </w:r>
      <w:r w:rsidR="009958EB" w:rsidRPr="009958EB">
        <w:t xml:space="preserve"> </w:t>
      </w:r>
      <w:r w:rsidR="009958EB" w:rsidRPr="009958EB">
        <w:t xml:space="preserve">Multi User Massive MIMO (MU-Massive MIMO) is a form of multi-user large-scale antennas technology, in which </w:t>
      </w:r>
      <w:proofErr w:type="gramStart"/>
      <w:r w:rsidR="009958EB" w:rsidRPr="009958EB">
        <w:t>hundreds</w:t>
      </w:r>
      <w:proofErr w:type="gramEnd"/>
      <w:r w:rsidR="009958EB" w:rsidRPr="009958EB">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linear precoding are used to overcome Multi User Interference (MUI) at receiver. From the simulation results, it can be seen that imperfect CSI has an impact on system performance due to channel estimation errors. In imperfect CSI condition, Bit error rate (BER) of the system is little bit higher and the spectral efficiency is slightly decreased.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r w:rsidR="009958EB" w:rsidRPr="009958EB">
        <w:t xml:space="preserve"> </w:t>
      </w:r>
    </w:p>
    <w:p w14:paraId="34AAB71C" w14:textId="297DEE63" w:rsidR="009303D9" w:rsidRPr="004D72B5" w:rsidRDefault="004D72B5" w:rsidP="00972203">
      <w:pPr>
        <w:pStyle w:val="Keywords"/>
      </w:pPr>
      <w:r w:rsidRPr="004D72B5">
        <w:t>Keywords—</w:t>
      </w:r>
      <w:r w:rsidR="00DE6461" w:rsidRPr="00DE6461">
        <w:t xml:space="preserve"> </w:t>
      </w:r>
      <w:r w:rsidR="00DE6461" w:rsidRPr="00DE6461">
        <w:t>MU-Massive MIMO, Rayleigh, UR-LOS, Perfect CSI, Imperfect CSI, Spectral Efficiency, ZF, MMSE, MUI.</w:t>
      </w:r>
    </w:p>
    <w:p w14:paraId="143F82BE" w14:textId="26ED6ECE" w:rsidR="009303D9" w:rsidRPr="00D632BE" w:rsidRDefault="009303D9" w:rsidP="006B6B66">
      <w:pPr>
        <w:pStyle w:val="Heading1"/>
      </w:pPr>
      <w:r w:rsidRPr="00D632BE">
        <w:t xml:space="preserve">Introduction </w:t>
      </w:r>
    </w:p>
    <w:p w14:paraId="1EED79BF" w14:textId="77777777" w:rsidR="00DE6461" w:rsidRDefault="00DE6461" w:rsidP="00DE6461">
      <w:pPr>
        <w:pStyle w:val="BodyText"/>
      </w:pPr>
      <w:r>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 the antennas can be hundreds or even more [1]. By using massive antenna elements, the spectral efficiency and energy efficiency will be significantly increased, compared to the small-scale MIMO system.</w:t>
      </w:r>
    </w:p>
    <w:p w14:paraId="17644744" w14:textId="77777777" w:rsidR="00DE6461" w:rsidRDefault="00DE6461" w:rsidP="00DE6461">
      <w:pPr>
        <w:pStyle w:val="BodyText"/>
      </w:pPr>
      <w:r>
        <w:t xml:space="preserve">In order to serve multiple users simultaneously, Multi User Massive MIMO (MU-Massive MIMO) system is used. Hundreds of antennas on a BS can serve tens of users at same time and frequency resources, where each user uses single antenna. The advantages of single antenna user are that it is inexpensive, simple and uses more efficient power, but each user still get a high throughput [1]. The design and analysis of the Massive MIMO system is an interesting topic to study [2]-[5]. Some advantages of Massive MIMO system compared to conventional MIMO are, only BS that needs to estimate the channel, the number of BS antennas is much larger than the number of users, and simple linear processing techniques can be applied both on the uplink and downlink side [6]. In order to implement MU-Massive MIMO system which represents </w:t>
      </w:r>
      <w:r>
        <w:t xml:space="preserve">the real conditions, Channel State Information (CSI) on the BS or user side is required. CSI is not only useful for obtaining high SNR on the user side, but also reducing interference generated by other users in a cell. However, channel estimation will be very complex because it is proportional to the large number of BS antennas, hence some previous research on Massive MIMO system assumed perfect CSI condition on both the BS and the user side [7]-[9]. In actual condition, the channel response can change at any time according to the propagation environment, hence the channel estimation is needed. Imperfection of the channel estimation process due to channel estimation error is known as imperfect CSI condition, because BS only know the noisy version of the channel. </w:t>
      </w:r>
    </w:p>
    <w:p w14:paraId="7D0EBBFD" w14:textId="77777777" w:rsidR="00DE6461" w:rsidRDefault="00DE6461" w:rsidP="00DE6461">
      <w:pPr>
        <w:pStyle w:val="BodyText"/>
      </w:pPr>
      <w:r>
        <w:t xml:space="preserve">We assume that the system works on TDD operation, so that the uplink and downlink channel are reciprocal. BS can obtain CSI from the uplink pilots training sent by users. The number of transmitted pilots is proportional to the number of users which is much smaller than the number of BS antennas. Then BS use CSI to </w:t>
      </w:r>
      <w:proofErr w:type="spellStart"/>
      <w:r>
        <w:t>precode</w:t>
      </w:r>
      <w:proofErr w:type="spellEnd"/>
      <w:r>
        <w:t xml:space="preserve"> the transmitted signal in order to reduce Multi User Interference (MUI). In addition, the downlink SE for the k-</w:t>
      </w:r>
      <w:proofErr w:type="spellStart"/>
      <w:r>
        <w:t>th</w:t>
      </w:r>
      <w:proofErr w:type="spellEnd"/>
      <w:r>
        <w:t xml:space="preserve"> user in a cell really depends on the precoding capability to reduce interference between users [10]. Form [1,12], it is shown that the use of large-scale antennas on the BS will increase spectral efficiency without bound. Hence, the use of a massive number of antenna elements with constant number of users will significantly increase the spectral efficiency. </w:t>
      </w:r>
    </w:p>
    <w:p w14:paraId="64A9DEBC" w14:textId="1E024C08" w:rsidR="009303D9" w:rsidRDefault="00DE6461" w:rsidP="00DE6461">
      <w:pPr>
        <w:pStyle w:val="BodyText"/>
      </w:pPr>
      <w:r>
        <w:t>This paper analyses single cell MU-Massive MIMO communication system with a downlink scheme on the Rayleigh and the Uniformly Random Line of Sight (UR-LOS) channel. This system is assumed to be operated over a frequency-selective channel and uses Orthogonal Frequency Division Multiplexing (OFDM). We investigated the performance in specific conditions. First, we assume that the BS knows the channel information state (perfect CSI condition). And second, BS estimates the channel at a certain coherence interval (Imperfect CSI condition) using Least-Square (LS) estimation. The parameters that will be observed are Bit Error Rate (BER) and Spectral Efficiency (SE) using Zero Forcing (ZF) and Minimum Mean Square Error (MMSE) linear precoding technique .</w:t>
      </w:r>
    </w:p>
    <w:p w14:paraId="77BF5E0B" w14:textId="2B50036C" w:rsidR="00DE6461" w:rsidRDefault="00DE6461" w:rsidP="00DE6461">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bookmarkStart w:id="6" w:name="_Hlk59627695"/>
      <w:r w:rsidRPr="0086522E">
        <w:rPr>
          <w:rStyle w:val="Strong"/>
          <w:rFonts w:ascii="Cambria Math" w:hAnsi="Cambria Math" w:cs="Cambria Math"/>
          <w:b w:val="0"/>
          <w:bCs w:val="0"/>
          <w:sz w:val="21"/>
          <w:szCs w:val="21"/>
          <w:shd w:val="clear" w:color="auto" w:fill="FFFFFF"/>
        </w:rPr>
        <w:t>𝔼</w:t>
      </w:r>
      <w:bookmarkEnd w:id="6"/>
      <w:r w:rsidRPr="0086522E">
        <w:rPr>
          <w:lang w:val="en-US"/>
        </w:rPr>
        <w:t>{.} denote</w:t>
      </w:r>
      <w:r>
        <w:rPr>
          <w:lang w:val="en-US"/>
        </w:rPr>
        <w:t>s</w:t>
      </w:r>
      <w:r w:rsidRPr="0086522E">
        <w:rPr>
          <w:lang w:val="en-US"/>
        </w:rPr>
        <w:t xml:space="preserve"> expectation operator. For a matrix </w:t>
      </w:r>
      <w:r>
        <w:rPr>
          <w:b/>
          <w:bCs/>
          <w:lang w:val="en-US"/>
        </w:rPr>
        <w:t>H</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Pr>
          <w:b/>
          <w:bCs/>
          <w:lang w:val="en-US"/>
        </w:rPr>
        <w:t>H</w:t>
      </w:r>
      <w:r w:rsidRPr="0086522E">
        <w:rPr>
          <w:lang w:val="en-US"/>
        </w:rPr>
        <w:t xml:space="preserve">) is trace of matrix </w:t>
      </w:r>
      <w:r>
        <w:rPr>
          <w:b/>
          <w:bCs/>
          <w:lang w:val="en-US"/>
        </w:rPr>
        <w:t>H</w:t>
      </w:r>
      <w:r w:rsidRPr="0086522E">
        <w:rPr>
          <w:b/>
          <w:bCs/>
          <w:lang w:val="en-US"/>
        </w:rPr>
        <w:t xml:space="preserve">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Pr>
          <w:rFonts w:eastAsiaTheme="minorEastAsia"/>
          <w:b/>
          <w:bCs/>
          <w:iCs/>
          <w:noProof/>
          <w:lang w:val="en-US"/>
        </w:rPr>
        <w:t>H</w:t>
      </w:r>
      <w:r w:rsidRPr="0086522E">
        <w:rPr>
          <w:rFonts w:eastAsiaTheme="minorEastAsia"/>
          <w:b/>
          <w:bCs/>
          <w:iCs/>
          <w:noProof/>
          <w:lang w:val="en-US"/>
        </w:rPr>
        <w:t xml:space="preserve">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
                  </m:rPr>
                  <w:rPr>
                    <w:rFonts w:ascii="Cambria Math" w:eastAsiaTheme="minorEastAsia" w:hAnsi="Cambria Math"/>
                    <w:noProof/>
                  </w:rPr>
                  <m:t>H</m:t>
                </m:r>
              </m:e>
            </m:d>
          </m:e>
          <m:sub>
            <m:r>
              <w:rPr>
                <w:rFonts w:ascii="Cambria Math" w:eastAsiaTheme="minorEastAsia" w:hAnsi="Cambria Math"/>
                <w:noProof/>
              </w:rPr>
              <m:t>k,m</m:t>
            </m:r>
          </m:sub>
        </m:sSub>
      </m:oMath>
      <w:r>
        <w:rPr>
          <w:rFonts w:eastAsiaTheme="minorEastAsia"/>
          <w:iCs/>
          <w:noProof/>
          <w:lang w:val="en-US"/>
        </w:rPr>
        <w:t xml:space="preserve">. </w:t>
      </w:r>
      <m:oMath>
        <m:r>
          <m:rPr>
            <m:scr m:val="double-struck"/>
          </m:rPr>
          <w:rPr>
            <w:rFonts w:ascii="Cambria Math" w:hAnsi="Cambria Math"/>
            <w:noProof/>
          </w:rPr>
          <m:t>C</m:t>
        </m:r>
      </m:oMath>
      <w:r>
        <w:rPr>
          <w:rFonts w:eastAsiaTheme="minorEastAsia"/>
          <w:iCs/>
          <w:noProof/>
          <w:lang w:val="en-US"/>
        </w:rPr>
        <w:t xml:space="preserve"> represents complex number, while </w:t>
      </w:r>
      <m:oMath>
        <m:r>
          <m:rPr>
            <m:scr m:val="script"/>
          </m:rPr>
          <w:rPr>
            <w:rFonts w:ascii="Cambria Math" w:eastAsiaTheme="minorEastAsia" w:hAnsi="Cambria Math"/>
            <w:noProof/>
          </w:rPr>
          <m:t>CN</m:t>
        </m:r>
      </m:oMath>
      <w:r>
        <w:rPr>
          <w:rFonts w:eastAsiaTheme="minorEastAsia"/>
          <w:iCs/>
          <w:noProof/>
          <w:lang w:val="en-US"/>
        </w:rPr>
        <w:t xml:space="preserve"> represents complex normal random variable.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40F949D0" w14:textId="77777777" w:rsidR="00DE6461" w:rsidRDefault="00DE6461" w:rsidP="00DE6461">
      <w:pPr>
        <w:pStyle w:val="BodyText"/>
        <w:rPr>
          <w:rFonts w:eastAsiaTheme="minorEastAsia"/>
          <w:iCs/>
          <w:noProof/>
          <w:lang w:val="en-US"/>
        </w:rPr>
        <w:sectPr w:rsidR="00DE6461" w:rsidSect="003B4E04">
          <w:type w:val="continuous"/>
          <w:pgSz w:w="595.30pt" w:h="841.90pt" w:code="9"/>
          <w:pgMar w:top="54pt" w:right="45.35pt" w:bottom="72pt" w:left="45.35pt" w:header="36pt" w:footer="36pt" w:gutter="0pt"/>
          <w:cols w:num="2" w:space="18pt"/>
          <w:docGrid w:linePitch="360"/>
        </w:sectPr>
      </w:pPr>
    </w:p>
    <w:p w14:paraId="2D3A9B06" w14:textId="77777777" w:rsidR="00DE6461" w:rsidRDefault="00DE6461" w:rsidP="00DE6461">
      <w:pPr>
        <w:pStyle w:val="BodyText"/>
        <w:keepNext/>
      </w:pPr>
      <w:r>
        <w:rPr>
          <w:noProof/>
        </w:rPr>
        <w:lastRenderedPageBreak/>
        <w:drawing>
          <wp:inline distT="0" distB="0" distL="0" distR="0" wp14:anchorId="0BF13990" wp14:editId="0F4CF970">
            <wp:extent cx="6130241" cy="1502796"/>
            <wp:effectExtent l="0" t="0" r="4445"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141107" cy="1505460"/>
                    </a:xfrm>
                    <a:prstGeom prst="rect">
                      <a:avLst/>
                    </a:prstGeom>
                  </pic:spPr>
                </pic:pic>
              </a:graphicData>
            </a:graphic>
          </wp:inline>
        </w:drawing>
      </w:r>
    </w:p>
    <w:p w14:paraId="07AB4C47" w14:textId="591C67ED" w:rsidR="00DE6461" w:rsidRPr="00DE6461" w:rsidRDefault="00DE6461" w:rsidP="00DE6461">
      <w:pPr>
        <w:pStyle w:val="Caption"/>
        <w:jc w:val="both"/>
        <w:rPr>
          <w:rFonts w:eastAsiaTheme="minorEastAsia"/>
          <w:i w:val="0"/>
          <w:iCs w:val="0"/>
          <w:noProof/>
          <w:color w:val="auto"/>
          <w:sz w:val="16"/>
          <w:szCs w:val="16"/>
        </w:rPr>
        <w:sectPr w:rsidR="00DE6461" w:rsidRPr="00DE6461" w:rsidSect="00DE6461">
          <w:type w:val="continuous"/>
          <w:pgSz w:w="595.30pt" w:h="841.90pt" w:code="9"/>
          <w:pgMar w:top="54pt" w:right="45.35pt" w:bottom="72pt" w:left="45.35pt" w:header="36pt" w:footer="36pt" w:gutter="0pt"/>
          <w:cols w:space="18pt"/>
          <w:docGrid w:linePitch="360"/>
        </w:sectPr>
      </w:pPr>
      <w:r w:rsidRPr="00DE6461">
        <w:rPr>
          <w:i w:val="0"/>
          <w:iCs w:val="0"/>
          <w:color w:val="auto"/>
          <w:sz w:val="16"/>
          <w:szCs w:val="16"/>
        </w:rPr>
        <w:t xml:space="preserve">Fig. </w:t>
      </w:r>
      <w:r w:rsidRPr="00DE6461">
        <w:rPr>
          <w:i w:val="0"/>
          <w:iCs w:val="0"/>
          <w:color w:val="auto"/>
          <w:sz w:val="16"/>
          <w:szCs w:val="16"/>
        </w:rPr>
        <w:fldChar w:fldCharType="begin"/>
      </w:r>
      <w:r w:rsidRPr="00DE6461">
        <w:rPr>
          <w:i w:val="0"/>
          <w:iCs w:val="0"/>
          <w:color w:val="auto"/>
          <w:sz w:val="16"/>
          <w:szCs w:val="16"/>
        </w:rPr>
        <w:instrText xml:space="preserve"> SEQ Fig. \* ARABIC </w:instrText>
      </w:r>
      <w:r w:rsidRPr="00DE6461">
        <w:rPr>
          <w:i w:val="0"/>
          <w:iCs w:val="0"/>
          <w:color w:val="auto"/>
          <w:sz w:val="16"/>
          <w:szCs w:val="16"/>
        </w:rPr>
        <w:fldChar w:fldCharType="separate"/>
      </w:r>
      <w:r w:rsidRPr="00DE6461">
        <w:rPr>
          <w:i w:val="0"/>
          <w:iCs w:val="0"/>
          <w:noProof/>
          <w:color w:val="auto"/>
          <w:sz w:val="16"/>
          <w:szCs w:val="16"/>
        </w:rPr>
        <w:t>1</w:t>
      </w:r>
      <w:r w:rsidRPr="00DE6461">
        <w:rPr>
          <w:i w:val="0"/>
          <w:iCs w:val="0"/>
          <w:color w:val="auto"/>
          <w:sz w:val="16"/>
          <w:szCs w:val="16"/>
        </w:rPr>
        <w:fldChar w:fldCharType="end"/>
      </w:r>
      <w:r w:rsidRPr="00DE6461">
        <w:rPr>
          <w:i w:val="0"/>
          <w:iCs w:val="0"/>
          <w:color w:val="auto"/>
          <w:sz w:val="16"/>
          <w:szCs w:val="16"/>
        </w:rPr>
        <w:t xml:space="preserve"> </w:t>
      </w:r>
      <w:r w:rsidRPr="00DE6461">
        <w:rPr>
          <w:i w:val="0"/>
          <w:iCs w:val="0"/>
          <w:color w:val="auto"/>
          <w:sz w:val="16"/>
          <w:szCs w:val="16"/>
        </w:rPr>
        <w:t>System model of MU-Massive MIMO downlink scheme.</w:t>
      </w:r>
    </w:p>
    <w:p w14:paraId="63D2AD08" w14:textId="77777777" w:rsidR="009303D9" w:rsidRDefault="009303D9" w:rsidP="006B6B66">
      <w:pPr>
        <w:pStyle w:val="Heading1"/>
      </w:pPr>
      <w:r>
        <w:t xml:space="preserve">Prepare Your Paper </w:t>
      </w:r>
      <w:r w:rsidRPr="005B520E">
        <w:t>Before</w:t>
      </w:r>
      <w:r>
        <w:t xml:space="preserve"> Styling</w:t>
      </w:r>
    </w:p>
    <w:p w14:paraId="24450AD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7BD820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C32B2B8" w14:textId="77777777" w:rsidR="009303D9" w:rsidRDefault="009303D9" w:rsidP="00ED0149">
      <w:pPr>
        <w:pStyle w:val="Heading2"/>
      </w:pPr>
      <w:r w:rsidRPr="00ED0149">
        <w:t>Abbreviations</w:t>
      </w:r>
      <w:r>
        <w:t xml:space="preserve"> and Acronyms</w:t>
      </w:r>
    </w:p>
    <w:p w14:paraId="0FFF04B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5642849" w14:textId="77777777" w:rsidR="009303D9" w:rsidRDefault="009303D9" w:rsidP="00ED0149">
      <w:pPr>
        <w:pStyle w:val="Heading2"/>
      </w:pPr>
      <w:r>
        <w:t>Units</w:t>
      </w:r>
    </w:p>
    <w:p w14:paraId="2E6A498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93345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04C540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B3FBF7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7A14A4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1AAED4A" w14:textId="77777777" w:rsidR="009303D9" w:rsidRPr="005B520E" w:rsidRDefault="009303D9" w:rsidP="00ED0149">
      <w:pPr>
        <w:pStyle w:val="Heading2"/>
      </w:pPr>
      <w:r w:rsidRPr="005B520E">
        <w:t>Equations</w:t>
      </w:r>
    </w:p>
    <w:p w14:paraId="755E20D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2007EB" w14:textId="4394F83C" w:rsidR="009303D9" w:rsidRPr="00D7522C" w:rsidRDefault="009303D9" w:rsidP="00E7596C">
      <w:pPr>
        <w:pStyle w:val="BodyText"/>
        <w:rPr>
          <w:lang w:val="en-US"/>
        </w:rPr>
      </w:pPr>
      <w:r w:rsidRPr="005B520E">
        <w:t xml:space="preserve">Number equations consecutively. Equation numbers, within parentheses, are to position flush right, as in (1), using </w:t>
      </w:r>
      <w:r w:rsidRPr="005B520E">
        <w:t>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DFB2C34" w14:textId="77777777" w:rsidR="00DE6461" w:rsidRDefault="009303D9" w:rsidP="003A19E2">
      <w:pPr>
        <w:pStyle w:val="equation"/>
      </w:pPr>
      <w:r w:rsidRPr="005B520E">
        <w:tab/>
      </w:r>
    </w:p>
    <w:p w14:paraId="231610A0" w14:textId="77777777" w:rsidR="00DE6461" w:rsidRDefault="00DE6461" w:rsidP="003A19E2">
      <w:pPr>
        <w:pStyle w:val="equation"/>
      </w:pPr>
    </w:p>
    <w:p w14:paraId="33777E61" w14:textId="77777777" w:rsidR="00DE6461" w:rsidRDefault="00DE6461" w:rsidP="003A19E2">
      <w:pPr>
        <w:pStyle w:val="equation"/>
      </w:pPr>
    </w:p>
    <w:p w14:paraId="62DC946A" w14:textId="2088998D" w:rsidR="009303D9" w:rsidRPr="005B520E" w:rsidRDefault="008A2C7D" w:rsidP="003A19E2">
      <w:pPr>
        <w:pStyle w:val="equation"/>
        <w:rPr>
          <w:rFonts w:hint="eastAsia"/>
        </w:rPr>
      </w:pP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4336A2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20E0CA5" w14:textId="77777777" w:rsidR="009303D9" w:rsidRDefault="009303D9" w:rsidP="00ED0149">
      <w:pPr>
        <w:pStyle w:val="Heading2"/>
      </w:pPr>
      <w:r>
        <w:t>Some Common Mistakes</w:t>
      </w:r>
    </w:p>
    <w:p w14:paraId="1007E392" w14:textId="77777777" w:rsidR="009303D9" w:rsidRPr="005B520E" w:rsidRDefault="009303D9" w:rsidP="00E7596C">
      <w:pPr>
        <w:pStyle w:val="bulletlist"/>
      </w:pPr>
      <w:r w:rsidRPr="005B520E">
        <w:t>The word “data” is plural, not singular.</w:t>
      </w:r>
    </w:p>
    <w:p w14:paraId="19B2126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790CB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EA197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DF67D5" w14:textId="77777777" w:rsidR="009303D9" w:rsidRPr="005B520E" w:rsidRDefault="009303D9" w:rsidP="00E7596C">
      <w:pPr>
        <w:pStyle w:val="bulletlist"/>
      </w:pPr>
      <w:r w:rsidRPr="005B520E">
        <w:t>Do not use the word “essentially” to mean “approximately” or “effectively”.</w:t>
      </w:r>
    </w:p>
    <w:p w14:paraId="319F376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41D999A" w14:textId="77777777"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14:paraId="3E9A7659" w14:textId="77777777" w:rsidR="009303D9" w:rsidRPr="005B520E" w:rsidRDefault="009303D9" w:rsidP="00E7596C">
      <w:pPr>
        <w:pStyle w:val="bulletlist"/>
      </w:pPr>
      <w:r w:rsidRPr="005B520E">
        <w:t>Do not confuse “imply” and “infer”.</w:t>
      </w:r>
    </w:p>
    <w:p w14:paraId="46BB0029" w14:textId="77777777" w:rsidR="009303D9" w:rsidRPr="005B520E" w:rsidRDefault="009303D9" w:rsidP="00E7596C">
      <w:pPr>
        <w:pStyle w:val="bulletlist"/>
      </w:pPr>
      <w:r w:rsidRPr="005B520E">
        <w:t>The prefix “non” is not a word; it should be joined to the word it modifies, usually without a hyphen.</w:t>
      </w:r>
    </w:p>
    <w:p w14:paraId="0F01F7D8" w14:textId="77777777" w:rsidR="009303D9" w:rsidRPr="005B520E" w:rsidRDefault="009303D9" w:rsidP="00E7596C">
      <w:pPr>
        <w:pStyle w:val="bulletlist"/>
      </w:pPr>
      <w:r w:rsidRPr="005B520E">
        <w:t>There is no period after the “et” in the Latin abbreviation “et al.”.</w:t>
      </w:r>
    </w:p>
    <w:p w14:paraId="598DCFDE" w14:textId="77777777" w:rsidR="009303D9" w:rsidRPr="005B520E" w:rsidRDefault="009303D9" w:rsidP="00E7596C">
      <w:pPr>
        <w:pStyle w:val="bulletlist"/>
      </w:pPr>
      <w:r w:rsidRPr="005B520E">
        <w:t>The abbreviation “i.e.” means “that is”, and the abbreviation “e.g.” means “for example”.</w:t>
      </w:r>
    </w:p>
    <w:p w14:paraId="306C4C8B" w14:textId="77777777" w:rsidR="009303D9" w:rsidRPr="005B520E" w:rsidRDefault="009303D9" w:rsidP="00E7596C">
      <w:pPr>
        <w:pStyle w:val="BodyText"/>
      </w:pPr>
      <w:r w:rsidRPr="005B520E">
        <w:t>An excellent style manual for science writers is [7].</w:t>
      </w:r>
    </w:p>
    <w:p w14:paraId="45C1429E" w14:textId="77777777" w:rsidR="009303D9" w:rsidRDefault="009303D9" w:rsidP="006B6B66">
      <w:pPr>
        <w:pStyle w:val="Heading1"/>
      </w:pPr>
      <w:r>
        <w:t xml:space="preserve">Using the </w:t>
      </w:r>
      <w:r w:rsidRPr="005B520E">
        <w:t>Template</w:t>
      </w:r>
    </w:p>
    <w:p w14:paraId="2225843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44ECDA9" w14:textId="77777777" w:rsidR="009303D9" w:rsidRDefault="009303D9" w:rsidP="00ED0149">
      <w:pPr>
        <w:pStyle w:val="Heading2"/>
      </w:pPr>
      <w:r w:rsidRPr="005B520E">
        <w:t>Authors</w:t>
      </w:r>
      <w:r>
        <w:t xml:space="preserve"> and Affiliations</w:t>
      </w:r>
    </w:p>
    <w:p w14:paraId="2E349A6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13F1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F34034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96DDAB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66D3D6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7D89F5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C656BB4" w14:textId="77777777" w:rsidR="006F6D3D" w:rsidRDefault="006F6D3D" w:rsidP="006F6D3D">
      <w:pPr>
        <w:jc w:val="start"/>
        <w:rPr>
          <w:i/>
          <w:iCs/>
          <w:noProof/>
        </w:rPr>
      </w:pPr>
    </w:p>
    <w:p w14:paraId="49E19A7A" w14:textId="77777777" w:rsidR="009303D9" w:rsidRDefault="009303D9" w:rsidP="00ED0149">
      <w:pPr>
        <w:pStyle w:val="Heading2"/>
      </w:pPr>
      <w:r w:rsidRPr="005B520E">
        <w:t>Identify</w:t>
      </w:r>
      <w:r>
        <w:t xml:space="preserve"> the Headings</w:t>
      </w:r>
    </w:p>
    <w:p w14:paraId="6EF01C1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C72ECD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FF57E7A"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01DDE4" w14:textId="77777777" w:rsidR="009303D9" w:rsidRDefault="009303D9" w:rsidP="00ED0149">
      <w:pPr>
        <w:pStyle w:val="Heading2"/>
      </w:pPr>
      <w:r>
        <w:t>Figures and Tables</w:t>
      </w:r>
    </w:p>
    <w:p w14:paraId="7AAA704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A26F1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557CABE" w14:textId="77777777">
        <w:trPr>
          <w:cantSplit/>
          <w:trHeight w:val="240"/>
          <w:tblHeader/>
          <w:jc w:val="center"/>
        </w:trPr>
        <w:tc>
          <w:tcPr>
            <w:tcW w:w="36pt" w:type="dxa"/>
            <w:vMerge w:val="restart"/>
            <w:vAlign w:val="center"/>
          </w:tcPr>
          <w:p w14:paraId="2D8DC092" w14:textId="77777777" w:rsidR="009303D9" w:rsidRDefault="009303D9">
            <w:pPr>
              <w:pStyle w:val="tablecolhead"/>
            </w:pPr>
            <w:r>
              <w:t>Table Head</w:t>
            </w:r>
          </w:p>
        </w:tc>
        <w:tc>
          <w:tcPr>
            <w:tcW w:w="207pt" w:type="dxa"/>
            <w:gridSpan w:val="3"/>
            <w:vAlign w:val="center"/>
          </w:tcPr>
          <w:p w14:paraId="32215F75" w14:textId="77777777" w:rsidR="009303D9" w:rsidRDefault="009303D9">
            <w:pPr>
              <w:pStyle w:val="tablecolhead"/>
            </w:pPr>
            <w:r>
              <w:t>Table Column Head</w:t>
            </w:r>
          </w:p>
        </w:tc>
      </w:tr>
      <w:tr w:rsidR="009303D9" w14:paraId="70291FAF" w14:textId="77777777">
        <w:trPr>
          <w:cantSplit/>
          <w:trHeight w:val="240"/>
          <w:tblHeader/>
          <w:jc w:val="center"/>
        </w:trPr>
        <w:tc>
          <w:tcPr>
            <w:tcW w:w="36pt" w:type="dxa"/>
            <w:vMerge/>
          </w:tcPr>
          <w:p w14:paraId="5409C08D" w14:textId="77777777" w:rsidR="009303D9" w:rsidRDefault="009303D9">
            <w:pPr>
              <w:rPr>
                <w:sz w:val="16"/>
                <w:szCs w:val="16"/>
              </w:rPr>
            </w:pPr>
          </w:p>
        </w:tc>
        <w:tc>
          <w:tcPr>
            <w:tcW w:w="117pt" w:type="dxa"/>
            <w:vAlign w:val="center"/>
          </w:tcPr>
          <w:p w14:paraId="152CBFC9" w14:textId="77777777" w:rsidR="009303D9" w:rsidRDefault="009303D9">
            <w:pPr>
              <w:pStyle w:val="tablecolsubhead"/>
            </w:pPr>
            <w:r>
              <w:t>Table column subhead</w:t>
            </w:r>
          </w:p>
        </w:tc>
        <w:tc>
          <w:tcPr>
            <w:tcW w:w="45pt" w:type="dxa"/>
            <w:vAlign w:val="center"/>
          </w:tcPr>
          <w:p w14:paraId="70C63E56" w14:textId="77777777" w:rsidR="009303D9" w:rsidRDefault="009303D9">
            <w:pPr>
              <w:pStyle w:val="tablecolsubhead"/>
            </w:pPr>
            <w:r>
              <w:t>Subhead</w:t>
            </w:r>
          </w:p>
        </w:tc>
        <w:tc>
          <w:tcPr>
            <w:tcW w:w="45pt" w:type="dxa"/>
            <w:vAlign w:val="center"/>
          </w:tcPr>
          <w:p w14:paraId="00524B8D" w14:textId="77777777" w:rsidR="009303D9" w:rsidRDefault="009303D9">
            <w:pPr>
              <w:pStyle w:val="tablecolsubhead"/>
            </w:pPr>
            <w:r>
              <w:t>Subhead</w:t>
            </w:r>
          </w:p>
        </w:tc>
      </w:tr>
      <w:tr w:rsidR="009303D9" w14:paraId="5BF10792" w14:textId="77777777">
        <w:trPr>
          <w:trHeight w:val="320"/>
          <w:jc w:val="center"/>
        </w:trPr>
        <w:tc>
          <w:tcPr>
            <w:tcW w:w="36pt" w:type="dxa"/>
            <w:vAlign w:val="center"/>
          </w:tcPr>
          <w:p w14:paraId="74B17701" w14:textId="77777777" w:rsidR="009303D9" w:rsidRDefault="009303D9">
            <w:pPr>
              <w:pStyle w:val="tablecopy"/>
              <w:rPr>
                <w:sz w:val="8"/>
                <w:szCs w:val="8"/>
              </w:rPr>
            </w:pPr>
            <w:r>
              <w:t>copy</w:t>
            </w:r>
          </w:p>
        </w:tc>
        <w:tc>
          <w:tcPr>
            <w:tcW w:w="117pt" w:type="dxa"/>
            <w:vAlign w:val="center"/>
          </w:tcPr>
          <w:p w14:paraId="572F684F" w14:textId="77777777" w:rsidR="009303D9" w:rsidRDefault="009303D9">
            <w:pPr>
              <w:pStyle w:val="tablecopy"/>
            </w:pPr>
            <w:r>
              <w:t>More table copy</w:t>
            </w:r>
            <w:r>
              <w:rPr>
                <w:vertAlign w:val="superscript"/>
              </w:rPr>
              <w:t>a</w:t>
            </w:r>
          </w:p>
        </w:tc>
        <w:tc>
          <w:tcPr>
            <w:tcW w:w="45pt" w:type="dxa"/>
            <w:vAlign w:val="center"/>
          </w:tcPr>
          <w:p w14:paraId="50C17DC8" w14:textId="77777777" w:rsidR="009303D9" w:rsidRDefault="009303D9">
            <w:pPr>
              <w:rPr>
                <w:sz w:val="16"/>
                <w:szCs w:val="16"/>
              </w:rPr>
            </w:pPr>
          </w:p>
        </w:tc>
        <w:tc>
          <w:tcPr>
            <w:tcW w:w="45pt" w:type="dxa"/>
            <w:vAlign w:val="center"/>
          </w:tcPr>
          <w:p w14:paraId="2A034EC1" w14:textId="77777777" w:rsidR="009303D9" w:rsidRDefault="009303D9">
            <w:pPr>
              <w:rPr>
                <w:sz w:val="16"/>
                <w:szCs w:val="16"/>
              </w:rPr>
            </w:pPr>
          </w:p>
        </w:tc>
      </w:tr>
    </w:tbl>
    <w:p w14:paraId="48BC54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C02213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8C0303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006788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34AEF6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CCFB8EF" w14:textId="77777777" w:rsidR="009303D9" w:rsidRDefault="009303D9" w:rsidP="00A059B3">
      <w:pPr>
        <w:pStyle w:val="Heading5"/>
      </w:pPr>
      <w:r w:rsidRPr="005B520E">
        <w:t>References</w:t>
      </w:r>
    </w:p>
    <w:p w14:paraId="07F680E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6BB407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8A59B7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4A8DA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B28526C" w14:textId="77777777" w:rsidR="009303D9" w:rsidRPr="005B520E" w:rsidRDefault="009303D9"/>
    <w:p w14:paraId="04EED9A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A214644" w14:textId="77777777" w:rsidR="009303D9" w:rsidRDefault="009303D9" w:rsidP="0004781E">
      <w:pPr>
        <w:pStyle w:val="references"/>
        <w:ind w:start="17.70pt" w:hanging="17.70pt"/>
      </w:pPr>
      <w:r>
        <w:t>J. Clerk Maxwell, A Treatise on Electricity and Magnetism, 3rd ed., vol. 2. Oxford: Clarendon, 1892, pp.68–73.</w:t>
      </w:r>
    </w:p>
    <w:p w14:paraId="4991940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0E92EB4" w14:textId="77777777" w:rsidR="009303D9" w:rsidRDefault="009303D9" w:rsidP="0004781E">
      <w:pPr>
        <w:pStyle w:val="references"/>
        <w:ind w:start="17.70pt" w:hanging="17.70pt"/>
      </w:pPr>
      <w:r>
        <w:t>K. Elissa, “Title of paper if known,” unpublished.</w:t>
      </w:r>
    </w:p>
    <w:p w14:paraId="3CB19EE2" w14:textId="77777777" w:rsidR="009303D9" w:rsidRDefault="009303D9" w:rsidP="0004781E">
      <w:pPr>
        <w:pStyle w:val="references"/>
        <w:ind w:start="17.70pt" w:hanging="17.70pt"/>
      </w:pPr>
      <w:r>
        <w:t>R. Nicole, “Title of paper with only first word capitalized,” J. Name Stand. Abbrev., in press.</w:t>
      </w:r>
    </w:p>
    <w:p w14:paraId="052928BC"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170C65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1A28C5A" w14:textId="77777777" w:rsidR="009303D9" w:rsidRDefault="009303D9" w:rsidP="00836367">
      <w:pPr>
        <w:pStyle w:val="references"/>
        <w:numPr>
          <w:ilvl w:val="0"/>
          <w:numId w:val="0"/>
        </w:numPr>
        <w:ind w:start="18pt" w:hanging="18pt"/>
      </w:pPr>
    </w:p>
    <w:p w14:paraId="63EF368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B0ADC96" w14:textId="77777777" w:rsidR="009303D9" w:rsidRDefault="003B2B40" w:rsidP="005B520E">
      <w:r>
        <w:rPr>
          <w:noProof/>
        </w:rPr>
        <w:drawing>
          <wp:anchor distT="0" distB="0" distL="114300" distR="114300" simplePos="0" relativeHeight="251657728" behindDoc="1" locked="0" layoutInCell="1" allowOverlap="1" wp14:anchorId="1ABD4BA6" wp14:editId="6B0BDB2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D8E051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65082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5B3CB52" w14:textId="77777777" w:rsidR="00113036" w:rsidRDefault="00113036" w:rsidP="001A3B3D">
      <w:r>
        <w:separator/>
      </w:r>
    </w:p>
  </w:endnote>
  <w:endnote w:type="continuationSeparator" w:id="0">
    <w:p w14:paraId="55D641F5" w14:textId="77777777" w:rsidR="00113036" w:rsidRDefault="001130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AEBCF6C" w14:textId="36C3C3D2"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A9D2A4D" w14:textId="77777777" w:rsidR="00113036" w:rsidRDefault="00113036" w:rsidP="001A3B3D">
      <w:r>
        <w:separator/>
      </w:r>
    </w:p>
  </w:footnote>
  <w:footnote w:type="continuationSeparator" w:id="0">
    <w:p w14:paraId="062A6257" w14:textId="77777777" w:rsidR="00113036" w:rsidRDefault="001130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E9"/>
    <w:rsid w:val="0004781E"/>
    <w:rsid w:val="0008758A"/>
    <w:rsid w:val="000C1E68"/>
    <w:rsid w:val="00113036"/>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58EB"/>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6461"/>
    <w:rsid w:val="00E07383"/>
    <w:rsid w:val="00E165BC"/>
    <w:rsid w:val="00E61E12"/>
    <w:rsid w:val="00E7596C"/>
    <w:rsid w:val="00E878F2"/>
    <w:rsid w:val="00ED0149"/>
    <w:rsid w:val="00EF7DE3"/>
    <w:rsid w:val="00F03103"/>
    <w:rsid w:val="00F271DE"/>
    <w:rsid w:val="00F37C4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EB07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E6461"/>
    <w:rPr>
      <w:b/>
      <w:bCs/>
    </w:rPr>
  </w:style>
  <w:style w:type="paragraph" w:styleId="Caption">
    <w:name w:val="caption"/>
    <w:basedOn w:val="Normal"/>
    <w:next w:val="Normal"/>
    <w:unhideWhenUsed/>
    <w:qFormat/>
    <w:rsid w:val="00DE6461"/>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4</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13</cp:revision>
  <cp:lastPrinted>2020-12-23T20:38:00Z</cp:lastPrinted>
  <dcterms:created xsi:type="dcterms:W3CDTF">2020-12-24T04:27:00Z</dcterms:created>
  <dcterms:modified xsi:type="dcterms:W3CDTF">2020-12-24T04:45:00Z</dcterms:modified>
</cp:coreProperties>
</file>