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3BAED" w14:textId="417A7E40" w:rsidR="00A45F42" w:rsidRDefault="00A45F42">
      <w:pPr>
        <w:rPr>
          <w:rStyle w:val="fontstyle01"/>
        </w:rPr>
      </w:pPr>
      <w:r>
        <w:rPr>
          <w:rStyle w:val="fontstyle01"/>
        </w:rPr>
        <w:t xml:space="preserve">[a] T. L. Marzetta, “Noncooperative cellular wireless with unlimited numbers of BS antennas,” </w:t>
      </w:r>
      <w:r>
        <w:rPr>
          <w:rStyle w:val="fontstyle21"/>
        </w:rPr>
        <w:t xml:space="preserve">IEEE Trans. Wireless </w:t>
      </w:r>
      <w:proofErr w:type="spellStart"/>
      <w:r>
        <w:rPr>
          <w:rStyle w:val="fontstyle21"/>
        </w:rPr>
        <w:t>Commun</w:t>
      </w:r>
      <w:proofErr w:type="spellEnd"/>
      <w:r>
        <w:rPr>
          <w:rStyle w:val="fontstyle21"/>
        </w:rPr>
        <w:t>.</w:t>
      </w:r>
      <w:r>
        <w:rPr>
          <w:rStyle w:val="fontstyle01"/>
        </w:rPr>
        <w:t>, vol. 9, no. 11,</w:t>
      </w:r>
      <w:r>
        <w:rPr>
          <w:rFonts w:ascii="Times-Roman~1b" w:hAnsi="Times-Roman~1b"/>
          <w:color w:val="000000"/>
          <w:sz w:val="16"/>
          <w:szCs w:val="16"/>
        </w:rPr>
        <w:br/>
      </w:r>
      <w:r>
        <w:rPr>
          <w:rStyle w:val="fontstyle01"/>
        </w:rPr>
        <w:t>pp. 3590–3600, Nov. 2010.</w:t>
      </w:r>
      <w:r>
        <w:rPr>
          <w:rFonts w:ascii="Times-Roman~1b" w:hAnsi="Times-Roman~1b"/>
          <w:color w:val="000000"/>
          <w:sz w:val="16"/>
          <w:szCs w:val="16"/>
        </w:rPr>
        <w:br/>
      </w:r>
      <w:r>
        <w:rPr>
          <w:rStyle w:val="fontstyle01"/>
        </w:rPr>
        <w:t xml:space="preserve">[b] ——, “How much training is required for multiuser MIMO,” in </w:t>
      </w:r>
      <w:r>
        <w:rPr>
          <w:rStyle w:val="fontstyle21"/>
        </w:rPr>
        <w:t>Fortieth</w:t>
      </w:r>
      <w:r>
        <w:rPr>
          <w:rFonts w:ascii="Times-Italic~147" w:hAnsi="Times-Italic~147"/>
          <w:i/>
          <w:iCs/>
          <w:color w:val="000000"/>
          <w:sz w:val="16"/>
          <w:szCs w:val="16"/>
        </w:rPr>
        <w:br/>
      </w:r>
      <w:r>
        <w:rPr>
          <w:rStyle w:val="fontstyle21"/>
        </w:rPr>
        <w:t>Asilomar Conference on Signals, Systems and Computers (ACSSC ’06)</w:t>
      </w:r>
      <w:r>
        <w:rPr>
          <w:rStyle w:val="fontstyle01"/>
        </w:rPr>
        <w:t>,</w:t>
      </w:r>
      <w:r>
        <w:rPr>
          <w:rFonts w:ascii="Times-Roman~1b" w:hAnsi="Times-Roman~1b"/>
          <w:color w:val="000000"/>
          <w:sz w:val="16"/>
          <w:szCs w:val="16"/>
        </w:rPr>
        <w:br/>
      </w:r>
      <w:r>
        <w:rPr>
          <w:rStyle w:val="fontstyle01"/>
        </w:rPr>
        <w:t>Pacific Grove, CA, USA, Oct. 2006, pp. 359–363.</w:t>
      </w:r>
      <w:r>
        <w:rPr>
          <w:rFonts w:ascii="Times-Roman~1b" w:hAnsi="Times-Roman~1b"/>
          <w:color w:val="000000"/>
          <w:sz w:val="16"/>
          <w:szCs w:val="16"/>
        </w:rPr>
        <w:br/>
      </w:r>
      <w:r>
        <w:rPr>
          <w:rStyle w:val="fontstyle01"/>
        </w:rPr>
        <w:t xml:space="preserve">[c] F. </w:t>
      </w:r>
      <w:proofErr w:type="spellStart"/>
      <w:r>
        <w:rPr>
          <w:rStyle w:val="fontstyle01"/>
        </w:rPr>
        <w:t>Rusek</w:t>
      </w:r>
      <w:proofErr w:type="spellEnd"/>
      <w:r>
        <w:rPr>
          <w:rStyle w:val="fontstyle01"/>
        </w:rPr>
        <w:t>, D. Persson, B. K. Lau, E. G. Larsson, T. L. Marzetta,</w:t>
      </w:r>
      <w:r>
        <w:rPr>
          <w:rFonts w:ascii="Times-Roman~1b" w:hAnsi="Times-Roman~1b"/>
          <w:color w:val="000000"/>
          <w:sz w:val="16"/>
          <w:szCs w:val="16"/>
        </w:rPr>
        <w:br/>
      </w:r>
      <w:r>
        <w:rPr>
          <w:rStyle w:val="fontstyle01"/>
        </w:rPr>
        <w:t xml:space="preserve">O. </w:t>
      </w:r>
      <w:proofErr w:type="spellStart"/>
      <w:r>
        <w:rPr>
          <w:rStyle w:val="fontstyle01"/>
        </w:rPr>
        <w:t>Edfors</w:t>
      </w:r>
      <w:proofErr w:type="spellEnd"/>
      <w:r>
        <w:rPr>
          <w:rStyle w:val="fontstyle01"/>
        </w:rPr>
        <w:t xml:space="preserve">, and F. </w:t>
      </w:r>
      <w:proofErr w:type="spellStart"/>
      <w:r>
        <w:rPr>
          <w:rStyle w:val="fontstyle01"/>
        </w:rPr>
        <w:t>Tufvesson</w:t>
      </w:r>
      <w:proofErr w:type="spellEnd"/>
      <w:r>
        <w:rPr>
          <w:rStyle w:val="fontstyle01"/>
        </w:rPr>
        <w:t>, “Scaling up MIMO: Opportunities and</w:t>
      </w:r>
      <w:r>
        <w:rPr>
          <w:rFonts w:ascii="Times-Roman~1b" w:hAnsi="Times-Roman~1b"/>
          <w:color w:val="000000"/>
          <w:sz w:val="16"/>
          <w:szCs w:val="16"/>
        </w:rPr>
        <w:br/>
      </w:r>
      <w:r>
        <w:rPr>
          <w:rStyle w:val="fontstyle01"/>
        </w:rPr>
        <w:t xml:space="preserve">challenges with very large arrays,” </w:t>
      </w:r>
      <w:r>
        <w:rPr>
          <w:rStyle w:val="fontstyle21"/>
        </w:rPr>
        <w:t>IEEE Sig. Proc. Mag.</w:t>
      </w:r>
      <w:r>
        <w:rPr>
          <w:rStyle w:val="fontstyle01"/>
        </w:rPr>
        <w:t>, accepted.</w:t>
      </w:r>
      <w:r>
        <w:rPr>
          <w:rFonts w:ascii="Times-Roman~1b" w:hAnsi="Times-Roman~1b"/>
          <w:color w:val="000000"/>
          <w:sz w:val="16"/>
          <w:szCs w:val="16"/>
        </w:rPr>
        <w:br/>
      </w:r>
      <w:r>
        <w:rPr>
          <w:rStyle w:val="fontstyle01"/>
        </w:rPr>
        <w:t>[Online]. Available: arxiv.org/abs/1201.3210.</w:t>
      </w:r>
      <w:r>
        <w:rPr>
          <w:rFonts w:ascii="Times-Roman~1b" w:hAnsi="Times-Roman~1b"/>
          <w:color w:val="000000"/>
          <w:sz w:val="16"/>
          <w:szCs w:val="16"/>
        </w:rPr>
        <w:br/>
      </w:r>
      <w:r>
        <w:rPr>
          <w:rStyle w:val="fontstyle01"/>
        </w:rPr>
        <w:t xml:space="preserve">[d] J. </w:t>
      </w:r>
      <w:proofErr w:type="spellStart"/>
      <w:r>
        <w:rPr>
          <w:rStyle w:val="fontstyle01"/>
        </w:rPr>
        <w:t>Hoydis</w:t>
      </w:r>
      <w:proofErr w:type="spellEnd"/>
      <w:r>
        <w:rPr>
          <w:rStyle w:val="fontstyle01"/>
        </w:rPr>
        <w:t xml:space="preserve">, S. ten Brink, and M. </w:t>
      </w:r>
      <w:proofErr w:type="spellStart"/>
      <w:r>
        <w:rPr>
          <w:rStyle w:val="fontstyle01"/>
        </w:rPr>
        <w:t>Debbah</w:t>
      </w:r>
      <w:proofErr w:type="spellEnd"/>
      <w:r>
        <w:rPr>
          <w:rStyle w:val="fontstyle01"/>
        </w:rPr>
        <w:t>, “Massive MIMO in the UL/DL</w:t>
      </w:r>
      <w:r>
        <w:rPr>
          <w:rFonts w:ascii="Times-Roman~1b" w:hAnsi="Times-Roman~1b"/>
          <w:color w:val="000000"/>
          <w:sz w:val="16"/>
          <w:szCs w:val="16"/>
        </w:rPr>
        <w:br/>
      </w:r>
      <w:r>
        <w:rPr>
          <w:rStyle w:val="fontstyle01"/>
        </w:rPr>
        <w:t xml:space="preserve">of cellular networks: How many antennas do we </w:t>
      </w:r>
      <w:proofErr w:type="gramStart"/>
      <w:r>
        <w:rPr>
          <w:rStyle w:val="fontstyle01"/>
        </w:rPr>
        <w:t>need?,</w:t>
      </w:r>
      <w:proofErr w:type="gramEnd"/>
      <w:r>
        <w:rPr>
          <w:rStyle w:val="fontstyle01"/>
        </w:rPr>
        <w:t xml:space="preserve">” in </w:t>
      </w:r>
      <w:r>
        <w:rPr>
          <w:rStyle w:val="fontstyle21"/>
        </w:rPr>
        <w:t>IEEE J. Sel.</w:t>
      </w:r>
      <w:r>
        <w:rPr>
          <w:rFonts w:ascii="Times-Italic~147" w:hAnsi="Times-Italic~147"/>
          <w:i/>
          <w:iCs/>
          <w:color w:val="000000"/>
          <w:sz w:val="16"/>
          <w:szCs w:val="16"/>
        </w:rPr>
        <w:br/>
      </w:r>
      <w:r>
        <w:rPr>
          <w:rStyle w:val="fontstyle21"/>
        </w:rPr>
        <w:t xml:space="preserve">Areas </w:t>
      </w:r>
      <w:proofErr w:type="spellStart"/>
      <w:r>
        <w:rPr>
          <w:rStyle w:val="fontstyle21"/>
        </w:rPr>
        <w:t>Commun</w:t>
      </w:r>
      <w:proofErr w:type="spellEnd"/>
      <w:r>
        <w:rPr>
          <w:rStyle w:val="fontstyle21"/>
        </w:rPr>
        <w:t>.</w:t>
      </w:r>
      <w:r>
        <w:rPr>
          <w:rStyle w:val="fontstyle01"/>
        </w:rPr>
        <w:t>, 2012, accepted.</w:t>
      </w:r>
    </w:p>
    <w:p w14:paraId="134A2DF3" w14:textId="49BA2F03" w:rsidR="00226E69" w:rsidRDefault="00226E69">
      <w:pPr>
        <w:rPr>
          <w:rStyle w:val="fontstyle01"/>
        </w:rPr>
      </w:pPr>
      <w:r>
        <w:rPr>
          <w:rStyle w:val="fontstyle01"/>
        </w:rPr>
        <w:t>[11] Emil Bjornson</w:t>
      </w:r>
    </w:p>
    <w:p w14:paraId="03BF4781" w14:textId="77777777" w:rsidR="00226E69" w:rsidRPr="00226E69" w:rsidRDefault="00226E69" w:rsidP="00226E69">
      <w:pPr>
        <w:rPr>
          <w:rStyle w:val="fontstyle01"/>
        </w:rPr>
      </w:pPr>
      <w:r>
        <w:rPr>
          <w:rStyle w:val="fontstyle01"/>
        </w:rPr>
        <w:t xml:space="preserve">[12] </w:t>
      </w:r>
      <w:r w:rsidRPr="00226E69">
        <w:rPr>
          <w:rStyle w:val="fontstyle01"/>
        </w:rPr>
        <w:t>Hien Quoc Ngo, Erik G. Larsson</w:t>
      </w:r>
      <w:r>
        <w:rPr>
          <w:rStyle w:val="fontstyle01"/>
        </w:rPr>
        <w:t xml:space="preserve"> </w:t>
      </w:r>
      <w:r w:rsidRPr="00226E69">
        <w:rPr>
          <w:rStyle w:val="fontstyle01"/>
        </w:rPr>
        <w:t>Energy and Spectral Efficiency of Very Large</w:t>
      </w:r>
    </w:p>
    <w:p w14:paraId="13653079" w14:textId="5C26D68F" w:rsidR="00226E69" w:rsidRDefault="00226E69" w:rsidP="00226E69">
      <w:r w:rsidRPr="00226E69">
        <w:rPr>
          <w:rStyle w:val="fontstyle01"/>
        </w:rPr>
        <w:t>Multiuser MIMO Systems</w:t>
      </w:r>
    </w:p>
    <w:sectPr w:rsidR="00226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~1b">
    <w:altName w:val="Times New Roman"/>
    <w:panose1 w:val="00000000000000000000"/>
    <w:charset w:val="00"/>
    <w:family w:val="roman"/>
    <w:notTrueType/>
    <w:pitch w:val="default"/>
  </w:font>
  <w:font w:name="Times-Italic~147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42"/>
    <w:rsid w:val="001C147E"/>
    <w:rsid w:val="00226E69"/>
    <w:rsid w:val="00A4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43755"/>
  <w15:chartTrackingRefBased/>
  <w15:docId w15:val="{A6D9AC21-8375-49C3-B5A4-0A1F231D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45F42"/>
    <w:rPr>
      <w:rFonts w:ascii="Times-Roman~1b" w:hAnsi="Times-Roman~1b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A45F42"/>
    <w:rPr>
      <w:rFonts w:ascii="Times-Italic~147" w:hAnsi="Times-Italic~147" w:hint="default"/>
      <w:b w:val="0"/>
      <w:bCs w:val="0"/>
      <w:i/>
      <w:iCs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aini</dc:creator>
  <cp:keywords/>
  <dc:description/>
  <cp:lastModifiedBy>ika aini</cp:lastModifiedBy>
  <cp:revision>3</cp:revision>
  <dcterms:created xsi:type="dcterms:W3CDTF">2020-11-18T01:57:00Z</dcterms:created>
  <dcterms:modified xsi:type="dcterms:W3CDTF">2020-11-24T13:35:00Z</dcterms:modified>
</cp:coreProperties>
</file>