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80" w:before="0"/>
        <w:jc w:val="center"/>
      </w:pPr>
      <w:r>
        <w:rPr>
          <w:rFonts w:ascii="Arial" w:cs="Arial" w:eastAsia="Arial" w:hAnsi="Arial"/>
          <w:b/>
          <w:bCs/>
          <w:color w:val="1F3864"/>
          <w:sz w:val="52"/>
          <w:szCs w:val="52"/>
        </w:rPr>
        <w:t xml:space="preserve">TAMIL NADU</w:t>
      </w:r>
    </w:p>
    <w:p>
      <w:pPr>
        <w:spacing w:after="160" w:before="0"/>
        <w:jc w:val="center"/>
      </w:pPr>
      <w:r>
        <w:rPr>
          <w:rFonts w:ascii="Arial" w:cs="Arial" w:eastAsia="Arial" w:hAnsi="Arial"/>
          <w:b/>
          <w:bCs/>
          <w:color w:val="2E5FA3"/>
          <w:sz w:val="36"/>
          <w:szCs w:val="36"/>
        </w:rPr>
        <w:t xml:space="preserve">INDUSTRIAL DEVELOPMENT: A COMPREHENSIVE ASSESSMENT</w:t>
      </w:r>
    </w:p>
    <w:p>
      <w:pPr>
        <w:pBdr>
          <w:bottom w:val="single" w:color="B8860B" w:sz="12" w:space="1"/>
        </w:pBdr>
        <w:spacing w:after="240" w:before="0"/>
        <w:jc w:val="center"/>
      </w:pPr>
      <w:r>
        <w:rPr>
          <w:rFonts w:ascii="Arial" w:cs="Arial" w:eastAsia="Arial" w:hAnsi="Arial"/>
          <w:sz w:val="24"/>
          <w:szCs w:val="24"/>
        </w:rPr>
        <w:t xml:space="preserve"/>
      </w:r>
    </w:p>
    <w:p>
      <w:pPr>
        <w:spacing w:after="80" w:before="120"/>
        <w:jc w:val="center"/>
      </w:pPr>
      <w:r>
        <w:rPr>
          <w:rFonts w:ascii="Arial" w:cs="Arial" w:eastAsia="Arial" w:hAnsi="Arial"/>
          <w:i/>
          <w:iCs/>
          <w:color w:val="444444"/>
          <w:sz w:val="26"/>
          <w:szCs w:val="26"/>
        </w:rPr>
        <w:t xml:space="preserve">From Colonial Foundations to a Globally Integrated Economy</w:t>
      </w:r>
    </w:p>
    <w:p>
      <w:pPr>
        <w:spacing w:after="80" w:before="0"/>
        <w:jc w:val="center"/>
      </w:pPr>
      <w:r>
        <w:rPr>
          <w:rFonts w:ascii="Arial" w:cs="Arial" w:eastAsia="Arial" w:hAnsi="Arial"/>
          <w:b/>
          <w:bCs/>
          <w:color w:val="B8860B"/>
          <w:sz w:val="28"/>
          <w:szCs w:val="28"/>
        </w:rPr>
        <w:t xml:space="preserve">1947 — 2025</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60" w:before="0"/>
        <w:jc w:val="center"/>
      </w:pPr>
      <w:r>
        <w:rPr>
          <w:rFonts w:ascii="Arial" w:cs="Arial" w:eastAsia="Arial" w:hAnsi="Arial"/>
          <w:b/>
          <w:bCs/>
          <w:color w:val="555555"/>
          <w:sz w:val="20"/>
          <w:szCs w:val="20"/>
        </w:rPr>
        <w:t xml:space="preserve">Synthesising Key Sources:</w:t>
      </w:r>
    </w:p>
    <w:p>
      <w:pPr>
        <w:spacing w:after="40" w:before="0"/>
        <w:jc w:val="center"/>
      </w:pPr>
      <w:r>
        <w:rPr>
          <w:rFonts w:ascii="Arial" w:cs="Arial" w:eastAsia="Arial" w:hAnsi="Arial"/>
          <w:color w:val="444444"/>
          <w:sz w:val="19"/>
          <w:szCs w:val="19"/>
        </w:rPr>
        <w:t xml:space="preserve">•  Dr G. Yoganandham — Journal for Basic Sciences, Vol. 25 (2025)</w:t>
      </w:r>
    </w:p>
    <w:p>
      <w:pPr>
        <w:spacing w:after="40" w:before="0"/>
        <w:jc w:val="center"/>
      </w:pPr>
      <w:r>
        <w:rPr>
          <w:rFonts w:ascii="Arial" w:cs="Arial" w:eastAsia="Arial" w:hAnsi="Arial"/>
          <w:color w:val="444444"/>
          <w:sz w:val="19"/>
          <w:szCs w:val="19"/>
        </w:rPr>
        <w:t xml:space="preserve">•  Tamil Nadu Industrial Policy 1989 — Legislative Assembly Records</w:t>
      </w:r>
    </w:p>
    <w:p>
      <w:pPr>
        <w:spacing w:after="40" w:before="0"/>
        <w:jc w:val="center"/>
      </w:pPr>
      <w:r>
        <w:rPr>
          <w:rFonts w:ascii="Arial" w:cs="Arial" w:eastAsia="Arial" w:hAnsi="Arial"/>
          <w:color w:val="444444"/>
          <w:sz w:val="19"/>
          <w:szCs w:val="19"/>
        </w:rPr>
        <w:t xml:space="preserve">•  Kalaiyarasan A. — MIDS Working Paper No. 239 (2020)</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0"/>
        <w:jc w:val="center"/>
      </w:pPr>
      <w:r>
        <w:rPr>
          <w:rFonts w:ascii="Arial" w:cs="Arial" w:eastAsia="Arial" w:hAnsi="Arial"/>
          <w:color w:val="777777"/>
          <w:sz w:val="18"/>
          <w:szCs w:val="18"/>
        </w:rPr>
        <w:t xml:space="preserve">Classification: Policy Research Report   |   June 2026</w:t>
      </w:r>
    </w:p>
    <w:p>
      <w:r>
        <w:br w:type="page"/>
      </w:r>
    </w:p>
    <w:p>
      <w:pPr>
        <w:pStyle w:val="Heading1"/>
        <w:spacing w:after="160" w:before="360"/>
      </w:pPr>
      <w:r>
        <w:rPr>
          <w:rFonts w:ascii="Arial" w:cs="Arial" w:eastAsia="Arial" w:hAnsi="Arial"/>
          <w:b/>
          <w:bCs/>
          <w:color w:val="1F3864"/>
          <w:sz w:val="28"/>
          <w:szCs w:val="28"/>
        </w:rPr>
        <w:t xml:space="preserve">Executive Summary</w:t>
      </w:r>
    </w:p>
    <w:p>
      <w:pPr>
        <w:spacing w:after="80" w:before="80" w:line="276"/>
        <w:jc w:val="both"/>
      </w:pPr>
      <w:r>
        <w:rPr>
          <w:rFonts w:ascii="Arial" w:cs="Arial" w:eastAsia="Arial" w:hAnsi="Arial"/>
          <w:color w:val="222222"/>
          <w:sz w:val="20"/>
          <w:szCs w:val="20"/>
        </w:rPr>
        <w:t xml:space="preserve">Tamil Nadu's industrial journey from 1947 to 2025 stands as one of the most instructive cases of state-led development in the developing world. Beginning as a modest agrarian economy with around 3,761 factories at Independence, the state has grown into India's foremost manufacturing hub, hosting 15.66% of all national factories, contributing approximately 11.9% of India's manufacturing GDP, and attracting cumulative FDI inflows of ₹1,08,213 crore by December 2024.</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This report synthesises three primary research sources spanning pre-liberalisation institutional architecture (1989), structural transformation analysis (1980–2010), and a comprehensive sectoral assessment through 2025. Together, they illuminate a continuous thread of institutional investment, strategic policy adaptation, and inclusive growth that has made Tamil Nadu exceptional among Indian states.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Indicator</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 / Status</w:t>
            </w:r>
          </w:p>
        </w:tc>
      </w:tr>
      <w:tr>
        <w:tc>
          <w:tcPr>
            <w:tcW w:type="dxa" w:w="4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Factories in India (share)</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15.66% — highest nationally (ASI 2022–23)</w:t>
            </w:r>
          </w:p>
        </w:tc>
      </w:tr>
      <w:tr>
        <w:tc>
          <w:tcPr>
            <w:tcW w:type="dxa" w:w="4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Manufacturing GDP contribution</w:t>
            </w:r>
          </w:p>
        </w:tc>
        <w:tc>
          <w:tcPr>
            <w:tcW w:type="dxa" w:w="5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~11.9% of India’s national output</w:t>
            </w:r>
          </w:p>
        </w:tc>
      </w:tr>
      <w:tr>
        <w:tc>
          <w:tcPr>
            <w:tcW w:type="dxa" w:w="4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Registered MSMEs (2024)</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35.56 lakh units employing 2.56 crore workers</w:t>
            </w:r>
          </w:p>
        </w:tc>
      </w:tr>
      <w:tr>
        <w:tc>
          <w:tcPr>
            <w:tcW w:type="dxa" w:w="4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Electronics exports (FY 2024–25)</w:t>
            </w:r>
          </w:p>
        </w:tc>
        <w:tc>
          <w:tcPr>
            <w:tcW w:type="dxa" w:w="5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US$14.65 billion — 41.3% of India’s total</w:t>
            </w:r>
          </w:p>
        </w:tc>
      </w:tr>
      <w:tr>
        <w:tc>
          <w:tcPr>
            <w:tcW w:type="dxa" w:w="4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Textile exports (FY 2024–25)</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US$7.99 billion — highest among Indian states</w:t>
            </w:r>
          </w:p>
        </w:tc>
      </w:tr>
      <w:tr>
        <w:tc>
          <w:tcPr>
            <w:tcW w:type="dxa" w:w="4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FDI inflows (Dec 2024)</w:t>
            </w:r>
          </w:p>
        </w:tc>
        <w:tc>
          <w:tcPr>
            <w:tcW w:type="dxa" w:w="5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₹1,08,213 crore (~US$13.1 billion)</w:t>
            </w:r>
          </w:p>
        </w:tc>
      </w:tr>
      <w:tr>
        <w:tc>
          <w:tcPr>
            <w:tcW w:type="dxa" w:w="4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SEZs (2025)</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51 of India’s 280 operational zones</w:t>
            </w:r>
          </w:p>
        </w:tc>
      </w:tr>
      <w:tr>
        <w:tc>
          <w:tcPr>
            <w:tcW w:type="dxa" w:w="4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Installed power capacity (2025)</w:t>
            </w:r>
          </w:p>
        </w:tc>
        <w:tc>
          <w:tcPr>
            <w:tcW w:type="dxa" w:w="5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111,000 MW; renewables 23,109 MW (56.68%)</w:t>
            </w:r>
          </w:p>
        </w:tc>
      </w:tr>
      <w:tr>
        <w:tc>
          <w:tcPr>
            <w:tcW w:type="dxa" w:w="4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GSDP at current prices (2023–24)</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₹27.22 lakh crore — India’s 2nd largest state economy</w:t>
            </w:r>
          </w:p>
        </w:tc>
      </w:tr>
      <w:tr>
        <w:tc>
          <w:tcPr>
            <w:tcW w:type="dxa" w:w="4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Poverty rate (2023)</w:t>
            </w:r>
          </w:p>
        </w:tc>
        <w:tc>
          <w:tcPr>
            <w:tcW w:type="dxa" w:w="5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10.5% — down from 54% in 1973–74</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D6E4F7" w:val="clear"/>
            <w:tcMar>
              <w:top w:type="dxa" w:w="120"/>
              <w:left w:type="dxa" w:w="180"/>
              <w:bottom w:type="dxa" w:w="120"/>
              <w:right w:type="dxa" w:w="180"/>
            </w:tcMar>
          </w:tcPr>
          <w:p>
            <w:pPr>
              <w:spacing w:after="60" w:before="40"/>
            </w:pPr>
            <w:r>
              <w:rPr>
                <w:rFonts w:ascii="Arial" w:cs="Arial" w:eastAsia="Arial" w:hAnsi="Arial"/>
                <w:b/>
                <w:bCs/>
                <w:color w:val="1F3864"/>
                <w:sz w:val="20"/>
                <w:szCs w:val="20"/>
              </w:rPr>
              <w:t xml:space="preserve">Central Argument</w:t>
            </w:r>
          </w:p>
          <w:p>
            <w:pPr>
              <w:spacing w:after="40" w:before="40"/>
              <w:jc w:val="both"/>
            </w:pPr>
            <w:r>
              <w:rPr>
                <w:rFonts w:ascii="Arial" w:cs="Arial" w:eastAsia="Arial" w:hAnsi="Arial"/>
                <w:color w:val="222222"/>
                <w:sz w:val="19"/>
                <w:szCs w:val="19"/>
              </w:rPr>
              <w:t xml:space="preserve">Tamil Nadu’s industrial success is not accidental. It rests on three interconnected foundations: (1) deliberate pre-liberalisation institution-building through agencies like TIIC, SIDCO, and DICs; (2) a pattern of labour-intensive, spatially dispersed, and socially inclusive industrialisation distinct from Gujarat or Maharashtra; and (3) adaptive policies that consistently converted each external shock — liberalisation, financial crises, COVID-19 — into an opportunity for structural upgrading.</w:t>
            </w:r>
          </w:p>
        </w:tc>
      </w:tr>
    </w:tbl>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1. Foundations and Institutional Architecture (1947–1989)</w:t>
      </w:r>
    </w:p>
    <w:p>
      <w:pPr>
        <w:pStyle w:val="Heading2"/>
        <w:spacing w:after="120" w:before="280"/>
      </w:pPr>
      <w:r>
        <w:rPr>
          <w:rFonts w:ascii="Arial" w:cs="Arial" w:eastAsia="Arial" w:hAnsi="Arial"/>
          <w:b/>
          <w:bCs/>
          <w:color w:val="2E5FA3"/>
          <w:sz w:val="24"/>
          <w:szCs w:val="24"/>
        </w:rPr>
        <w:t xml:space="preserve">1.1 The Colonial Industrial Inheritance</w:t>
      </w:r>
    </w:p>
    <w:p>
      <w:pPr>
        <w:spacing w:after="80" w:before="80" w:line="276"/>
        <w:jc w:val="both"/>
      </w:pPr>
      <w:r>
        <w:rPr>
          <w:rFonts w:ascii="Arial" w:cs="Arial" w:eastAsia="Arial" w:hAnsi="Arial"/>
          <w:color w:val="222222"/>
          <w:sz w:val="20"/>
          <w:szCs w:val="20"/>
        </w:rPr>
        <w:t xml:space="preserve">At Independence in 1947, the then Madras State inherited a modest industrial base. The region had approximately 3,761 factories employing 2.76 lakh workers, concentrated in textiles, small-scale engineering workshops near Chennai, and plantation agriculture in the Nilgiris. Coimbatore — already known as the ‘Manchester of South India’ — hosted over 100 spinning mills, with textiles contributing nearly 45% of total factory employment.</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Post-independence policy was guided by the Nehruvian model of planned development. The Industrial Policy Resolutions of 1948 and 1956 encouraged states to invest in basic and strategic industries. Tamil Nadu responded by establishing early public sector undertakings including Madras Cements (1956) and TANSI (1955), and developing the Guindy and Ambattur Industrial Estates by 1958–60 — among India’s earliest planned SME clusters.</w:t>
      </w:r>
    </w:p>
    <w:p>
      <w:pPr>
        <w:pStyle w:val="Heading2"/>
        <w:spacing w:after="120" w:before="280"/>
      </w:pPr>
      <w:r>
        <w:rPr>
          <w:rFonts w:ascii="Arial" w:cs="Arial" w:eastAsia="Arial" w:hAnsi="Arial"/>
          <w:b/>
          <w:bCs/>
          <w:color w:val="2E5FA3"/>
          <w:sz w:val="24"/>
          <w:szCs w:val="24"/>
        </w:rPr>
        <w:t xml:space="preserve">1.2 The 1989 Industrial Policy: Last Major Pre-Liberalisation Framework</w:t>
      </w:r>
    </w:p>
    <w:p>
      <w:pPr>
        <w:spacing w:after="80" w:before="80" w:line="276"/>
        <w:jc w:val="both"/>
      </w:pPr>
      <w:r>
        <w:rPr>
          <w:rFonts w:ascii="Arial" w:cs="Arial" w:eastAsia="Arial" w:hAnsi="Arial"/>
          <w:color w:val="222222"/>
          <w:sz w:val="20"/>
          <w:szCs w:val="20"/>
        </w:rPr>
        <w:t xml:space="preserve">When the DMK government returned to power in 1989 under Chief Minister M. Karunanidhi, Tamil Nadu’s industrial growth had been largely stagnant since 1977. The administration responded with remarkable speed: within one month of taking office, a comprehensive industrial policy was presented to the Legislative Assembly on April 21, 1989. This policy is not merely a historical document — it is the institutional foundation upon which Tamil Nadu’s post-1991 transformation was built.</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5D6" w:val="clear"/>
            <w:tcMar>
              <w:top w:type="dxa" w:w="120"/>
              <w:left w:type="dxa" w:w="180"/>
              <w:bottom w:type="dxa" w:w="120"/>
              <w:right w:type="dxa" w:w="180"/>
            </w:tcMar>
          </w:tcPr>
          <w:p>
            <w:pPr>
              <w:spacing w:after="60" w:before="40"/>
            </w:pPr>
            <w:r>
              <w:rPr>
                <w:rFonts w:ascii="Arial" w:cs="Arial" w:eastAsia="Arial" w:hAnsi="Arial"/>
                <w:b/>
                <w:bCs/>
                <w:color w:val="1F3864"/>
                <w:sz w:val="20"/>
                <w:szCs w:val="20"/>
              </w:rPr>
              <w:t xml:space="preserve">Why 1989 Matters</w:t>
            </w:r>
          </w:p>
          <w:p>
            <w:pPr>
              <w:spacing w:after="40" w:before="40"/>
              <w:jc w:val="both"/>
            </w:pPr>
            <w:r>
              <w:rPr>
                <w:rFonts w:ascii="Arial" w:cs="Arial" w:eastAsia="Arial" w:hAnsi="Arial"/>
                <w:color w:val="222222"/>
                <w:sz w:val="19"/>
                <w:szCs w:val="19"/>
              </w:rPr>
              <w:t xml:space="preserve">The 1989 policy achieved the simultaneous integration of five pillars: Infrastructure (SIDCO estates and Japan ODA hi-tech clusters), Finance (TIIC tiered lending and DIC seed capital), Technology (dedicated electronics estates and quality certification), Cooperatives (sector-specific frameworks for tea, sago, matchbox, and coir industries), and Entrepreneurship (PMRY, artisan schemes, women’s finance windows, and engineering graduate incentives). Earlier policies had addressed these pillars in isolation; 1989 treated them as an interconnected system.</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policy’s financial incentive architecture was progressive — calibrated to reward investment in backward regions and socially underrepresented groups. Key features included:</w:t>
      </w:r>
    </w:p>
    <w:p>
      <w:pPr>
        <w:pStyle w:val="ListParagraph"/>
        <w:numPr>
          <w:ilvl w:val="0"/>
          <w:numId w:val="2"/>
        </w:numPr>
        <w:spacing w:after="60" w:before="60"/>
      </w:pPr>
      <w:r>
        <w:rPr>
          <w:rFonts w:ascii="Arial" w:cs="Arial" w:eastAsia="Arial" w:hAnsi="Arial"/>
          <w:color w:val="222222"/>
          <w:sz w:val="20"/>
          <w:szCs w:val="20"/>
        </w:rPr>
        <w:t xml:space="preserve">State capital subsidy of 15% for industries in backward taluks (up to ₹15 lakh)</w:t>
      </w:r>
    </w:p>
    <w:p>
      <w:pPr>
        <w:pStyle w:val="ListParagraph"/>
        <w:numPr>
          <w:ilvl w:val="0"/>
          <w:numId w:val="2"/>
        </w:numPr>
        <w:spacing w:after="60" w:before="60"/>
      </w:pPr>
      <w:r>
        <w:rPr>
          <w:rFonts w:ascii="Arial" w:cs="Arial" w:eastAsia="Arial" w:hAnsi="Arial"/>
          <w:color w:val="222222"/>
          <w:sz w:val="20"/>
          <w:szCs w:val="20"/>
        </w:rPr>
        <w:t xml:space="preserve">Additional 10% subsidy for priority sectors including electronics, pharmaceuticals, and motor vehicle ancillaries</w:t>
      </w:r>
    </w:p>
    <w:p>
      <w:pPr>
        <w:pStyle w:val="ListParagraph"/>
        <w:numPr>
          <w:ilvl w:val="0"/>
          <w:numId w:val="2"/>
        </w:numPr>
        <w:spacing w:after="60" w:before="60"/>
      </w:pPr>
      <w:r>
        <w:rPr>
          <w:rFonts w:ascii="Arial" w:cs="Arial" w:eastAsia="Arial" w:hAnsi="Arial"/>
          <w:color w:val="222222"/>
          <w:sz w:val="20"/>
          <w:szCs w:val="20"/>
        </w:rPr>
        <w:t xml:space="preserve">Power tariff concessions of 30%/30%/10% in the first three production years</w:t>
      </w:r>
    </w:p>
    <w:p>
      <w:pPr>
        <w:pStyle w:val="ListParagraph"/>
        <w:numPr>
          <w:ilvl w:val="0"/>
          <w:numId w:val="2"/>
        </w:numPr>
        <w:spacing w:after="60" w:before="60"/>
      </w:pPr>
      <w:r>
        <w:rPr>
          <w:rFonts w:ascii="Arial" w:cs="Arial" w:eastAsia="Arial" w:hAnsi="Arial"/>
          <w:color w:val="222222"/>
          <w:sz w:val="20"/>
          <w:szCs w:val="20"/>
        </w:rPr>
        <w:t xml:space="preserve">Interest-free sales tax loans up to ₹7.5 lakh over six years</w:t>
      </w:r>
    </w:p>
    <w:p>
      <w:pPr>
        <w:pStyle w:val="ListParagraph"/>
        <w:numPr>
          <w:ilvl w:val="0"/>
          <w:numId w:val="2"/>
        </w:numPr>
        <w:spacing w:after="60" w:before="60"/>
      </w:pPr>
      <w:r>
        <w:rPr>
          <w:rFonts w:ascii="Arial" w:cs="Arial" w:eastAsia="Arial" w:hAnsi="Arial"/>
          <w:color w:val="222222"/>
          <w:sz w:val="20"/>
          <w:szCs w:val="20"/>
        </w:rPr>
        <w:t xml:space="preserve">90% of PMRY approvals reserved for SC/ST beneficiaries; dedicated finance windows for women entrepreneurs</w:t>
      </w:r>
    </w:p>
    <w:p>
      <w:pPr>
        <w:spacing w:after="40" w:before="40"/>
      </w:pPr>
      <w:r>
        <w:rPr>
          <w:rFonts w:ascii="Arial" w:cs="Arial" w:eastAsia="Arial" w:hAnsi="Arial"/>
          <w:sz w:val="20"/>
          <w:szCs w:val="20"/>
        </w:rPr>
        <w:t xml:space="preserve"/>
      </w:r>
    </w:p>
    <w:p>
      <w:pPr>
        <w:pStyle w:val="Heading3"/>
        <w:spacing w:after="100" w:before="200"/>
      </w:pPr>
      <w:r>
        <w:rPr>
          <w:rFonts w:ascii="Arial" w:cs="Arial" w:eastAsia="Arial" w:hAnsi="Arial"/>
          <w:b/>
          <w:bCs/>
          <w:color w:val="B8860B"/>
          <w:sz w:val="22"/>
          <w:szCs w:val="22"/>
        </w:rPr>
        <w:t xml:space="preserve">1.2.1 TIIC: India’s Oldest State Financial Institution</w:t>
      </w:r>
    </w:p>
    <w:p>
      <w:pPr>
        <w:spacing w:after="80" w:before="80" w:line="276"/>
        <w:jc w:val="both"/>
      </w:pPr>
      <w:r>
        <w:rPr>
          <w:rFonts w:ascii="Arial" w:cs="Arial" w:eastAsia="Arial" w:hAnsi="Arial"/>
          <w:color w:val="222222"/>
          <w:sz w:val="20"/>
          <w:szCs w:val="20"/>
        </w:rPr>
        <w:t xml:space="preserve">The Tamil Nadu Industrial Investment Corporation (TIIC, established 1949) is the oldest state-level industrial finance institution in India. By the time of the 1989 policy, TIIC had reoriented 99% of its loan portfolio toward small-scale industries — a deliberate developmental choice that demonstrated profitable SSI lending was commercially sustainable. Between 1983 and 1988, TIIC maintained consistent profitability, sanctioning 40,459 units cumulatively for a total of ₹77,800 lakh.</w:t>
      </w:r>
    </w:p>
    <w:p>
      <w:pPr>
        <w:pStyle w:val="Heading3"/>
        <w:spacing w:after="100" w:before="200"/>
      </w:pPr>
      <w:r>
        <w:rPr>
          <w:rFonts w:ascii="Arial" w:cs="Arial" w:eastAsia="Arial" w:hAnsi="Arial"/>
          <w:b/>
          <w:bCs/>
          <w:color w:val="B8860B"/>
          <w:sz w:val="22"/>
          <w:szCs w:val="22"/>
        </w:rPr>
        <w:t xml:space="preserve">1.2.2 SIDCO and the Infrastructure of Entrepreneurship</w:t>
      </w:r>
    </w:p>
    <w:p>
      <w:pPr>
        <w:spacing w:after="80" w:before="80" w:line="276"/>
        <w:jc w:val="both"/>
      </w:pPr>
      <w:r>
        <w:rPr>
          <w:rFonts w:ascii="Arial" w:cs="Arial" w:eastAsia="Arial" w:hAnsi="Arial"/>
          <w:color w:val="222222"/>
          <w:sz w:val="20"/>
          <w:szCs w:val="20"/>
        </w:rPr>
        <w:t xml:space="preserve">SIDCO (established 1971) served as the physical infrastructure arm of Tamil Nadu’s SSI ecosystem. By end-1988, it had developed 49 industrial estates and 2,349 factory sheds across the state. Its most ambitious initiative was the Japan ODA programme — a 3,198 million yen (approximately ₹27.57 crore) commitment from Japan’s Overseas Economic Cooperation Fund for five specialised hi-tech industrial estates focused on pharmaceuticals, electronics, garments, processed food, and motor vehicle ancillaries.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Beyond infrastructure, SIDCO functioned as a raw material procurement and distribution agency, supplying 34,768 metric tons of industrial inputs (iron, steel, chemicals, paraffin wax) valued at ₹3,552.54 lakh in 1988–89 alone — directly insulating small producers from commodity shortages.</w:t>
      </w:r>
    </w:p>
    <w:p>
      <w:pPr>
        <w:pStyle w:val="Heading3"/>
        <w:spacing w:after="100" w:before="200"/>
      </w:pPr>
      <w:r>
        <w:rPr>
          <w:rFonts w:ascii="Arial" w:cs="Arial" w:eastAsia="Arial" w:hAnsi="Arial"/>
          <w:b/>
          <w:bCs/>
          <w:color w:val="B8860B"/>
          <w:sz w:val="22"/>
          <w:szCs w:val="22"/>
        </w:rPr>
        <w:t xml:space="preserve">1.2.3 The Cooperative Industrial Sector</w:t>
      </w:r>
    </w:p>
    <w:p>
      <w:pPr>
        <w:spacing w:after="80" w:before="80" w:line="276"/>
        <w:jc w:val="both"/>
      </w:pPr>
      <w:r>
        <w:rPr>
          <w:rFonts w:ascii="Arial" w:cs="Arial" w:eastAsia="Arial" w:hAnsi="Arial"/>
          <w:color w:val="222222"/>
          <w:sz w:val="20"/>
          <w:szCs w:val="20"/>
        </w:rPr>
        <w:t xml:space="preserve">The 1989 policy gave significant attention to commodity cooperatives — tea in the Nilgiris (serving ~20,000 small growers across 30,000 acres), sago and starch in Salem and Dharmapuri (620+ units in two federations), matchbox cooperatives in Sivakasi established specifically for below-poverty-line rural women and SC communities, and coir cooperatives in coastal districts. These structures would persist for decades, establishing an organisational template of commodity-based cooperatives with apex federations.</w:t>
      </w:r>
    </w:p>
    <w:p>
      <w:pPr>
        <w:pStyle w:val="Heading2"/>
        <w:spacing w:after="120" w:before="280"/>
      </w:pPr>
      <w:r>
        <w:rPr>
          <w:rFonts w:ascii="Arial" w:cs="Arial" w:eastAsia="Arial" w:hAnsi="Arial"/>
          <w:b/>
          <w:bCs/>
          <w:color w:val="2E5FA3"/>
          <w:sz w:val="24"/>
          <w:szCs w:val="24"/>
        </w:rPr>
        <w:t xml:space="preserve">1.3 State-Led Diversification (1965–1980)</w:t>
      </w:r>
    </w:p>
    <w:p>
      <w:pPr>
        <w:spacing w:after="80" w:before="80" w:line="276"/>
        <w:jc w:val="both"/>
      </w:pPr>
      <w:r>
        <w:rPr>
          <w:rFonts w:ascii="Arial" w:cs="Arial" w:eastAsia="Arial" w:hAnsi="Arial"/>
          <w:color w:val="222222"/>
          <w:sz w:val="20"/>
          <w:szCs w:val="20"/>
        </w:rPr>
        <w:t xml:space="preserve">Between 1965 and 1980, Tamil Nadu’s registered factories rose from approximately 5,200 to over 9,800, with industrial employment doubling from 3.1 lakh to 6.4 lakh workers. The manufacturing sector’s contribution to the State Domestic Product grew at 6.8% annually — ahead of the national average of 5.3%.</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Three major agencies anchored this phase: TIDCO (1965) for joint ventures, TIIC for SME finance, and SIPCOT (1971) to develop large industrial complexes. By 1980, Tamil Nadu had over 35 public sector enterprises contributing approximately 25% of state industrial output. The Hosur industrial estate (1973) emerged as an early auto and engineering hub, attracting TVS, Ashok Leyland, and Titan.</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600"/>
        <w:gridCol w:w="3560"/>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Institution</w:t>
            </w:r>
          </w:p>
        </w:tc>
        <w:tc>
          <w:tcPr>
            <w:tcW w:type="dxa" w:w="1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 Est.</w:t>
            </w:r>
          </w:p>
        </w:tc>
        <w:tc>
          <w:tcPr>
            <w:tcW w:type="dxa" w:w="2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Core Mandate</w:t>
            </w:r>
          </w:p>
        </w:tc>
        <w:tc>
          <w:tcPr>
            <w:tcW w:type="dxa" w:w="35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Role</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DIC (District Industries Centres)</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1970s</w:t>
            </w:r>
          </w:p>
        </w:tc>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SSI promotion &amp; facilitation</w:t>
            </w:r>
          </w:p>
        </w:tc>
        <w:tc>
          <w:tcPr>
            <w:tcW w:type="dxa" w:w="3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Single-point approval; district-level outreach</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TIIC</w:t>
            </w:r>
          </w:p>
        </w:tc>
        <w:tc>
          <w:tcPr>
            <w:tcW w:type="dxa" w:w="1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1949</w:t>
            </w:r>
          </w:p>
        </w:tc>
        <w:tc>
          <w:tcPr>
            <w:tcW w:type="dxa" w:w="2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Term loans for fixed assets</w:t>
            </w:r>
          </w:p>
        </w:tc>
        <w:tc>
          <w:tcPr>
            <w:tcW w:type="dxa" w:w="35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Loans up to ₹60L; 99% to SSIs</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SIDCO</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1971</w:t>
            </w:r>
          </w:p>
        </w:tc>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SSI infrastructure provision</w:t>
            </w:r>
          </w:p>
        </w:tc>
        <w:tc>
          <w:tcPr>
            <w:tcW w:type="dxa" w:w="3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49 industrial estates; 2,349 factory sheds</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TANSI</w:t>
            </w:r>
          </w:p>
        </w:tc>
        <w:tc>
          <w:tcPr>
            <w:tcW w:type="dxa" w:w="1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1965</w:t>
            </w:r>
          </w:p>
        </w:tc>
        <w:tc>
          <w:tcPr>
            <w:tcW w:type="dxa" w:w="2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State-owned production units</w:t>
            </w:r>
          </w:p>
        </w:tc>
        <w:tc>
          <w:tcPr>
            <w:tcW w:type="dxa" w:w="35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47 production units + 7 sales outlets</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TALCO</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1983</w:t>
            </w:r>
          </w:p>
        </w:tc>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Leather industry development</w:t>
            </w:r>
          </w:p>
        </w:tc>
        <w:tc>
          <w:tcPr>
            <w:tcW w:type="dxa" w:w="3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Effluent treatment; training infrastructure</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SIPCOT</w:t>
            </w:r>
          </w:p>
        </w:tc>
        <w:tc>
          <w:tcPr>
            <w:tcW w:type="dxa" w:w="1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1971</w:t>
            </w:r>
          </w:p>
        </w:tc>
        <w:tc>
          <w:tcPr>
            <w:tcW w:type="dxa" w:w="2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Large industrial complexes</w:t>
            </w:r>
          </w:p>
        </w:tc>
        <w:tc>
          <w:tcPr>
            <w:tcW w:type="dxa" w:w="35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19 industrial complexes; 7 SEZs; 12 districts</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TIDCO</w:t>
            </w:r>
          </w:p>
        </w:tc>
        <w:tc>
          <w:tcPr>
            <w:tcW w:type="dxa" w:w="1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1965</w:t>
            </w:r>
          </w:p>
        </w:tc>
        <w:tc>
          <w:tcPr>
            <w:tcW w:type="dxa" w:w="2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Joint venture promotion</w:t>
            </w:r>
          </w:p>
        </w:tc>
        <w:tc>
          <w:tcPr>
            <w:tcW w:type="dxa" w:w="35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Public-private industrial partnerships</w:t>
            </w:r>
          </w:p>
        </w:tc>
      </w:tr>
    </w:tbl>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2. Structural Change and the Limits of Industrialisation (1980–2010)</w:t>
      </w:r>
    </w:p>
    <w:p>
      <w:pPr>
        <w:spacing w:after="80" w:before="80" w:line="276"/>
        <w:jc w:val="both"/>
      </w:pPr>
      <w:r>
        <w:rPr>
          <w:rFonts w:ascii="Arial" w:cs="Arial" w:eastAsia="Arial" w:hAnsi="Arial"/>
          <w:color w:val="222222"/>
          <w:sz w:val="20"/>
          <w:szCs w:val="20"/>
        </w:rPr>
        <w:t xml:space="preserve">The MIDS Working Paper by Kalaiyarasan A. (2020) provides a rigorous analytical counterpoint to triumphalist narratives of Tamil Nadu’s industrialisation. Drawing on CSO, NSS, and ASI data across three decades, it identifies what makes Tamil Nadu’s growth distinctive — and what structural challenges persist despite it.</w:t>
      </w:r>
    </w:p>
    <w:p>
      <w:pPr>
        <w:pStyle w:val="Heading2"/>
        <w:spacing w:after="120" w:before="280"/>
      </w:pPr>
      <w:r>
        <w:rPr>
          <w:rFonts w:ascii="Arial" w:cs="Arial" w:eastAsia="Arial" w:hAnsi="Arial"/>
          <w:b/>
          <w:bCs/>
          <w:color w:val="2E5FA3"/>
          <w:sz w:val="24"/>
          <w:szCs w:val="24"/>
        </w:rPr>
        <w:t xml:space="preserve">2.1 Growth Performance and Sectoral Dynamics</w:t>
      </w:r>
    </w:p>
    <w:p>
      <w:pPr>
        <w:spacing w:after="80" w:before="80" w:line="276"/>
        <w:jc w:val="both"/>
      </w:pPr>
      <w:r>
        <w:rPr>
          <w:rFonts w:ascii="Arial" w:cs="Arial" w:eastAsia="Arial" w:hAnsi="Arial"/>
          <w:color w:val="222222"/>
          <w:sz w:val="20"/>
          <w:szCs w:val="20"/>
        </w:rPr>
        <w:t xml:space="preserve">Tamil Nadu’s per capita income grew from ₹12,082 in 1980 (16% above the national average) to ₹48,031 in the triennium ending 2010 — now 45% above the national average. This sustained widening of the income gap over three decades is remarkable, particularly given that standard economic theory predicts convergence between richer and poorer regions.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rPr>
          <w:tblHeader/>
        </w:trPr>
        <w:tc>
          <w:tcPr>
            <w:tcW w:type="dxa" w:w="2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Sector</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CAGR 1980–2010 (TN)</w:t>
            </w:r>
          </w:p>
        </w:tc>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CAGR 1980–2010 (India)</w:t>
            </w:r>
          </w:p>
        </w:tc>
        <w:tc>
          <w:tcPr>
            <w:tcW w:type="dxa" w:w="2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TN’s Share in GSDP (2009–10)</w:t>
            </w:r>
          </w:p>
        </w:tc>
      </w:tr>
      <w:tr>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Agriculture</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3.1%</w:t>
            </w:r>
          </w:p>
        </w:tc>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2.7%</w:t>
            </w:r>
          </w:p>
        </w:tc>
        <w:tc>
          <w:tcPr>
            <w:tcW w:type="dxa" w:w="2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9%</w:t>
            </w:r>
          </w:p>
        </w:tc>
      </w:tr>
      <w:tr>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Industry</w:t>
            </w:r>
          </w:p>
        </w:tc>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6.0%</w:t>
            </w:r>
          </w:p>
        </w:tc>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5.4%</w:t>
            </w:r>
          </w:p>
        </w:tc>
        <w:tc>
          <w:tcPr>
            <w:tcW w:type="dxa" w:w="2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31%</w:t>
            </w:r>
          </w:p>
        </w:tc>
      </w:tr>
      <w:tr>
        <w:tc>
          <w:tcPr>
            <w:tcW w:type="dxa" w:w="2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Manufacturing</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5.4%</w:t>
            </w:r>
          </w:p>
        </w:tc>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6.9%</w:t>
            </w:r>
          </w:p>
        </w:tc>
        <w:tc>
          <w:tcPr>
            <w:tcW w:type="dxa" w:w="2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21%</w:t>
            </w:r>
          </w:p>
        </w:tc>
      </w:tr>
      <w:tr>
        <w:tc>
          <w:tcPr>
            <w:tcW w:type="dxa" w:w="2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Services</w:t>
            </w:r>
          </w:p>
        </w:tc>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7.5%</w:t>
            </w:r>
          </w:p>
        </w:tc>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7.2%</w:t>
            </w:r>
          </w:p>
        </w:tc>
        <w:tc>
          <w:tcPr>
            <w:tcW w:type="dxa" w:w="2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60%</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A striking finding is the decline in manufacturing’s share of GSDP — from 27% in 1980–81 to 21% in 2009–10 — even as the state maintained the highest share of manufacturing employment nationally. Kalaiyarasan interprets this not as deindustrialisation but as ‘servitisation’: the penetration of service activities within manufacturing, which increases productivity but reduces output-per-worker ratios.</w:t>
      </w:r>
    </w:p>
    <w:p>
      <w:pPr>
        <w:pStyle w:val="Heading2"/>
        <w:spacing w:after="120" w:before="280"/>
      </w:pPr>
      <w:r>
        <w:rPr>
          <w:rFonts w:ascii="Arial" w:cs="Arial" w:eastAsia="Arial" w:hAnsi="Arial"/>
          <w:b/>
          <w:bCs/>
          <w:color w:val="2E5FA3"/>
          <w:sz w:val="24"/>
          <w:szCs w:val="24"/>
        </w:rPr>
        <w:t xml:space="preserve">2.2 What Makes Tamil Nadu’s Industrialisation Distinctive</w:t>
      </w:r>
    </w:p>
    <w:p>
      <w:pPr>
        <w:spacing w:after="80" w:before="80" w:line="276"/>
        <w:jc w:val="both"/>
      </w:pPr>
      <w:r>
        <w:rPr>
          <w:rFonts w:ascii="Arial" w:cs="Arial" w:eastAsia="Arial" w:hAnsi="Arial"/>
          <w:color w:val="222222"/>
          <w:sz w:val="20"/>
          <w:szCs w:val="20"/>
        </w:rPr>
        <w:t xml:space="preserve">Compared to Maharashtra and Gujarat — the other two benchmark industrial states — Tamil Nadu’s manufacturing profile is distinctively labour-intensive, spatially dispersed, and socially inclusive: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1900"/>
        <w:gridCol w:w="1960"/>
      </w:tblGrid>
      <w:tr>
        <w:trPr>
          <w:tblHeader/>
        </w:trPr>
        <w:tc>
          <w:tcPr>
            <w:tcW w:type="dxa" w:w="3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Dimension</w:t>
            </w:r>
          </w:p>
        </w:tc>
        <w:tc>
          <w:tcPr>
            <w:tcW w:type="dxa" w:w="21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Tamil Nadu</w:t>
            </w:r>
          </w:p>
        </w:tc>
        <w:tc>
          <w:tcPr>
            <w:tcW w:type="dxa" w:w="1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Gujarat</w:t>
            </w:r>
          </w:p>
        </w:tc>
        <w:tc>
          <w:tcPr>
            <w:tcW w:type="dxa" w:w="19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Maharashtra</w:t>
            </w:r>
          </w:p>
        </w:tc>
      </w:tr>
      <w:tr>
        <w:tc>
          <w:tcPr>
            <w:tcW w:type="dxa" w:w="3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Share of operating factories (national)</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15.4%</w:t>
            </w:r>
          </w:p>
        </w:tc>
        <w:tc>
          <w:tcPr>
            <w:tcW w:type="dxa" w:w="1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9.7%</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12.6%</w:t>
            </w:r>
          </w:p>
        </w:tc>
      </w:tr>
      <w:tr>
        <w:tc>
          <w:tcPr>
            <w:tcW w:type="dxa" w:w="3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Persons engaged in registered factories</w:t>
            </w:r>
          </w:p>
        </w:tc>
        <w:tc>
          <w:tcPr>
            <w:tcW w:type="dxa" w:w="21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15.1%</w:t>
            </w:r>
          </w:p>
        </w:tc>
        <w:tc>
          <w:tcPr>
            <w:tcW w:type="dxa" w:w="19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10.1%</w:t>
            </w:r>
          </w:p>
        </w:tc>
        <w:tc>
          <w:tcPr>
            <w:tcW w:type="dxa" w:w="1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13.9%</w:t>
            </w:r>
          </w:p>
        </w:tc>
      </w:tr>
      <w:tr>
        <w:tc>
          <w:tcPr>
            <w:tcW w:type="dxa" w:w="3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Gross Value Added (national share)</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10.0%</w:t>
            </w:r>
          </w:p>
        </w:tc>
        <w:tc>
          <w:tcPr>
            <w:tcW w:type="dxa" w:w="1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14.6%</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21.5%</w:t>
            </w:r>
          </w:p>
        </w:tc>
      </w:tr>
      <w:tr>
        <w:tc>
          <w:tcPr>
            <w:tcW w:type="dxa" w:w="3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Capital intensity ratio (fixed capital/workers)</w:t>
            </w:r>
          </w:p>
        </w:tc>
        <w:tc>
          <w:tcPr>
            <w:tcW w:type="dxa" w:w="21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4.4</w:t>
            </w:r>
          </w:p>
        </w:tc>
        <w:tc>
          <w:tcPr>
            <w:tcW w:type="dxa" w:w="19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12.4</w:t>
            </w:r>
          </w:p>
        </w:tc>
        <w:tc>
          <w:tcPr>
            <w:tcW w:type="dxa" w:w="1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8.7</w:t>
            </w:r>
          </w:p>
        </w:tc>
      </w:tr>
      <w:tr>
        <w:tc>
          <w:tcPr>
            <w:tcW w:type="dxa" w:w="3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Wage share in GVA (emoluments, 2008–15 avg.)</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32%</w:t>
            </w:r>
          </w:p>
        </w:tc>
        <w:tc>
          <w:tcPr>
            <w:tcW w:type="dxa" w:w="1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17%</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22%</w:t>
            </w:r>
          </w:p>
        </w:tc>
      </w:tr>
      <w:tr>
        <w:tc>
          <w:tcPr>
            <w:tcW w:type="dxa" w:w="3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OBC-owned enterprises (100+ workers)</w:t>
            </w:r>
          </w:p>
        </w:tc>
        <w:tc>
          <w:tcPr>
            <w:tcW w:type="dxa" w:w="21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67%</w:t>
            </w:r>
          </w:p>
        </w:tc>
        <w:tc>
          <w:tcPr>
            <w:tcW w:type="dxa" w:w="19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11%</w:t>
            </w:r>
          </w:p>
        </w:tc>
        <w:tc>
          <w:tcPr>
            <w:tcW w:type="dxa" w:w="1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8%</w:t>
            </w:r>
          </w:p>
        </w:tc>
      </w:tr>
      <w:tr>
        <w:tc>
          <w:tcPr>
            <w:tcW w:type="dxa" w:w="3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Manufacturing share in total employment (2011–12)</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19.9%</w:t>
            </w:r>
          </w:p>
        </w:tc>
        <w:tc>
          <w:tcPr>
            <w:tcW w:type="dxa" w:w="1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19%</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12.2%</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low capital intensity ratio is the most telling figure. Tamil Nadu produces more jobs per unit of investment than either comparator state — a feature rooted in its cluster structure. As Kalaiyarasan notes, each region has sector-specific clusters: Sivakasi for safety matches and fireworks; Karur, Erode, and Salem for powerlooms and home textiles; Tiruppur for knitwear; Ambur and Ranipet for leather; and the Chennai corridor for automobiles.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5D6" w:val="clear"/>
            <w:tcMar>
              <w:top w:type="dxa" w:w="120"/>
              <w:left w:type="dxa" w:w="180"/>
              <w:bottom w:type="dxa" w:w="120"/>
              <w:right w:type="dxa" w:w="180"/>
            </w:tcMar>
          </w:tcPr>
          <w:p>
            <w:pPr>
              <w:spacing w:after="60" w:before="40"/>
            </w:pPr>
            <w:r>
              <w:rPr>
                <w:rFonts w:ascii="Arial" w:cs="Arial" w:eastAsia="Arial" w:hAnsi="Arial"/>
                <w:b/>
                <w:bCs/>
                <w:color w:val="1F3864"/>
                <w:sz w:val="20"/>
                <w:szCs w:val="20"/>
              </w:rPr>
              <w:t xml:space="preserve">Social Inclusivity: A Structural Feature, Not a Policy Add-On</w:t>
            </w:r>
          </w:p>
          <w:p>
            <w:pPr>
              <w:spacing w:after="40" w:before="40"/>
              <w:jc w:val="both"/>
            </w:pPr>
            <w:r>
              <w:rPr>
                <w:rFonts w:ascii="Arial" w:cs="Arial" w:eastAsia="Arial" w:hAnsi="Arial"/>
                <w:color w:val="222222"/>
                <w:sz w:val="19"/>
                <w:szCs w:val="19"/>
              </w:rPr>
              <w:t xml:space="preserve">Economic census data (2013–14) shows that OBCs control 67% of private enterprises with 100+ workers in Tamil Nadu, compared to just 11% in Gujarat and 8% in Maharashtra. Dalits own 6% of enterprises in this size category — and Tamil Nadu has one of the highest concentrations of Dalit enterprises nationally. This reflects decades of deliberate policy embedding social equity into incentive architecture, most visibly in the 1989 framework’s reserved categories, women’s cooperative windows, and tribal lending norms.</w:t>
            </w:r>
          </w:p>
        </w:tc>
      </w:tr>
    </w:tbl>
    <w:p>
      <w:pPr>
        <w:pStyle w:val="Heading2"/>
        <w:spacing w:after="120" w:before="280"/>
      </w:pPr>
      <w:r>
        <w:rPr>
          <w:rFonts w:ascii="Arial" w:cs="Arial" w:eastAsia="Arial" w:hAnsi="Arial"/>
          <w:b/>
          <w:bCs/>
          <w:color w:val="2E5FA3"/>
          <w:sz w:val="24"/>
          <w:szCs w:val="24"/>
        </w:rPr>
        <w:t xml:space="preserve">2.3 Employment Structure: Mismatch and Resilience</w:t>
      </w:r>
    </w:p>
    <w:p>
      <w:pPr>
        <w:spacing w:after="80" w:before="80" w:line="276"/>
        <w:jc w:val="both"/>
      </w:pPr>
      <w:r>
        <w:rPr>
          <w:rFonts w:ascii="Arial" w:cs="Arial" w:eastAsia="Arial" w:hAnsi="Arial"/>
          <w:color w:val="222222"/>
          <w:sz w:val="20"/>
          <w:szCs w:val="20"/>
        </w:rPr>
        <w:t xml:space="preserve">Despite impressive growth, Tamil Nadu exhibits the classic income-employment mismatch of structural transformation. Agriculture generated only 8% of state income in 2011–12 while absorbing 35% of the workforce. Services generated 60% of income but employed only 31% of workers.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total labour force grew from 24.6 million (1983–84) to 33.1 million (2011–12) — a 35% increase. But crucially, this expansion was far slower than the all-India average of 57%, because Tamil Nadu’s fertility decline had already compressed the working-age cohort. The primary challenge was therefore not accommodating new entrants but reshuffling existing workers from agriculture into more productive sectors.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Of the 8.6 million additional workers added between 1983 and 2012, approximately 2.5 million moved into manufacturing, 3.3 million into construction, and 4.8 million into services. Agriculture shed 2.5 million workers — a structural shift without parallel in most other Indian states. Manufacturing employment elasticity was 1.18 in 2009–12, the highest of any sector, confirming manufacturing’s continued capacity to absorb displaced agricultural labour.</w:t>
      </w:r>
    </w:p>
    <w:p>
      <w:pPr>
        <w:pStyle w:val="Heading2"/>
        <w:spacing w:after="120" w:before="280"/>
      </w:pPr>
      <w:r>
        <w:rPr>
          <w:rFonts w:ascii="Arial" w:cs="Arial" w:eastAsia="Arial" w:hAnsi="Arial"/>
          <w:b/>
          <w:bCs/>
          <w:color w:val="2E5FA3"/>
          <w:sz w:val="24"/>
          <w:szCs w:val="24"/>
        </w:rPr>
        <w:t xml:space="preserve">2.4 Wage Structure: Higher, More Equal, but Declining in Share</w:t>
      </w:r>
    </w:p>
    <w:p>
      <w:pPr>
        <w:spacing w:after="80" w:before="80" w:line="276"/>
        <w:jc w:val="both"/>
      </w:pPr>
      <w:r>
        <w:rPr>
          <w:rFonts w:ascii="Arial" w:cs="Arial" w:eastAsia="Arial" w:hAnsi="Arial"/>
          <w:color w:val="222222"/>
          <w:sz w:val="20"/>
          <w:szCs w:val="20"/>
        </w:rPr>
        <w:t xml:space="preserve">Tamil Nadu workers earn more than workers in Gujarat or Maharashtra, and the gap between casual and regular wages is smaller. Average casual wages (combined rural and urban) in 2011–12 were ₹164 daily in Tamil Nadu, against ₹121 in Maharashtra and ₹116 in Gujarat. The ratio of casual to regular wages — a measure of wage inequality — improved from 35% in 1993–94 to 48.5% in 2011–12, outpacing all comparator states.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primary drivers were MGNREGA (which set a floor on rural wages and raised the reservation wage statewide), the state’s broad-based rural-urban connectivity (enabling commuting rather than migration), and a strong universal PDS — which implicitly functioned as a wage supplement enabling workers to accept lower cash wages without compromising nutritional security. Drèze and Khera (2013) estimated that PDS implicit subsidy amounted to ₹113 per month per head for rural Tamil Nadu — the highest nationally.</w:t>
      </w:r>
    </w:p>
    <w:p>
      <w:pPr>
        <w:pStyle w:val="Heading2"/>
        <w:spacing w:after="120" w:before="280"/>
      </w:pPr>
      <w:r>
        <w:rPr>
          <w:rFonts w:ascii="Arial" w:cs="Arial" w:eastAsia="Arial" w:hAnsi="Arial"/>
          <w:b/>
          <w:bCs/>
          <w:color w:val="2E5FA3"/>
          <w:sz w:val="24"/>
          <w:szCs w:val="24"/>
        </w:rPr>
        <w:t xml:space="preserve">2.5 Urbanisation from Below</w:t>
      </w:r>
    </w:p>
    <w:p>
      <w:pPr>
        <w:spacing w:after="80" w:before="80" w:line="276"/>
        <w:jc w:val="both"/>
      </w:pPr>
      <w:r>
        <w:rPr>
          <w:rFonts w:ascii="Arial" w:cs="Arial" w:eastAsia="Arial" w:hAnsi="Arial"/>
          <w:color w:val="222222"/>
          <w:sz w:val="20"/>
          <w:szCs w:val="20"/>
        </w:rPr>
        <w:t xml:space="preserve">Tamil Nadu’s urbanisation rate reached 48.4% in 2011 — the second highest among major Indian states, surpassing Maharashtra (45.2%) and Gujarat (42.6%). What is distinctive is the pathway: urbanisation was not driven by metropolitan concentration but by the proliferation of ‘census towns’ — semi-urban growth centres emerging around industrial clusters in Kancheepuram, Oragadam, Tiruppur, and Hosur. This ‘urbanisation from below’, enabled by Dravidian governments’ investment in minor roads and bus nationalisation, created a spatially distributed urban economy tied to industrial clusters rather than a single primate city.</w:t>
      </w:r>
    </w:p>
    <w:p>
      <w:pPr>
        <w:pStyle w:val="Heading2"/>
        <w:spacing w:after="120" w:before="280"/>
      </w:pPr>
      <w:r>
        <w:rPr>
          <w:rFonts w:ascii="Arial" w:cs="Arial" w:eastAsia="Arial" w:hAnsi="Arial"/>
          <w:b/>
          <w:bCs/>
          <w:color w:val="2E5FA3"/>
          <w:sz w:val="24"/>
          <w:szCs w:val="24"/>
        </w:rPr>
        <w:t xml:space="preserve">2.6 State Welfare Interventions: The Social Compact of Growth</w:t>
      </w:r>
    </w:p>
    <w:p>
      <w:pPr>
        <w:spacing w:after="80" w:before="80" w:line="276"/>
        <w:jc w:val="both"/>
      </w:pPr>
      <w:r>
        <w:rPr>
          <w:rFonts w:ascii="Arial" w:cs="Arial" w:eastAsia="Arial" w:hAnsi="Arial"/>
          <w:color w:val="222222"/>
          <w:sz w:val="20"/>
          <w:szCs w:val="20"/>
        </w:rPr>
        <w:t xml:space="preserve">Kalaiyarasan’s central analytical contribution is demonstrating how Tamil Nadu’s welfare state was not separate from its industrial strategy but constitutive of it. Three structural challenges drove welfare expansion: agriculture’s negative employment elasticity (workers leaving faster than formal jobs absorbed them); the dominance of casual and informal employment in construction and services; and rising educational aspirations creating pressure for quality jobs.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response was the construction of an unusually comprehensive labour welfare architecture: 17 welfare boards for informal workers (a national first), the Construction Workers Welfare Board (1994), bidi worker health and pension provisions from the mid-1980s, and a universal PDS operating through cooperative fair price shops. As Vijayabaskar (2011) observed from fieldwork in Tiruppur, welfare schemes allowed ‘capital to pursue accumulation without the burden of providing for labour’ — effectively making casual employment viable without reproducing absolute poverty.</w:t>
      </w:r>
    </w:p>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3. Liberalisation and the Rise of Market-Led Growth (1991–2005)</w:t>
      </w:r>
    </w:p>
    <w:p>
      <w:pPr>
        <w:spacing w:after="80" w:before="80" w:line="276"/>
        <w:jc w:val="both"/>
      </w:pPr>
      <w:r>
        <w:rPr>
          <w:rFonts w:ascii="Arial" w:cs="Arial" w:eastAsia="Arial" w:hAnsi="Arial"/>
          <w:color w:val="222222"/>
          <w:sz w:val="20"/>
          <w:szCs w:val="20"/>
        </w:rPr>
        <w:t xml:space="preserve">The Union Budget of 1991 dismantled the License Raj and opened India to foreign and private capital. Tamil Nadu’s response was markedly different from most states because it already had the institutional substrate — DICs, SIDCO, TIIC, electronics estates, and a trained workforce — that the 1989 policy had consolidated. As the 1989 policy’s own architects anticipated, liberalisation did not create Tamil Nadu’s industrial ecosystem; it accelerated an ecosystem already built.</w:t>
      </w:r>
    </w:p>
    <w:p>
      <w:pPr>
        <w:pStyle w:val="Heading2"/>
        <w:spacing w:after="120" w:before="280"/>
      </w:pPr>
      <w:r>
        <w:rPr>
          <w:rFonts w:ascii="Arial" w:cs="Arial" w:eastAsia="Arial" w:hAnsi="Arial"/>
          <w:b/>
          <w:bCs/>
          <w:color w:val="2E5FA3"/>
          <w:sz w:val="24"/>
          <w:szCs w:val="24"/>
        </w:rPr>
        <w:t xml:space="preserve">3.1 Structural Shift: Key Indicators 1990–2005</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2160"/>
      </w:tblGrid>
      <w:tr>
        <w:trPr>
          <w:tblHeader/>
        </w:trPr>
        <w:tc>
          <w:tcPr>
            <w:tcW w:type="dxa" w:w="38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Indicator</w:t>
            </w:r>
          </w:p>
        </w:tc>
        <w:tc>
          <w:tcPr>
            <w:tcW w:type="dxa" w:w="1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1990–91</w:t>
            </w:r>
          </w:p>
        </w:tc>
        <w:tc>
          <w:tcPr>
            <w:tcW w:type="dxa" w:w="1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2004–05</w:t>
            </w:r>
          </w:p>
        </w:tc>
        <w:tc>
          <w:tcPr>
            <w:tcW w:type="dxa" w:w="21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Change</w:t>
            </w:r>
          </w:p>
        </w:tc>
      </w:tr>
      <w:tr>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Industrial sector share in GSDP (%)</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29.8%</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36.4%</w:t>
            </w:r>
          </w:p>
        </w:tc>
        <w:tc>
          <w:tcPr>
            <w:tcW w:type="dxa" w:w="2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+22.1%</w:t>
            </w:r>
          </w:p>
        </w:tc>
      </w:tr>
      <w:tr>
        <w:tc>
          <w:tcPr>
            <w:tcW w:type="dxa" w:w="3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Manufacturing employment (million)</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3.2</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3.6</w:t>
            </w:r>
          </w:p>
        </w:tc>
        <w:tc>
          <w:tcPr>
            <w:tcW w:type="dxa" w:w="21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+12.5%</w:t>
            </w:r>
          </w:p>
        </w:tc>
      </w:tr>
      <w:tr>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Organised manufacturing output (₹ crore)</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18,540</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65,820</w:t>
            </w:r>
          </w:p>
        </w:tc>
        <w:tc>
          <w:tcPr>
            <w:tcW w:type="dxa" w:w="2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+255%</w:t>
            </w:r>
          </w:p>
        </w:tc>
      </w:tr>
      <w:tr>
        <w:tc>
          <w:tcPr>
            <w:tcW w:type="dxa" w:w="3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FDI inflows (cumulative, ₹ crore)</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165</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7,285</w:t>
            </w:r>
          </w:p>
        </w:tc>
        <w:tc>
          <w:tcPr>
            <w:tcW w:type="dxa" w:w="21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+4,316%</w:t>
            </w:r>
          </w:p>
        </w:tc>
      </w:tr>
      <w:tr>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Textile share in manufacturing output (%)</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43.2%</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28.5%</w:t>
            </w:r>
          </w:p>
        </w:tc>
        <w:tc>
          <w:tcPr>
            <w:tcW w:type="dxa" w:w="2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−34.0%</w:t>
            </w:r>
          </w:p>
        </w:tc>
      </w:tr>
      <w:tr>
        <w:tc>
          <w:tcPr>
            <w:tcW w:type="dxa" w:w="3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Per capita GSDP (₹)</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8,420</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24,560</w:t>
            </w:r>
          </w:p>
        </w:tc>
        <w:tc>
          <w:tcPr>
            <w:tcW w:type="dxa" w:w="21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+191.7%</w:t>
            </w:r>
          </w:p>
        </w:tc>
      </w:tr>
      <w:tr>
        <w:tc>
          <w:tcPr>
            <w:tcW w:type="dxa" w:w="38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SSI units registered (’000s)</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195</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228</w:t>
            </w:r>
          </w:p>
        </w:tc>
        <w:tc>
          <w:tcPr>
            <w:tcW w:type="dxa" w:w="21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+16.9%</w:t>
            </w:r>
          </w:p>
        </w:tc>
      </w:tr>
      <w:tr>
        <w:tc>
          <w:tcPr>
            <w:tcW w:type="dxa" w:w="38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Annual industrial growth rate (%)</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6.5%</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9.8%</w:t>
            </w:r>
          </w:p>
        </w:tc>
        <w:tc>
          <w:tcPr>
            <w:tcW w:type="dxa" w:w="21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Rising trend</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period witnessed massive sectoral recomposition. The automobile and electronics sectors became the new growth poles, with Ford India, Hyundai, and Ashok Leyland establishing or expanding operations near Chennai. The number of registered small-scale industries rose from 2.1 lakh in 1990 to 5.4 lakh by 2000, generating employment for over 33 lakh people. By 2000, Tamil Nadu accounted for 11% of India’s total industrial output.</w:t>
      </w:r>
    </w:p>
    <w:p>
      <w:pPr>
        <w:pStyle w:val="Heading2"/>
        <w:spacing w:after="120" w:before="280"/>
      </w:pPr>
      <w:r>
        <w:rPr>
          <w:rFonts w:ascii="Arial" w:cs="Arial" w:eastAsia="Arial" w:hAnsi="Arial"/>
          <w:b/>
          <w:bCs/>
          <w:color w:val="2E5FA3"/>
          <w:sz w:val="24"/>
          <w:szCs w:val="24"/>
        </w:rPr>
        <w:t xml:space="preserve">3.2 The Uneven Distribution of Liberalisation’s Gains</w:t>
      </w:r>
    </w:p>
    <w:p>
      <w:pPr>
        <w:spacing w:after="80" w:before="80" w:line="276"/>
        <w:jc w:val="both"/>
      </w:pPr>
      <w:r>
        <w:rPr>
          <w:rFonts w:ascii="Arial" w:cs="Arial" w:eastAsia="Arial" w:hAnsi="Arial"/>
          <w:color w:val="222222"/>
          <w:sz w:val="20"/>
          <w:szCs w:val="20"/>
        </w:rPr>
        <w:t xml:space="preserve">The gains from liberalisation were not uniformly distributed. Medium and large firms — particularly in the Chennai-Sriperumbudur-Hosur corridor — scaled rapidly and captured export and domestic market share. Smaller units, however, faced rising input costs, loss of tariff protection, and difficulties accessing credit and technology. This accelerated plant exit rates in vulnerable subsectors and produced localised job displacement in informal manufacturing.</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D6E4F7" w:val="clear"/>
            <w:tcMar>
              <w:top w:type="dxa" w:w="120"/>
              <w:left w:type="dxa" w:w="180"/>
              <w:bottom w:type="dxa" w:w="120"/>
              <w:right w:type="dxa" w:w="180"/>
            </w:tcMar>
          </w:tcPr>
          <w:p>
            <w:pPr>
              <w:spacing w:after="60" w:before="40"/>
            </w:pPr>
            <w:r>
              <w:rPr>
                <w:rFonts w:ascii="Arial" w:cs="Arial" w:eastAsia="Arial" w:hAnsi="Arial"/>
                <w:b/>
                <w:bCs/>
                <w:color w:val="1F3864"/>
                <w:sz w:val="20"/>
                <w:szCs w:val="20"/>
              </w:rPr>
              <w:t xml:space="preserve">Policy Lesson from 1991–2005</w:t>
            </w:r>
          </w:p>
          <w:p>
            <w:pPr>
              <w:spacing w:after="40" w:before="40"/>
              <w:jc w:val="both"/>
            </w:pPr>
            <w:r>
              <w:rPr>
                <w:rFonts w:ascii="Arial" w:cs="Arial" w:eastAsia="Arial" w:hAnsi="Arial"/>
                <w:color w:val="222222"/>
                <w:sz w:val="19"/>
                <w:szCs w:val="19"/>
              </w:rPr>
              <w:t xml:space="preserve">Liberalisation unlocked productivity-enhancing capital and structural upgrading. But without targeted complementary interventions — cluster-based technology upgrading, active labour re-skilling, calibrated trade-adjustment assistance — there was tangible risk of deindustrialisation in employment terms even as output and exports rose. Tamil Nadu’s comparatively strong institutional endowments mitigated but did not eliminate adjustment costs for small producers.</w:t>
            </w:r>
          </w:p>
        </w:tc>
      </w:tr>
    </w:tbl>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4. Sectoral Deep Dives: Key Industries 2000–2025</w:t>
      </w:r>
    </w:p>
    <w:p>
      <w:pPr>
        <w:pStyle w:val="Heading2"/>
        <w:spacing w:after="120" w:before="280"/>
      </w:pPr>
      <w:r>
        <w:rPr>
          <w:rFonts w:ascii="Arial" w:cs="Arial" w:eastAsia="Arial" w:hAnsi="Arial"/>
          <w:b/>
          <w:bCs/>
          <w:color w:val="2E5FA3"/>
          <w:sz w:val="24"/>
          <w:szCs w:val="24"/>
        </w:rPr>
        <w:t xml:space="preserve">4.1 Automobiles: The Detroit of India</w:t>
      </w:r>
    </w:p>
    <w:p>
      <w:pPr>
        <w:spacing w:after="80" w:before="80" w:line="276"/>
        <w:jc w:val="both"/>
      </w:pPr>
      <w:r>
        <w:rPr>
          <w:rFonts w:ascii="Arial" w:cs="Arial" w:eastAsia="Arial" w:hAnsi="Arial"/>
          <w:color w:val="222222"/>
          <w:sz w:val="20"/>
          <w:szCs w:val="20"/>
        </w:rPr>
        <w:t xml:space="preserve">Tamil Nadu’s automotive cluster is among the most studied examples of agglomeration-driven industrialisation in the developing world. The Chennai-Hosur corridor hosts over 15 major OEMs — Hyundai (1998), Ford (2000), Renault-Nissan (2010), Daimler India (2012), Ashok Leyland, Mahindra &amp; Mahindra, and others — supported by over 1,000 tier-2 and tier-3 suppliers. By 2015, Tamil Nadu accounted for 35–40% of India’s total automobile production and 45% of its auto exports.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Indicator</w:t>
            </w:r>
          </w:p>
        </w:tc>
        <w:tc>
          <w:tcPr>
            <w:tcW w:type="dxa" w:w="48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Data (2024–25)</w:t>
            </w:r>
          </w:p>
        </w:tc>
      </w:tr>
      <w:tr>
        <w:tc>
          <w:tcPr>
            <w:tcW w:type="dxa" w:w="4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Major OEMs in Chennai-Hosur</w:t>
            </w:r>
          </w:p>
        </w:tc>
        <w:tc>
          <w:tcPr>
            <w:tcW w:type="dxa" w:w="4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15+ global and domestic manufacturers</w:t>
            </w:r>
          </w:p>
        </w:tc>
      </w:tr>
      <w:tr>
        <w:tc>
          <w:tcPr>
            <w:tcW w:type="dxa" w:w="45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Tier-2 and Tier-3 suppliers</w:t>
            </w:r>
          </w:p>
        </w:tc>
        <w:tc>
          <w:tcPr>
            <w:tcW w:type="dxa" w:w="48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1,000+ integrated into supply chain</w:t>
            </w:r>
          </w:p>
        </w:tc>
      </w:tr>
      <w:tr>
        <w:tc>
          <w:tcPr>
            <w:tcW w:type="dxa" w:w="4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Direct employment</w:t>
            </w:r>
          </w:p>
        </w:tc>
        <w:tc>
          <w:tcPr>
            <w:tcW w:type="dxa" w:w="4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1.5 million workers</w:t>
            </w:r>
          </w:p>
        </w:tc>
      </w:tr>
      <w:tr>
        <w:tc>
          <w:tcPr>
            <w:tcW w:type="dxa" w:w="45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Contribution to India’s GDP</w:t>
            </w:r>
          </w:p>
        </w:tc>
        <w:tc>
          <w:tcPr>
            <w:tcW w:type="dxa" w:w="48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2.3% from auto-component sector alone</w:t>
            </w:r>
          </w:p>
        </w:tc>
      </w:tr>
      <w:tr>
        <w:tc>
          <w:tcPr>
            <w:tcW w:type="dxa" w:w="4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Auto-component exports (FY 2025)</w:t>
            </w:r>
          </w:p>
        </w:tc>
        <w:tc>
          <w:tcPr>
            <w:tcW w:type="dxa" w:w="4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US$23 billion</w:t>
            </w:r>
          </w:p>
        </w:tc>
      </w:tr>
      <w:tr>
        <w:tc>
          <w:tcPr>
            <w:tcW w:type="dxa" w:w="45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Largest export market</w:t>
            </w:r>
          </w:p>
        </w:tc>
        <w:tc>
          <w:tcPr>
            <w:tcW w:type="dxa" w:w="48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North America</w:t>
            </w:r>
          </w:p>
        </w:tc>
      </w:tr>
      <w:tr>
        <w:tc>
          <w:tcPr>
            <w:tcW w:type="dxa" w:w="4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Export CAGR (2010–2025)</w:t>
            </w:r>
          </w:p>
        </w:tc>
        <w:tc>
          <w:tcPr>
            <w:tcW w:type="dxa" w:w="48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~9% per annum</w:t>
            </w:r>
          </w:p>
        </w:tc>
      </w:tr>
      <w:tr>
        <w:tc>
          <w:tcPr>
            <w:tcW w:type="dxa" w:w="45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Global suppliers present</w:t>
            </w:r>
          </w:p>
        </w:tc>
        <w:tc>
          <w:tcPr>
            <w:tcW w:type="dxa" w:w="48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Bosch, Delphi, Visteon, and others</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cluster’s success rests on three mutually reinforcing foundations: port proximity enabling seamless global supply chain integration; a deep ecosystem of industry-academia partnerships (with institutions like IIT Madras, Anna University, and 500+ polytechnics); and TIDCO/SIPCOT facilitation that has continuously extended industrial park infrastructure into adjacent districts.</w:t>
      </w:r>
    </w:p>
    <w:p>
      <w:pPr>
        <w:pStyle w:val="Heading2"/>
        <w:spacing w:after="120" w:before="280"/>
      </w:pPr>
      <w:r>
        <w:rPr>
          <w:rFonts w:ascii="Arial" w:cs="Arial" w:eastAsia="Arial" w:hAnsi="Arial"/>
          <w:b/>
          <w:bCs/>
          <w:color w:val="2E5FA3"/>
          <w:sz w:val="24"/>
          <w:szCs w:val="24"/>
        </w:rPr>
        <w:t xml:space="preserve">4.2 Textiles: From Colonial Inheritance to Global Competitiveness</w:t>
      </w:r>
    </w:p>
    <w:p>
      <w:pPr>
        <w:spacing w:after="80" w:before="80" w:line="276"/>
        <w:jc w:val="both"/>
      </w:pPr>
      <w:r>
        <w:rPr>
          <w:rFonts w:ascii="Arial" w:cs="Arial" w:eastAsia="Arial" w:hAnsi="Arial"/>
          <w:color w:val="222222"/>
          <w:sz w:val="20"/>
          <w:szCs w:val="20"/>
        </w:rPr>
        <w:t xml:space="preserve">Tamil Nadu’s textile story runs from colonial-era handlooms to the world’s most concentrated knitwear export cluster at Tiruppur. The state became India’s top textile exporting state in FY 2024–25 with exports of approximately US$7.99 billion.</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Cluster</w:t>
            </w:r>
          </w:p>
        </w:tc>
        <w:tc>
          <w:tcPr>
            <w:tcW w:type="dxa" w:w="25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Specialisation</w:t>
            </w:r>
          </w:p>
        </w:tc>
        <w:tc>
          <w:tcPr>
            <w:tcW w:type="dxa" w:w="46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Metrics (2024–25)</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Coimbatore</w:t>
            </w:r>
          </w:p>
        </w:tc>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Spinning, textile machinery</w:t>
            </w:r>
          </w:p>
        </w:tc>
        <w:tc>
          <w:tcPr>
            <w:tcW w:type="dxa" w:w="46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40%+ of India’s cotton yarn production; 2,000+ spinning mills</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Erode</w:t>
            </w:r>
          </w:p>
        </w:tc>
        <w:tc>
          <w:tcPr>
            <w:tcW w:type="dxa" w:w="25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Powerlooms, dyeing, processing</w:t>
            </w:r>
          </w:p>
        </w:tc>
        <w:tc>
          <w:tcPr>
            <w:tcW w:type="dxa" w:w="46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~1.5 lakh powerlooms; ₹7,000–8,000 crore annual turnover</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Tiruppur</w:t>
            </w:r>
          </w:p>
        </w:tc>
        <w:tc>
          <w:tcPr>
            <w:tcW w:type="dxa" w:w="25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Knitwear, hosiery</w:t>
            </w:r>
          </w:p>
        </w:tc>
        <w:tc>
          <w:tcPr>
            <w:tcW w:type="dxa" w:w="46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Exports ₹35–40,000 crore (2024–25); 6 lakh+ workers</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Handloom (Salem, Madurai, Thanjavur)</w:t>
            </w:r>
          </w:p>
        </w:tc>
        <w:tc>
          <w:tcPr>
            <w:tcW w:type="dxa" w:w="25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Artisan weaving</w:t>
            </w:r>
          </w:p>
        </w:tc>
        <w:tc>
          <w:tcPr>
            <w:tcW w:type="dxa" w:w="46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1.91 lakh handlooms; 2.44 lakh weavers and allied workers</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Two structural forces explain Tiruppur’s transformation: technological modernisation (power looming, automated knitting, finishing lines) and cluster advantage (dense supplier networks that created fast product turnaround, economies of scale, and easier compliance with international buyer standards). The key unresolved challenge is the handloom-factory divide: benefits have concentrated in large firms while smaller handloom households have largely been bypassed by export growth.</w:t>
      </w:r>
    </w:p>
    <w:p>
      <w:pPr>
        <w:pStyle w:val="Heading2"/>
        <w:spacing w:after="120" w:before="280"/>
      </w:pPr>
      <w:r>
        <w:rPr>
          <w:rFonts w:ascii="Arial" w:cs="Arial" w:eastAsia="Arial" w:hAnsi="Arial"/>
          <w:b/>
          <w:bCs/>
          <w:color w:val="2E5FA3"/>
          <w:sz w:val="24"/>
          <w:szCs w:val="24"/>
        </w:rPr>
        <w:t xml:space="preserve">4.3 Electronics: From Assembly to Value Chain Leadership</w:t>
      </w:r>
    </w:p>
    <w:p>
      <w:pPr>
        <w:spacing w:after="80" w:before="80" w:line="276"/>
        <w:jc w:val="both"/>
      </w:pPr>
      <w:r>
        <w:rPr>
          <w:rFonts w:ascii="Arial" w:cs="Arial" w:eastAsia="Arial" w:hAnsi="Arial"/>
          <w:color w:val="222222"/>
          <w:sz w:val="20"/>
          <w:szCs w:val="20"/>
        </w:rPr>
        <w:t xml:space="preserve">Tamil Nadu’s electronics sector has undergone the most dramatic transformation of any industrial cluster in the state over the past decade. The EMS Corridor encompassing Sriperumbudur and Oragadam hosts Foxconn, Samsung, and Jabil, with cumulative investment exceeding US$1 billion. Foxconn’s iPhone enclosure manufacturing facility at Oragadam has positioned Tamil Nadu as a critical node in Apple’s global supply chain diversification strategy.</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Electronics exports reached US$14.65 billion in FY 2024–25 — 41.3% of India’s total electronics exports — driven by the Production-Linked Incentive (PLI) scheme and a rapidly maturing component ecosystem. The Tamil Nadu Electronics Components Manufacturing Scheme targets ₹30,000 crore in investment and 60,000 new jobs in the component manufacturing layer alone.</w:t>
      </w:r>
    </w:p>
    <w:p>
      <w:pPr>
        <w:pStyle w:val="Heading2"/>
        <w:spacing w:after="120" w:before="280"/>
      </w:pPr>
      <w:r>
        <w:rPr>
          <w:rFonts w:ascii="Arial" w:cs="Arial" w:eastAsia="Arial" w:hAnsi="Arial"/>
          <w:b/>
          <w:bCs/>
          <w:color w:val="2E5FA3"/>
          <w:sz w:val="24"/>
          <w:szCs w:val="24"/>
        </w:rPr>
        <w:t xml:space="preserve">4.4 Information Technology and Knowledge Services</w:t>
      </w:r>
    </w:p>
    <w:p>
      <w:pPr>
        <w:spacing w:after="80" w:before="80" w:line="276"/>
        <w:jc w:val="both"/>
      </w:pPr>
      <w:r>
        <w:rPr>
          <w:rFonts w:ascii="Arial" w:cs="Arial" w:eastAsia="Arial" w:hAnsi="Arial"/>
          <w:color w:val="222222"/>
          <w:sz w:val="20"/>
          <w:szCs w:val="20"/>
        </w:rPr>
        <w:t xml:space="preserve">Post-2000, Chennai’s OMR (Old Mahabalipuram Road) corridor established Tamil Nadu as a leading IT and KPO destination. By 2025, the state accounted for approximately 16% of India’s IT exports, contributing over US$18 billion to the economy. Over 1.2 million IT/ITES employees make Tamil Nadu’s talent pool one of the largest in the country.</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IT-led growth created significant multiplier effects: commercial real estate prices in Chennai increased ~150% between 2005 and 2025; logistics and transportation services created 200,000+ additional jobs; and the IT/ITES sector’s share in Tamil Nadu’s GSDP rose from 2% in 2000 to 8.5% by 2024. Regional spillover has been a notable feature, with IT parks and knowledge centres established in Coimbatore, Madurai, and Tirunelveli.</w:t>
      </w:r>
    </w:p>
    <w:p>
      <w:pPr>
        <w:pStyle w:val="Heading2"/>
        <w:spacing w:after="120" w:before="280"/>
      </w:pPr>
      <w:r>
        <w:rPr>
          <w:rFonts w:ascii="Arial" w:cs="Arial" w:eastAsia="Arial" w:hAnsi="Arial"/>
          <w:b/>
          <w:bCs/>
          <w:color w:val="2E5FA3"/>
          <w:sz w:val="24"/>
          <w:szCs w:val="24"/>
        </w:rPr>
        <w:t xml:space="preserve">4.5 MSMEs: The Backbone of Inclusive Industrialisation</w:t>
      </w:r>
    </w:p>
    <w:p>
      <w:pPr>
        <w:spacing w:after="80" w:before="80" w:line="276"/>
        <w:jc w:val="both"/>
      </w:pPr>
      <w:r>
        <w:rPr>
          <w:rFonts w:ascii="Arial" w:cs="Arial" w:eastAsia="Arial" w:hAnsi="Arial"/>
          <w:color w:val="222222"/>
          <w:sz w:val="20"/>
          <w:szCs w:val="20"/>
        </w:rPr>
        <w:t xml:space="preserve">Tamil Nadu’s MSME ecosystem is the foundation of its inclusive growth model. As of early 2025, the state had 35.56 lakh registered MSMEs employing approximately 2.56 crore workers — with 51.3% located in rural areas. MSMEs contribute approximately 30% of state industrial output. The Udyam registration system (2020–22) added 7.76 lakh new entrepreneurs generating approximately 6.9 million jobs.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MSME clusters in Kancheepuram (silk weaving), Tiruppur (knitwear), and Coimbatore (engineering and textiles) have combined traditional craft knowledge with export-oriented manufacturing at a scale that no single large firm could achieve. The primary constraints remain credit access, technological obsolescence, and limited digital marketing capability — structural challenges the MSME Policy 2021 has partially addressed.</w:t>
      </w:r>
    </w:p>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5. Social Dimensions, Human Development, and Inequality</w:t>
      </w:r>
    </w:p>
    <w:p>
      <w:pPr>
        <w:pStyle w:val="Heading2"/>
        <w:spacing w:after="120" w:before="280"/>
      </w:pPr>
      <w:r>
        <w:rPr>
          <w:rFonts w:ascii="Arial" w:cs="Arial" w:eastAsia="Arial" w:hAnsi="Arial"/>
          <w:b/>
          <w:bCs/>
          <w:color w:val="2E5FA3"/>
          <w:sz w:val="24"/>
          <w:szCs w:val="24"/>
        </w:rPr>
        <w:t xml:space="preserve">5.1 Poverty and Living Standards</w:t>
      </w:r>
    </w:p>
    <w:p>
      <w:pPr>
        <w:spacing w:after="80" w:before="80" w:line="276"/>
        <w:jc w:val="both"/>
      </w:pPr>
      <w:r>
        <w:rPr>
          <w:rFonts w:ascii="Arial" w:cs="Arial" w:eastAsia="Arial" w:hAnsi="Arial"/>
          <w:color w:val="222222"/>
          <w:sz w:val="20"/>
          <w:szCs w:val="20"/>
        </w:rPr>
        <w:t xml:space="preserve">Tamil Nadu’s poverty trajectory is among the most impressive in India. The poverty rate declined from 54% in 1973–74 to 10.5% in 2023, with the state consistently outperforming national averages across consumption, health, and education metrics. Per capita NSDP rose from below ₹2,000 in 1950 to ₹2.85 lakh in 2025. The Human Development Index improved from 0.38 in 1981 to 0.71 in 2023, placing Tamil Nadu among the top five Indian states.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1700"/>
        <w:gridCol w:w="19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Indicator</w:t>
            </w:r>
          </w:p>
        </w:tc>
        <w:tc>
          <w:tcPr>
            <w:tcW w:type="dxa" w:w="21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1950s</w:t>
            </w:r>
          </w:p>
        </w:tc>
        <w:tc>
          <w:tcPr>
            <w:tcW w:type="dxa" w:w="1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1980s–2000s</w:t>
            </w:r>
          </w:p>
        </w:tc>
        <w:tc>
          <w:tcPr>
            <w:tcW w:type="dxa" w:w="19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2010–2025</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GSDP</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₹260 crore</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₹1.8 lakh crore</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₹28.5 lakh crore</w:t>
            </w:r>
          </w:p>
        </w:tc>
      </w:tr>
      <w:tr>
        <w:tc>
          <w:tcPr>
            <w:tcW w:type="dxa" w:w="3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Per capita NSDP</w:t>
            </w:r>
          </w:p>
        </w:tc>
        <w:tc>
          <w:tcPr>
            <w:tcW w:type="dxa" w:w="21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&lt;₹2,000</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₹25,000</w:t>
            </w:r>
          </w:p>
        </w:tc>
        <w:tc>
          <w:tcPr>
            <w:tcW w:type="dxa" w:w="1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₹2,85,000</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Literacy rate (%)</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36</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66</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82.9</w:t>
            </w:r>
          </w:p>
        </w:tc>
      </w:tr>
      <w:tr>
        <w:tc>
          <w:tcPr>
            <w:tcW w:type="dxa" w:w="3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Life expectancy (years)</w:t>
            </w:r>
          </w:p>
        </w:tc>
        <w:tc>
          <w:tcPr>
            <w:tcW w:type="dxa" w:w="21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45</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63</w:t>
            </w:r>
          </w:p>
        </w:tc>
        <w:tc>
          <w:tcPr>
            <w:tcW w:type="dxa" w:w="1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73.4</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Infant Mortality Rate (per 1,000 live births)</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134</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58</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13</w:t>
            </w:r>
          </w:p>
        </w:tc>
      </w:tr>
      <w:tr>
        <w:tc>
          <w:tcPr>
            <w:tcW w:type="dxa" w:w="3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Poverty rate (%)</w:t>
            </w:r>
          </w:p>
        </w:tc>
        <w:tc>
          <w:tcPr>
            <w:tcW w:type="dxa" w:w="21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54</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32</w:t>
            </w:r>
          </w:p>
        </w:tc>
        <w:tc>
          <w:tcPr>
            <w:tcW w:type="dxa" w:w="1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10.5</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Urban population (%)</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19</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34</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49</w:t>
            </w:r>
          </w:p>
        </w:tc>
      </w:tr>
      <w:tr>
        <w:tc>
          <w:tcPr>
            <w:tcW w:type="dxa" w:w="3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Female workforce participation (%)</w:t>
            </w:r>
          </w:p>
        </w:tc>
        <w:tc>
          <w:tcPr>
            <w:tcW w:type="dxa" w:w="21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9</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22</w:t>
            </w:r>
          </w:p>
        </w:tc>
        <w:tc>
          <w:tcPr>
            <w:tcW w:type="dxa" w:w="1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36</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HDI</w:t>
            </w:r>
          </w:p>
        </w:tc>
        <w:tc>
          <w:tcPr>
            <w:tcW w:type="dxa" w:w="21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0.38</w:t>
            </w:r>
          </w:p>
        </w:tc>
        <w:tc>
          <w:tcPr>
            <w:tcW w:type="dxa" w:w="1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0.54</w:t>
            </w:r>
          </w:p>
        </w:tc>
        <w:tc>
          <w:tcPr>
            <w:tcW w:type="dxa" w:w="19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0.71</w:t>
            </w:r>
          </w:p>
        </w:tc>
      </w:tr>
      <w:tr>
        <w:tc>
          <w:tcPr>
            <w:tcW w:type="dxa" w:w="3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Gini Coefficient (consumption)</w:t>
            </w:r>
          </w:p>
        </w:tc>
        <w:tc>
          <w:tcPr>
            <w:tcW w:type="dxa" w:w="21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0.30</w:t>
            </w:r>
          </w:p>
        </w:tc>
        <w:tc>
          <w:tcPr>
            <w:tcW w:type="dxa" w:w="1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0.36</w:t>
            </w:r>
          </w:p>
        </w:tc>
        <w:tc>
          <w:tcPr>
            <w:tcW w:type="dxa" w:w="19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0.41</w:t>
            </w:r>
          </w:p>
        </w:tc>
      </w:tr>
    </w:tbl>
    <w:p>
      <w:pPr>
        <w:pStyle w:val="Heading2"/>
        <w:spacing w:after="120" w:before="280"/>
      </w:pPr>
      <w:r>
        <w:rPr>
          <w:rFonts w:ascii="Arial" w:cs="Arial" w:eastAsia="Arial" w:hAnsi="Arial"/>
          <w:b/>
          <w:bCs/>
          <w:color w:val="2E5FA3"/>
          <w:sz w:val="24"/>
          <w:szCs w:val="24"/>
        </w:rPr>
        <w:t xml:space="preserve">5.2 Gender and Workforce Inclusion</w:t>
      </w:r>
    </w:p>
    <w:p>
      <w:pPr>
        <w:spacing w:after="80" w:before="80" w:line="276"/>
        <w:jc w:val="both"/>
      </w:pPr>
      <w:r>
        <w:rPr>
          <w:rFonts w:ascii="Arial" w:cs="Arial" w:eastAsia="Arial" w:hAnsi="Arial"/>
          <w:color w:val="222222"/>
          <w:sz w:val="20"/>
          <w:szCs w:val="20"/>
        </w:rPr>
        <w:t xml:space="preserve">Industrialisation has substantially increased women’s formal workforce participation. In textile hubs such as Coimbatore and Tiruppur, women constitute over 45% of the manufacturing workforce. In electronics and IT assembly around Chennai and Sriperumbudur, women account for nearly 35% of the workforce. Female labour force participation has improved by 23% between 2000 and 2023, and Tamil Nadu ranks among the top five states on the Gender Development Index.</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Persistent challenges include wage disparities (particularly in informal employment settings), job insecurity in contract-based roles, and the concentration of high-earning positions in organised manufacturing among male workers. The Gini coefficient’s modest rise from 0.30 to 0.41 between 1950 and 2025 confirms that while industrialisation improved aggregate prosperity, benefits were not evenly distributed across gender, region, or social group.</w:t>
      </w:r>
    </w:p>
    <w:p>
      <w:pPr>
        <w:pStyle w:val="Heading2"/>
        <w:spacing w:after="120" w:before="280"/>
      </w:pPr>
      <w:r>
        <w:rPr>
          <w:rFonts w:ascii="Arial" w:cs="Arial" w:eastAsia="Arial" w:hAnsi="Arial"/>
          <w:b/>
          <w:bCs/>
          <w:color w:val="2E5FA3"/>
          <w:sz w:val="24"/>
          <w:szCs w:val="24"/>
        </w:rPr>
        <w:t xml:space="preserve">5.3 Labour Market Performance vs. National Benchmarks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Labour Indicator</w:t>
            </w:r>
          </w:p>
        </w:tc>
        <w:tc>
          <w:tcPr>
            <w:tcW w:type="dxa" w:w="2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Tamil Nadu</w:t>
            </w:r>
          </w:p>
        </w:tc>
        <w:tc>
          <w:tcPr>
            <w:tcW w:type="dxa" w:w="27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National Average</w:t>
            </w:r>
          </w:p>
        </w:tc>
      </w:tr>
      <w:tr>
        <w:tc>
          <w:tcPr>
            <w:tcW w:type="dxa" w:w="4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Skilled workers (% of industrial workforce)</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35%</w:t>
            </w:r>
          </w:p>
        </w:tc>
        <w:tc>
          <w:tcPr>
            <w:tcW w:type="dxa" w:w="2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25%</w:t>
            </w:r>
          </w:p>
        </w:tc>
      </w:tr>
      <w:tr>
        <w:tc>
          <w:tcPr>
            <w:tcW w:type="dxa" w:w="4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Average manufacturing wage (2022)</w:t>
            </w:r>
          </w:p>
        </w:tc>
        <w:tc>
          <w:tcPr>
            <w:tcW w:type="dxa" w:w="2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₹16,500/month</w:t>
            </w:r>
          </w:p>
        </w:tc>
        <w:tc>
          <w:tcPr>
            <w:tcW w:type="dxa" w:w="27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₹14,200/month</w:t>
            </w:r>
          </w:p>
        </w:tc>
      </w:tr>
      <w:tr>
        <w:tc>
          <w:tcPr>
            <w:tcW w:type="dxa" w:w="4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TNSDC vocational training placement rate</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65%</w:t>
            </w:r>
          </w:p>
        </w:tc>
        <w:tc>
          <w:tcPr>
            <w:tcW w:type="dxa" w:w="2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~50% benchmark</w:t>
            </w:r>
          </w:p>
        </w:tc>
      </w:tr>
      <w:tr>
        <w:tc>
          <w:tcPr>
            <w:tcW w:type="dxa" w:w="4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Annual wage growth rate</w:t>
            </w:r>
          </w:p>
        </w:tc>
        <w:tc>
          <w:tcPr>
            <w:tcW w:type="dxa" w:w="2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7.5%</w:t>
            </w:r>
          </w:p>
        </w:tc>
        <w:tc>
          <w:tcPr>
            <w:tcW w:type="dxa" w:w="27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5.0%</w:t>
            </w:r>
          </w:p>
        </w:tc>
      </w:tr>
      <w:tr>
        <w:tc>
          <w:tcPr>
            <w:tcW w:type="dxa" w:w="4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Non-farm employment within rural areas</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Highest nationally</w:t>
            </w:r>
          </w:p>
        </w:tc>
        <w:tc>
          <w:tcPr>
            <w:tcW w:type="dxa" w:w="27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Significantly lower</w:t>
            </w:r>
          </w:p>
        </w:tc>
      </w:tr>
      <w:tr>
        <w:tc>
          <w:tcPr>
            <w:tcW w:type="dxa" w:w="4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Casual wage to regular wage ratio (2011–12)</w:t>
            </w:r>
          </w:p>
        </w:tc>
        <w:tc>
          <w:tcPr>
            <w:tcW w:type="dxa" w:w="2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48.5%</w:t>
            </w:r>
          </w:p>
        </w:tc>
        <w:tc>
          <w:tcPr>
            <w:tcW w:type="dxa" w:w="27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36.4% all-India</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By 2023, TNSDC had trained over 1.2 million candidates across automotive, electronics, construction, and IT services sectors. Active trade unions in textiles and leather — combined with flexible performance-linked contracts in automotive and IT clusters — have produced a dual labour market structure that broadly maintains competitive wages while preserving industrial flexibility.</w:t>
      </w:r>
    </w:p>
    <w:p>
      <w:pPr>
        <w:pStyle w:val="Heading2"/>
        <w:spacing w:after="120" w:before="280"/>
      </w:pPr>
      <w:r>
        <w:rPr>
          <w:rFonts w:ascii="Arial" w:cs="Arial" w:eastAsia="Arial" w:hAnsi="Arial"/>
          <w:b/>
          <w:bCs/>
          <w:color w:val="2E5FA3"/>
          <w:sz w:val="24"/>
          <w:szCs w:val="24"/>
        </w:rPr>
        <w:t xml:space="preserve">5.4 Regional Disparities: The Persistent Challenge</w:t>
      </w:r>
    </w:p>
    <w:p>
      <w:pPr>
        <w:spacing w:after="80" w:before="80" w:line="276"/>
        <w:jc w:val="both"/>
      </w:pPr>
      <w:r>
        <w:rPr>
          <w:rFonts w:ascii="Arial" w:cs="Arial" w:eastAsia="Arial" w:hAnsi="Arial"/>
          <w:color w:val="222222"/>
          <w:sz w:val="20"/>
          <w:szCs w:val="20"/>
        </w:rPr>
        <w:t xml:space="preserve">Despite broad-based growth, significant regional disparities persist. Urban industrial corridors — Chennai, Coimbatore, Hosur, Tiruppur — account for a disproportionate share of industrial investment, employment, and income. Backward districts such as Dharmapuri, Perambalur, and parts of the northern belt lag considerably behind.</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Policy responses have evolved from the A/B/C district classification of the 1989 framework (offering progressively higher subsidies to less-industrialised districts) to SIPCOT’s land cost incentives of up to 50% in ‘C’ category districts under the 2021 Industrial Policy, and the promotion of 11 new industrial parks designed to generate 200,000 jobs in underserved regions.</w:t>
      </w:r>
    </w:p>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6. Environment, Sustainability, and Industry 4.0</w:t>
      </w:r>
    </w:p>
    <w:p>
      <w:pPr>
        <w:pStyle w:val="Heading2"/>
        <w:spacing w:after="120" w:before="280"/>
      </w:pPr>
      <w:r>
        <w:rPr>
          <w:rFonts w:ascii="Arial" w:cs="Arial" w:eastAsia="Arial" w:hAnsi="Arial"/>
          <w:b/>
          <w:bCs/>
          <w:color w:val="2E5FA3"/>
          <w:sz w:val="24"/>
          <w:szCs w:val="24"/>
        </w:rPr>
        <w:t xml:space="preserve">6.1 Environmental Pressures</w:t>
      </w:r>
    </w:p>
    <w:p>
      <w:pPr>
        <w:spacing w:after="80" w:before="80" w:line="276"/>
        <w:jc w:val="both"/>
      </w:pPr>
      <w:r>
        <w:rPr>
          <w:rFonts w:ascii="Arial" w:cs="Arial" w:eastAsia="Arial" w:hAnsi="Arial"/>
          <w:color w:val="222222"/>
          <w:sz w:val="20"/>
          <w:szCs w:val="20"/>
        </w:rPr>
        <w:t xml:space="preserve">Rapid industrialisation has imposed significant environmental costs. Tamil Nadu’s per capita water availability stands at just 654 m³ (2011 census) — less than half the national average of 1,545 m³. The Thenpennai River has suffered heavy pollution from industrial effluents. Lakes Chitlapakkam and Pallavaram have been degraded by untreated sewage and encroachment. Industrial zones around Ranipet (leather tanning) and SIDCO chemical clusters present persistent effluent management challenges.</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Tamil Nadu Pollution Control Board (TNPCB) has responded with a Voluntary Green Rating programme, the ‘Meendum Manjappai’ cloth bag campaign, and the Tamil Nadu Green Climate Company operating across all 38 districts. The state’s 2025 Textile Policy mandates compliance standards aligned with international buyer sustainability requirements, creating market incentives for environmental performance.</w:t>
      </w:r>
    </w:p>
    <w:p>
      <w:pPr>
        <w:pStyle w:val="Heading2"/>
        <w:spacing w:after="120" w:before="280"/>
      </w:pPr>
      <w:r>
        <w:rPr>
          <w:rFonts w:ascii="Arial" w:cs="Arial" w:eastAsia="Arial" w:hAnsi="Arial"/>
          <w:b/>
          <w:bCs/>
          <w:color w:val="2E5FA3"/>
          <w:sz w:val="24"/>
          <w:szCs w:val="24"/>
        </w:rPr>
        <w:t xml:space="preserve">6.2 Renewable Energy Transition</w:t>
      </w:r>
    </w:p>
    <w:p>
      <w:pPr>
        <w:spacing w:after="80" w:before="80" w:line="276"/>
        <w:jc w:val="both"/>
      </w:pPr>
      <w:r>
        <w:rPr>
          <w:rFonts w:ascii="Arial" w:cs="Arial" w:eastAsia="Arial" w:hAnsi="Arial"/>
          <w:color w:val="222222"/>
          <w:sz w:val="20"/>
          <w:szCs w:val="20"/>
        </w:rPr>
        <w:t xml:space="preserve">Tamil Nadu is India’s renewable energy leader. Total installed power capacity reached 111,000 MW by 2025, compared to 6,000 MW in 1991 — an 18-fold increase. Of this, renewables account for 23,109 MW, or 56.68% of total capacity. The breakdown includes approximately 10,881 MW of wind and 8,832 MW of solar. The state’s renewable energy share has exceeded 50% since approximately 2020, supporting both environmental goals and industrial energy security.</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Industrial clusters are actively integrating renewables: solar installations in Coimbatore’s textile mills, wind power for Tiruppur’s dyeing units, and biomass cogeneration in food processing clusters have reduced both carbon intensity and energy costs. The 2023 Industrial Policy targets manufacturing’s share in GSVA rising to 30% by 2030 alongside explicit green manufacturing benchmarks.</w:t>
      </w:r>
    </w:p>
    <w:p>
      <w:pPr>
        <w:pStyle w:val="Heading2"/>
        <w:spacing w:after="120" w:before="280"/>
      </w:pPr>
      <w:r>
        <w:rPr>
          <w:rFonts w:ascii="Arial" w:cs="Arial" w:eastAsia="Arial" w:hAnsi="Arial"/>
          <w:b/>
          <w:bCs/>
          <w:color w:val="2E5FA3"/>
          <w:sz w:val="24"/>
          <w:szCs w:val="24"/>
        </w:rPr>
        <w:t xml:space="preserve">6.3 Industry 4.0 and Automation</w:t>
      </w:r>
    </w:p>
    <w:p>
      <w:pPr>
        <w:spacing w:after="80" w:before="80" w:line="276"/>
        <w:jc w:val="both"/>
      </w:pPr>
      <w:r>
        <w:rPr>
          <w:rFonts w:ascii="Arial" w:cs="Arial" w:eastAsia="Arial" w:hAnsi="Arial"/>
          <w:color w:val="222222"/>
          <w:sz w:val="20"/>
          <w:szCs w:val="20"/>
        </w:rPr>
        <w:t xml:space="preserve">Tamil Nadu’s automotive and electronics clusters are at the forefront of Industry 4.0 adoption. Hyundai, Renault-Nissan, Ashok Leyland, and TVS have deployed AI-powered automation for supply chain optimisation and predictive maintenance. The state government has established an Industry 4.0 laboratory for MSMEs to facilitate technology integration for smaller firms.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D6E4F7" w:val="clear"/>
            <w:tcMar>
              <w:top w:type="dxa" w:w="120"/>
              <w:left w:type="dxa" w:w="180"/>
              <w:bottom w:type="dxa" w:w="120"/>
              <w:right w:type="dxa" w:w="180"/>
            </w:tcMar>
          </w:tcPr>
          <w:p>
            <w:pPr>
              <w:spacing w:after="60" w:before="40"/>
            </w:pPr>
            <w:r>
              <w:rPr>
                <w:rFonts w:ascii="Arial" w:cs="Arial" w:eastAsia="Arial" w:hAnsi="Arial"/>
                <w:b/>
                <w:bCs/>
                <w:color w:val="1F3864"/>
                <w:sz w:val="20"/>
                <w:szCs w:val="20"/>
              </w:rPr>
              <w:t xml:space="preserve">Employment and Automation: A Balanced Assessment</w:t>
            </w:r>
          </w:p>
          <w:p>
            <w:pPr>
              <w:spacing w:after="40" w:before="40"/>
              <w:jc w:val="both"/>
            </w:pPr>
            <w:r>
              <w:rPr>
                <w:rFonts w:ascii="Arial" w:cs="Arial" w:eastAsia="Arial" w:hAnsi="Arial"/>
                <w:color w:val="222222"/>
                <w:sz w:val="19"/>
                <w:szCs w:val="19"/>
              </w:rPr>
              <w:t xml:space="preserve">While automation raises concerns about job displacement in routine manufacturing tasks, Tamil Nadu’s experience suggests the transition can be managed through targeted re-skilling. New roles in AI maintenance, robotics operation, and data analytics are emerging alongside traditional manufacturing jobs. An AI-powered digital portal connecting youth to recruiters has been deployed to bridge the gap between automation-driven demand and available skills.</w:t>
            </w:r>
          </w:p>
        </w:tc>
      </w:tr>
    </w:tbl>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7. Crisis Resilience: Financial Shocks, Floods, and Pandemic</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400"/>
        <w:gridCol w:w="2400"/>
        <w:gridCol w:w="1460"/>
      </w:tblGrid>
      <w:tr>
        <w:trPr>
          <w:tblHeader/>
        </w:trPr>
        <w:tc>
          <w:tcPr>
            <w:tcW w:type="dxa" w:w="22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Crisis</w:t>
            </w:r>
          </w:p>
        </w:tc>
        <w:tc>
          <w:tcPr>
            <w:tcW w:type="dxa" w:w="9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w:t>
            </w:r>
          </w:p>
        </w:tc>
        <w:tc>
          <w:tcPr>
            <w:tcW w:type="dxa" w:w="2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Immediate Impact</w:t>
            </w:r>
          </w:p>
        </w:tc>
        <w:tc>
          <w:tcPr>
            <w:tcW w:type="dxa" w:w="24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Recovery Mechanism</w:t>
            </w:r>
          </w:p>
        </w:tc>
        <w:tc>
          <w:tcPr>
            <w:tcW w:type="dxa" w:w="14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Recovery</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Global Financial Crisis</w:t>
            </w:r>
          </w:p>
        </w:tc>
        <w:tc>
          <w:tcPr>
            <w:tcW w:type="dxa" w:w="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2008–09</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~5% contraction in output; MSME liquidity stress</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Fiscal stimulus; MSME credit support; domestic demand</w:t>
            </w:r>
          </w:p>
        </w:tc>
        <w:tc>
          <w:tcPr>
            <w:tcW w:type="dxa" w:w="14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7.2% rebound by 2010</w:t>
            </w:r>
          </w:p>
        </w:tc>
      </w:tr>
      <w:tr>
        <w:tc>
          <w:tcPr>
            <w:tcW w:type="dxa" w:w="22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Chennai Floods</w:t>
            </w:r>
          </w:p>
        </w:tc>
        <w:tc>
          <w:tcPr>
            <w:tcW w:type="dxa" w:w="9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2015</w:t>
            </w:r>
          </w:p>
        </w:tc>
        <w:tc>
          <w:tcPr>
            <w:tcW w:type="dxa" w:w="2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$3.5 billion losses; 4 million affected; Ford, Renault production halted</w:t>
            </w:r>
          </w:p>
        </w:tc>
        <w:tc>
          <w:tcPr>
            <w:tcW w:type="dxa" w:w="24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Rapid infrastructure restoration; financial assistance to clusters; Ranipet cluster networks</w:t>
            </w:r>
          </w:p>
        </w:tc>
        <w:tc>
          <w:tcPr>
            <w:tcW w:type="dxa" w:w="14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~25% rebound within 6 months</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COVID-19 Pandemic</w:t>
            </w:r>
          </w:p>
        </w:tc>
        <w:tc>
          <w:tcPr>
            <w:tcW w:type="dxa" w:w="9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2020–22</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₹85,000 crore revenue loss; 53% job loss in first lockdown</w:t>
            </w:r>
          </w:p>
        </w:tc>
        <w:tc>
          <w:tcPr>
            <w:tcW w:type="dxa" w:w="24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Digitalisation of operations; ₹MSME stimulus; sector diversification</w:t>
            </w:r>
          </w:p>
        </w:tc>
        <w:tc>
          <w:tcPr>
            <w:tcW w:type="dxa" w:w="14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~50% output recovery by mid-2021</w:t>
            </w:r>
          </w:p>
        </w:tc>
      </w:tr>
    </w:tbl>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What distinguishes Tamil Nadu’s recovery profile is the combined effect of sectoral diversification (no single-sector concentration), digital infrastructure (enabling rapid remote work transitions in IT/ITES), robust welfare architecture (maintaining household incomes during lockdowns through PDS and welfare boards), and proactive state fiscal response. Manufacturing output surpassed pre-COVID levels by 2021–22 at ₹2,93,044 crore, versus ₹2,67,973 crore in 2019–20.</w:t>
      </w:r>
    </w:p>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8. Strategic Outlook: Competitiveness, Inclusion, and Sustainability to 2030</w:t>
      </w:r>
    </w:p>
    <w:p>
      <w:pPr>
        <w:pStyle w:val="Heading2"/>
        <w:spacing w:after="120" w:before="280"/>
      </w:pPr>
      <w:r>
        <w:rPr>
          <w:rFonts w:ascii="Arial" w:cs="Arial" w:eastAsia="Arial" w:hAnsi="Arial"/>
          <w:b/>
          <w:bCs/>
          <w:color w:val="2E5FA3"/>
          <w:sz w:val="24"/>
          <w:szCs w:val="24"/>
        </w:rPr>
        <w:t xml:space="preserve">8.1 Emerging Growth Sectors</w:t>
      </w:r>
    </w:p>
    <w:p>
      <w:pPr>
        <w:spacing w:after="80" w:before="80" w:line="276"/>
        <w:jc w:val="both"/>
      </w:pPr>
      <w:r>
        <w:rPr>
          <w:rFonts w:ascii="Arial" w:cs="Arial" w:eastAsia="Arial" w:hAnsi="Arial"/>
          <w:color w:val="222222"/>
          <w:sz w:val="20"/>
          <w:szCs w:val="20"/>
        </w:rPr>
        <w:t xml:space="preserve">Four sectors will define Tamil Nadu’s industrial trajectory to 2030:</w:t>
      </w:r>
    </w:p>
    <w:p>
      <w:pPr>
        <w:spacing w:after="40" w:before="40"/>
      </w:pP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color w:val="222222"/>
          <w:sz w:val="20"/>
          <w:szCs w:val="20"/>
        </w:rPr>
        <w:t xml:space="preserve">Electric Vehicles (EVs): The state’s automotive cluster is pivoting toward EV manufacturing, with Hyundai and domestic manufacturers investing in EV production lines. The existing 1,000+ tier-2/tier-3 supplier network provides a strong foundation for EV component localisation.</w:t>
      </w:r>
    </w:p>
    <w:p>
      <w:pPr>
        <w:pStyle w:val="ListParagraph"/>
        <w:numPr>
          <w:ilvl w:val="0"/>
          <w:numId w:val="2"/>
        </w:numPr>
        <w:spacing w:after="60" w:before="60"/>
      </w:pPr>
      <w:r>
        <w:rPr>
          <w:rFonts w:ascii="Arial" w:cs="Arial" w:eastAsia="Arial" w:hAnsi="Arial"/>
          <w:color w:val="222222"/>
          <w:sz w:val="20"/>
          <w:szCs w:val="20"/>
        </w:rPr>
        <w:t xml:space="preserve">Defence and Aerospace: The Tamil Nadu Defence Industrial Corridor targets ₹75,000 crore in investment by 2032, with ₹23,000 crore already secured. This emerging cluster leverages existing precision engineering capabilities from the Coimbatore and Hosur belts.</w:t>
      </w:r>
    </w:p>
    <w:p>
      <w:pPr>
        <w:pStyle w:val="ListParagraph"/>
        <w:numPr>
          <w:ilvl w:val="0"/>
          <w:numId w:val="2"/>
        </w:numPr>
        <w:spacing w:after="60" w:before="60"/>
      </w:pPr>
      <w:r>
        <w:rPr>
          <w:rFonts w:ascii="Arial" w:cs="Arial" w:eastAsia="Arial" w:hAnsi="Arial"/>
          <w:color w:val="222222"/>
          <w:sz w:val="20"/>
          <w:szCs w:val="20"/>
        </w:rPr>
        <w:t xml:space="preserve">Semiconductors and Advanced Electronics: The PLI scheme and Tamil Nadu Electronics Components Manufacturing Scheme are attracting component makers including Corning Inc. (₹1,000 crore investment) to build depth beyond assembly into higher-value manufacturing.</w:t>
      </w:r>
    </w:p>
    <w:p>
      <w:pPr>
        <w:pStyle w:val="ListParagraph"/>
        <w:numPr>
          <w:ilvl w:val="0"/>
          <w:numId w:val="2"/>
        </w:numPr>
        <w:spacing w:after="60" w:before="60"/>
      </w:pPr>
      <w:r>
        <w:rPr>
          <w:rFonts w:ascii="Arial" w:cs="Arial" w:eastAsia="Arial" w:hAnsi="Arial"/>
          <w:color w:val="222222"/>
          <w:sz w:val="20"/>
          <w:szCs w:val="20"/>
        </w:rPr>
        <w:t xml:space="preserve">Green Chemicals and Circular Economy: Zero-liquid discharge mandates in textile and chemical clusters, industrial symbiosis networks, and renewable energy integration are building a compliance infrastructure that doubles as a competitive advantage in ESG-conscious global value chains.</w:t>
      </w:r>
    </w:p>
    <w:p>
      <w:pPr>
        <w:pStyle w:val="Heading2"/>
        <w:spacing w:after="120" w:before="280"/>
      </w:pPr>
      <w:r>
        <w:rPr>
          <w:rFonts w:ascii="Arial" w:cs="Arial" w:eastAsia="Arial" w:hAnsi="Arial"/>
          <w:b/>
          <w:bCs/>
          <w:color w:val="2E5FA3"/>
          <w:sz w:val="24"/>
          <w:szCs w:val="24"/>
        </w:rPr>
        <w:t xml:space="preserve">8.2 Key Targets (2025–2030)</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3060"/>
      </w:tblGrid>
      <w:tr>
        <w:trPr>
          <w:tblHeader/>
        </w:trPr>
        <w:tc>
          <w:tcPr>
            <w:tcW w:type="dxa" w:w="36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 Area</w:t>
            </w:r>
          </w:p>
        </w:tc>
        <w:tc>
          <w:tcPr>
            <w:tcW w:type="dxa" w:w="27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Current Status</w:t>
            </w:r>
          </w:p>
        </w:tc>
        <w:tc>
          <w:tcPr>
            <w:tcW w:type="dxa" w:w="30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 by 2025–30</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Manufacturing share in GSVA</w:t>
            </w:r>
          </w:p>
        </w:tc>
        <w:tc>
          <w:tcPr>
            <w:tcW w:type="dxa" w:w="2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~24.47% (2021–22)</w:t>
            </w:r>
          </w:p>
        </w:tc>
        <w:tc>
          <w:tcPr>
            <w:tcW w:type="dxa" w:w="30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30% by 2030</w:t>
            </w:r>
          </w:p>
        </w:tc>
      </w:tr>
      <w:tr>
        <w:tc>
          <w:tcPr>
            <w:tcW w:type="dxa" w:w="3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Workforce in industry</w:t>
            </w:r>
          </w:p>
        </w:tc>
        <w:tc>
          <w:tcPr>
            <w:tcW w:type="dxa" w:w="2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~9 million</w:t>
            </w:r>
          </w:p>
        </w:tc>
        <w:tc>
          <w:tcPr>
            <w:tcW w:type="dxa" w:w="30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10–11 million</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Female workforce participation</w:t>
            </w:r>
          </w:p>
        </w:tc>
        <w:tc>
          <w:tcPr>
            <w:tcW w:type="dxa" w:w="2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35%</w:t>
            </w:r>
          </w:p>
        </w:tc>
        <w:tc>
          <w:tcPr>
            <w:tcW w:type="dxa" w:w="30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40%</w:t>
            </w:r>
          </w:p>
        </w:tc>
      </w:tr>
      <w:tr>
        <w:tc>
          <w:tcPr>
            <w:tcW w:type="dxa" w:w="3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Tier-2/Tier-3 industrial investment share</w:t>
            </w:r>
          </w:p>
        </w:tc>
        <w:tc>
          <w:tcPr>
            <w:tcW w:type="dxa" w:w="2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25%</w:t>
            </w:r>
          </w:p>
        </w:tc>
        <w:tc>
          <w:tcPr>
            <w:tcW w:type="dxa" w:w="30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35–40%</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EV/green sector share of industrial output</w:t>
            </w:r>
          </w:p>
        </w:tc>
        <w:tc>
          <w:tcPr>
            <w:tcW w:type="dxa" w:w="2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Emerging</w:t>
            </w:r>
          </w:p>
        </w:tc>
        <w:tc>
          <w:tcPr>
            <w:tcW w:type="dxa" w:w="30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5–7%</w:t>
            </w:r>
          </w:p>
        </w:tc>
      </w:tr>
      <w:tr>
        <w:tc>
          <w:tcPr>
            <w:tcW w:type="dxa" w:w="36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Renewable energy capacity</w:t>
            </w:r>
          </w:p>
        </w:tc>
        <w:tc>
          <w:tcPr>
            <w:tcW w:type="dxa" w:w="27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23,109 MW</w:t>
            </w:r>
          </w:p>
        </w:tc>
        <w:tc>
          <w:tcPr>
            <w:tcW w:type="dxa" w:w="30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Expand to 40,000+ MW</w:t>
            </w:r>
          </w:p>
        </w:tc>
      </w:tr>
      <w:tr>
        <w:tc>
          <w:tcPr>
            <w:tcW w:type="dxa" w:w="36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MSME contribution to industrial output</w:t>
            </w:r>
          </w:p>
        </w:tc>
        <w:tc>
          <w:tcPr>
            <w:tcW w:type="dxa" w:w="27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30%</w:t>
            </w:r>
          </w:p>
        </w:tc>
        <w:tc>
          <w:tcPr>
            <w:tcW w:type="dxa" w:w="30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Sustain and deepen</w:t>
            </w:r>
          </w:p>
        </w:tc>
      </w:tr>
    </w:tbl>
    <w:p>
      <w:pPr>
        <w:pStyle w:val="Heading2"/>
        <w:spacing w:after="120" w:before="280"/>
      </w:pPr>
      <w:r>
        <w:rPr>
          <w:rFonts w:ascii="Arial" w:cs="Arial" w:eastAsia="Arial" w:hAnsi="Arial"/>
          <w:b/>
          <w:bCs/>
          <w:color w:val="2E5FA3"/>
          <w:sz w:val="24"/>
          <w:szCs w:val="24"/>
        </w:rPr>
        <w:t xml:space="preserve">8.3 Reform Priorities for Sustainable Industrial Development</w:t>
      </w:r>
    </w:p>
    <w:p>
      <w:pPr>
        <w:spacing w:after="80" w:before="80" w:line="276"/>
        <w:jc w:val="both"/>
      </w:pPr>
      <w:r>
        <w:rPr>
          <w:rFonts w:ascii="Arial" w:cs="Arial" w:eastAsia="Arial" w:hAnsi="Arial"/>
          <w:color w:val="222222"/>
          <w:sz w:val="20"/>
          <w:szCs w:val="20"/>
        </w:rPr>
        <w:t xml:space="preserve">Drawing on the comparative analysis across all three source documents, the following reforms are most critical to sustaining Tamil Nadu’s industrial trajectory:</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200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Challenge Addressed</w:t>
            </w:r>
          </w:p>
        </w:tc>
        <w:tc>
          <w:tcPr>
            <w:tcW w:type="dxa" w:w="5360"/>
            <w:tcBorders>
              <w:top w:val="single" w:color="BBBBBB" w:sz="4"/>
              <w:left w:val="single" w:color="BBBBBB" w:sz="4"/>
              <w:bottom w:val="single" w:color="BBBBBB" w:sz="4"/>
              <w:right w:val="single" w:color="BBBBBB" w:sz="4"/>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Actions</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Green manufacturing &amp; resource efficiency</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Water stress, air quality, carbon intensity</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Energy audits; renewable mandates; zero-liquid discharge expansion; circular economy incentives</w:t>
            </w:r>
          </w:p>
        </w:tc>
      </w:tr>
      <w:tr>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MSME modernisation and credit access</w:t>
            </w:r>
          </w:p>
        </w:tc>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Technology obsolescence; credit constraints</w:t>
            </w:r>
          </w:p>
        </w:tc>
        <w:tc>
          <w:tcPr>
            <w:tcW w:type="dxa" w:w="5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Concessional credit; shared R&amp;D facilities; digital integration; cluster-based technology upgrading</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Sector-specific skills and vocational training</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Skill mismatch; industry 4.0 displacement</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Align TNSDC programmes with EV, aerospace, ESDM demand; expand apprenticeship pathways</w:t>
            </w:r>
          </w:p>
        </w:tc>
      </w:tr>
      <w:tr>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Logistics, land, and worker housing</w:t>
            </w:r>
          </w:p>
        </w:tc>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Infrastructure bottlenecks; commuting costs</w:t>
            </w:r>
          </w:p>
        </w:tc>
        <w:tc>
          <w:tcPr>
            <w:tcW w:type="dxa" w:w="5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Last-mile industrial connectivity; affordable worker housing in industrial corridors</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Regional equity in investment promotion</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Persistent disparities between industrial corridors and backward districts</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Maintain and deepen land cost incentives for ‘C’ districts; new SIPCOT parks in underserved regions</w:t>
            </w:r>
          </w:p>
        </w:tc>
      </w:tr>
      <w:tr>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left"/>
            </w:pPr>
            <w:r>
              <w:rPr>
                <w:rFonts w:ascii="Arial" w:cs="Arial" w:eastAsia="Arial" w:hAnsi="Arial"/>
                <w:color w:val="222222"/>
                <w:sz w:val="18"/>
                <w:szCs w:val="18"/>
              </w:rPr>
              <w:t xml:space="preserve">Environmental governance</w:t>
            </w:r>
          </w:p>
        </w:tc>
        <w:tc>
          <w:tcPr>
            <w:tcW w:type="dxa" w:w="200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Enforcement gaps; reactive compliance</w:t>
            </w:r>
          </w:p>
        </w:tc>
        <w:tc>
          <w:tcPr>
            <w:tcW w:type="dxa" w:w="5360"/>
            <w:tcBorders>
              <w:top w:val="single" w:color="BBBBBB" w:sz="4"/>
              <w:left w:val="single" w:color="BBBBBB" w:sz="4"/>
              <w:bottom w:val="single" w:color="BBBBBB" w:sz="4"/>
              <w:right w:val="single" w:color="BBBBBB" w:sz="4"/>
            </w:tcBorders>
            <w:shd w:fill="F2F2F2" w:val="clear"/>
            <w:tcMar>
              <w:top w:type="dxa" w:w="70"/>
              <w:left w:type="dxa" w:w="120"/>
              <w:bottom w:type="dxa" w:w="70"/>
              <w:right w:type="dxa" w:w="120"/>
            </w:tcMar>
          </w:tcPr>
          <w:p>
            <w:pPr>
              <w:jc w:val="center"/>
            </w:pPr>
            <w:r>
              <w:rPr>
                <w:rFonts w:ascii="Arial" w:cs="Arial" w:eastAsia="Arial" w:hAnsi="Arial"/>
                <w:color w:val="222222"/>
                <w:sz w:val="18"/>
                <w:szCs w:val="18"/>
              </w:rPr>
              <w:t xml:space="preserve">Performance-based green incentives; real-time effluent monitoring; sector-specific standards</w:t>
            </w:r>
          </w:p>
        </w:tc>
      </w:tr>
      <w:tr>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left"/>
            </w:pPr>
            <w:r>
              <w:rPr>
                <w:rFonts w:ascii="Arial" w:cs="Arial" w:eastAsia="Arial" w:hAnsi="Arial"/>
                <w:color w:val="222222"/>
                <w:sz w:val="18"/>
                <w:szCs w:val="18"/>
              </w:rPr>
              <w:t xml:space="preserve">Innovation and R&amp;D ecosystem</w:t>
            </w:r>
          </w:p>
        </w:tc>
        <w:tc>
          <w:tcPr>
            <w:tcW w:type="dxa" w:w="200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Limited local R&amp;D; shallow domestic supplier networks</w:t>
            </w:r>
          </w:p>
        </w:tc>
        <w:tc>
          <w:tcPr>
            <w:tcW w:type="dxa" w:w="5360"/>
            <w:tcBorders>
              <w:top w:val="single" w:color="BBBBBB" w:sz="4"/>
              <w:left w:val="single" w:color="BBBBBB" w:sz="4"/>
              <w:bottom w:val="single" w:color="BBBBBB" w:sz="4"/>
              <w:right w:val="single" w:color="BBBBBB" w:sz="4"/>
            </w:tcBorders>
            <w:shd w:fill="FFFFFF" w:val="clear"/>
            <w:tcMar>
              <w:top w:type="dxa" w:w="70"/>
              <w:left w:type="dxa" w:w="120"/>
              <w:bottom w:type="dxa" w:w="70"/>
              <w:right w:type="dxa" w:w="120"/>
            </w:tcMar>
          </w:tcPr>
          <w:p>
            <w:pPr>
              <w:jc w:val="center"/>
            </w:pPr>
            <w:r>
              <w:rPr>
                <w:rFonts w:ascii="Arial" w:cs="Arial" w:eastAsia="Arial" w:hAnsi="Arial"/>
                <w:color w:val="222222"/>
                <w:sz w:val="18"/>
                <w:szCs w:val="18"/>
              </w:rPr>
              <w:t xml:space="preserve">Industry-university R&amp;D partnerships; local supplier development programmes; GCC attraction strategy</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FF5D6" w:val="clear"/>
            <w:tcMar>
              <w:top w:type="dxa" w:w="120"/>
              <w:left w:type="dxa" w:w="180"/>
              <w:bottom w:type="dxa" w:w="120"/>
              <w:right w:type="dxa" w:w="180"/>
            </w:tcMar>
          </w:tcPr>
          <w:p>
            <w:pPr>
              <w:spacing w:after="60" w:before="40"/>
            </w:pPr>
            <w:r>
              <w:rPr>
                <w:rFonts w:ascii="Arial" w:cs="Arial" w:eastAsia="Arial" w:hAnsi="Arial"/>
                <w:b/>
                <w:bCs/>
                <w:color w:val="1F3864"/>
                <w:sz w:val="20"/>
                <w:szCs w:val="20"/>
              </w:rPr>
              <w:t xml:space="preserve">A Lesson from 1989 for 2025</w:t>
            </w:r>
          </w:p>
          <w:p>
            <w:pPr>
              <w:spacing w:after="40" w:before="40"/>
              <w:jc w:val="both"/>
            </w:pPr>
            <w:r>
              <w:rPr>
                <w:rFonts w:ascii="Arial" w:cs="Arial" w:eastAsia="Arial" w:hAnsi="Arial"/>
                <w:color w:val="222222"/>
                <w:sz w:val="19"/>
                <w:szCs w:val="19"/>
              </w:rPr>
              <w:t xml:space="preserve">The 1989 Industrial Policy succeeded because it treated industrial development as a system, not a collection of schemes. Infrastructure, finance, technology, cooperatives, and entrepreneurship support were designed as an interconnected framework with deliberate social equity calibration. The challenge for the next phase of Tamil Nadu’s industrial evolution is the same: to design green transition, digital upgrading, MSME integration, and regional equity as a unified system rather than parallel policy streams.</w:t>
            </w:r>
          </w:p>
        </w:tc>
      </w:tr>
    </w:tbl>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9. Conclusion</w:t>
      </w:r>
    </w:p>
    <w:p>
      <w:pPr>
        <w:spacing w:after="80" w:before="80" w:line="276"/>
        <w:jc w:val="both"/>
      </w:pPr>
      <w:r>
        <w:rPr>
          <w:rFonts w:ascii="Arial" w:cs="Arial" w:eastAsia="Arial" w:hAnsi="Arial"/>
          <w:color w:val="222222"/>
          <w:sz w:val="20"/>
          <w:szCs w:val="20"/>
        </w:rPr>
        <w:t xml:space="preserve">Tamil Nadu’s industrial journey from 1947 to 2025 is exceptional in its continuity and its inclusivity. From the cooperative matchbox factories of Sivakasi employing below-poverty-line women in 1989, to Foxconn’s iPhone enclosure plant at Oragadam in 2024, the thread is unbroken: deliberate institutional investment creating the conditions for successive waves of industrial transformation.</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Three analytical insights from the synthesis of this report’s sources deserve particular emphasis:</w:t>
      </w:r>
    </w:p>
    <w:p>
      <w:pPr>
        <w:spacing w:after="40" w:before="40"/>
      </w:pPr>
      <w:r>
        <w:rPr>
          <w:rFonts w:ascii="Arial" w:cs="Arial" w:eastAsia="Arial" w:hAnsi="Arial"/>
          <w:sz w:val="20"/>
          <w:szCs w:val="20"/>
        </w:rPr>
        <w:t xml:space="preserve"/>
      </w:r>
    </w:p>
    <w:p>
      <w:pPr>
        <w:pStyle w:val="ListParagraph"/>
        <w:numPr>
          <w:ilvl w:val="0"/>
          <w:numId w:val="2"/>
        </w:numPr>
        <w:spacing w:after="60" w:before="60"/>
      </w:pPr>
      <w:r>
        <w:rPr>
          <w:rFonts w:ascii="Arial" w:cs="Arial" w:eastAsia="Arial" w:hAnsi="Arial"/>
          <w:color w:val="222222"/>
          <w:sz w:val="20"/>
          <w:szCs w:val="20"/>
        </w:rPr>
        <w:t xml:space="preserve">Institution-building precedes liberalisation benefits. Tamil Nadu emerged as the primary beneficiary of post-1991 economic opening precisely because the 1989 policy had completed the institutional architecture that foreign and domestic capital needed: industrial estates, a creditworthy SFI, trained technical entrepreneurs, and functional supply chains in electronics, pharmaceuticals, and motor vehicle ancillaries.</w:t>
      </w:r>
    </w:p>
    <w:p>
      <w:pPr>
        <w:pStyle w:val="ListParagraph"/>
        <w:numPr>
          <w:ilvl w:val="0"/>
          <w:numId w:val="2"/>
        </w:numPr>
        <w:spacing w:after="60" w:before="60"/>
      </w:pPr>
      <w:r>
        <w:rPr>
          <w:rFonts w:ascii="Arial" w:cs="Arial" w:eastAsia="Arial" w:hAnsi="Arial"/>
          <w:color w:val="222222"/>
          <w:sz w:val="20"/>
          <w:szCs w:val="20"/>
        </w:rPr>
        <w:t xml:space="preserve">Labour-intensive, spatially dispersed industrialisation produces broader social gains than capital-intensive metropolitan concentration. Tamil Nadu’s lower capital-intensity ratio, higher wage share in GVA, and broader OBC/Dalit entrepreneurship compared to Gujarat and Maharashtra reflect structural policy choices dating to the Dravidian governments’ spatial equity agenda — not merely market outcomes.</w:t>
      </w:r>
    </w:p>
    <w:p>
      <w:pPr>
        <w:pStyle w:val="ListParagraph"/>
        <w:numPr>
          <w:ilvl w:val="0"/>
          <w:numId w:val="2"/>
        </w:numPr>
        <w:spacing w:after="60" w:before="60"/>
      </w:pPr>
      <w:r>
        <w:rPr>
          <w:rFonts w:ascii="Arial" w:cs="Arial" w:eastAsia="Arial" w:hAnsi="Arial"/>
          <w:color w:val="222222"/>
          <w:sz w:val="20"/>
          <w:szCs w:val="20"/>
        </w:rPr>
        <w:t xml:space="preserve">Welfare provision is not a transfer programme; it is an industrial policy instrument. The PDS, MGNREGA, and 17 welfare boards for informal workers maintained a wage floor, enabled labour mobility, supported household consumption, and insulated the industrial system from social instability during crisis periods. Tamil Nadu’s faster recovery from COVID-19 compared to peer states reflects, in part, this social shock-absorber architecture.</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state’s greatest risk in the next phase is not external: it is the possibility that rapid industrial upgrading into capital-intensive EVs, aerospace, and advanced electronics narrows the employment base precisely when the existing labour-intensive manufacturing clusters face cost pressures from automation and global competition. The strategic task is to manage this transition in a manner consistent with Tamil Nadu’s tradition of inclusive industrialisation.</w:t>
      </w:r>
    </w:p>
    <w:p>
      <w:pPr>
        <w:spacing w:after="40" w:before="40"/>
      </w:pPr>
      <w:r>
        <w:rPr>
          <w:rFonts w:ascii="Arial" w:cs="Arial" w:eastAsia="Arial" w:hAnsi="Arial"/>
          <w:sz w:val="20"/>
          <w:szCs w:val="20"/>
        </w:rPr>
        <w:t xml:space="preserve"/>
      </w:r>
    </w:p>
    <w:p>
      <w:pPr>
        <w:spacing w:after="80" w:before="80" w:line="276"/>
        <w:jc w:val="both"/>
      </w:pPr>
      <w:r>
        <w:rPr>
          <w:rFonts w:ascii="Arial" w:cs="Arial" w:eastAsia="Arial" w:hAnsi="Arial"/>
          <w:color w:val="222222"/>
          <w:sz w:val="20"/>
          <w:szCs w:val="20"/>
        </w:rPr>
        <w:t xml:space="preserve">The institutional foundation — SIPCOT, TIIC, TIDCO, Guidance Tamil Nadu, and 38 district DIC networks — is intact. The challenge is to align it with the demands of a green, digitised, and globally integrated industrial economy while ensuring that the benefits of the next industrial transformation reach all corners of Tamil Nadu, as the architects of the 1989 policy intended.</w:t>
      </w:r>
    </w:p>
    <w:p>
      <w:pPr>
        <w:spacing w:after="40" w:before="40"/>
      </w:pPr>
      <w:r>
        <w:rPr>
          <w:rFonts w:ascii="Arial" w:cs="Arial" w:eastAsia="Arial" w:hAnsi="Arial"/>
          <w:sz w:val="20"/>
          <w:szCs w:val="20"/>
        </w:rPr>
        <w:t xml:space="preserve"/>
      </w:r>
    </w:p>
    <w:p>
      <w:r>
        <w:br w:type="page"/>
      </w:r>
    </w:p>
    <w:p>
      <w:pPr>
        <w:pStyle w:val="Heading1"/>
        <w:spacing w:after="160" w:before="360"/>
      </w:pPr>
      <w:r>
        <w:rPr>
          <w:rFonts w:ascii="Arial" w:cs="Arial" w:eastAsia="Arial" w:hAnsi="Arial"/>
          <w:b/>
          <w:bCs/>
          <w:color w:val="1F3864"/>
          <w:sz w:val="28"/>
          <w:szCs w:val="28"/>
        </w:rPr>
        <w:t xml:space="preserve">References</w:t>
      </w:r>
    </w:p>
    <w:p>
      <w:pPr>
        <w:spacing w:after="80" w:before="80"/>
        <w:ind w:left="440" w:hanging="440"/>
      </w:pPr>
      <w:r>
        <w:rPr>
          <w:rFonts w:ascii="Arial" w:cs="Arial" w:eastAsia="Arial" w:hAnsi="Arial"/>
          <w:color w:val="333333"/>
          <w:sz w:val="18"/>
          <w:szCs w:val="18"/>
        </w:rPr>
        <w:t xml:space="preserve">Kalaiyarasan A. (2020). Structural Change in Tamil Nadu, 1980–2010: Limits of Subnational Development. MIDS Working Paper No. 239. Madras Institute of Development Studies, Chennai.</w:t>
      </w:r>
    </w:p>
    <w:p>
      <w:pPr>
        <w:spacing w:after="80" w:before="80"/>
        <w:ind w:left="440" w:hanging="440"/>
      </w:pPr>
      <w:r>
        <w:rPr>
          <w:rFonts w:ascii="Arial" w:cs="Arial" w:eastAsia="Arial" w:hAnsi="Arial"/>
          <w:color w:val="333333"/>
          <w:sz w:val="18"/>
          <w:szCs w:val="18"/>
        </w:rPr>
        <w:t xml:space="preserve">Yoganandham, G. (2025). An Analysis of the Industrial Development of Tamil Nadu (1947–2025) with Reference to Achievements, Challenges, and Strategic Outlook for Sustainable Growth. Journal for Basic Sciences, 25(10), 270–344.</w:t>
      </w:r>
    </w:p>
    <w:p>
      <w:pPr>
        <w:spacing w:after="80" w:before="80"/>
        <w:ind w:left="440" w:hanging="440"/>
      </w:pPr>
      <w:r>
        <w:rPr>
          <w:rFonts w:ascii="Arial" w:cs="Arial" w:eastAsia="Arial" w:hAnsi="Arial"/>
          <w:color w:val="333333"/>
          <w:sz w:val="18"/>
          <w:szCs w:val="18"/>
        </w:rPr>
        <w:t xml:space="preserve">Tamil Nadu Legislative Assembly Records (1989). Tamil Nadu Industrial Policy (Annexure III), April 21, 1989. [Historical-Industrial Analysis Report].</w:t>
      </w:r>
    </w:p>
    <w:p>
      <w:pPr>
        <w:spacing w:after="80" w:before="80"/>
        <w:ind w:left="440" w:hanging="440"/>
      </w:pPr>
      <w:r>
        <w:rPr>
          <w:rFonts w:ascii="Arial" w:cs="Arial" w:eastAsia="Arial" w:hAnsi="Arial"/>
          <w:color w:val="333333"/>
          <w:sz w:val="18"/>
          <w:szCs w:val="18"/>
        </w:rPr>
        <w:t xml:space="preserve">Ahluwalia, M.S. (2002). Economic Reforms in India Since 1991: Has Gradualism Worked? Journal of Economic Perspectives.</w:t>
      </w:r>
    </w:p>
    <w:p>
      <w:pPr>
        <w:spacing w:after="80" w:before="80"/>
        <w:ind w:left="440" w:hanging="440"/>
      </w:pPr>
      <w:r>
        <w:rPr>
          <w:rFonts w:ascii="Arial" w:cs="Arial" w:eastAsia="Arial" w:hAnsi="Arial"/>
          <w:color w:val="333333"/>
          <w:sz w:val="18"/>
          <w:szCs w:val="18"/>
        </w:rPr>
        <w:t xml:space="preserve">Drèze, J. &amp; Khera, R. (2013). Rural Poverty and the Public Distribution System. Economic and Political Weekly.</w:t>
      </w:r>
    </w:p>
    <w:p>
      <w:pPr>
        <w:spacing w:after="80" w:before="80"/>
        <w:ind w:left="440" w:hanging="440"/>
      </w:pPr>
      <w:r>
        <w:rPr>
          <w:rFonts w:ascii="Arial" w:cs="Arial" w:eastAsia="Arial" w:hAnsi="Arial"/>
          <w:color w:val="333333"/>
          <w:sz w:val="18"/>
          <w:szCs w:val="18"/>
        </w:rPr>
        <w:t xml:space="preserve">Government of Tamil Nadu (2023). Industrial Policy Document. Tamil Nadu Department of Industries.</w:t>
      </w:r>
    </w:p>
    <w:p>
      <w:pPr>
        <w:spacing w:after="80" w:before="80"/>
        <w:ind w:left="440" w:hanging="440"/>
      </w:pPr>
      <w:r>
        <w:rPr>
          <w:rFonts w:ascii="Arial" w:cs="Arial" w:eastAsia="Arial" w:hAnsi="Arial"/>
          <w:color w:val="333333"/>
          <w:sz w:val="18"/>
          <w:szCs w:val="18"/>
        </w:rPr>
        <w:t xml:space="preserve">Government of Tamil Nadu (2024). Tamil Nadu Economic Appraisal. Department of Economics and Statistics.</w:t>
      </w:r>
    </w:p>
    <w:p>
      <w:pPr>
        <w:spacing w:after="80" w:before="80"/>
        <w:ind w:left="440" w:hanging="440"/>
      </w:pPr>
      <w:r>
        <w:rPr>
          <w:rFonts w:ascii="Arial" w:cs="Arial" w:eastAsia="Arial" w:hAnsi="Arial"/>
          <w:color w:val="333333"/>
          <w:sz w:val="18"/>
          <w:szCs w:val="18"/>
        </w:rPr>
        <w:t xml:space="preserve">Guhan, S. (1989). Industrial Policy and Regional Development: The Case of Tamil Nadu. Economic and Political Weekly, 24(10), 529–540.</w:t>
      </w:r>
    </w:p>
    <w:p>
      <w:pPr>
        <w:spacing w:after="80" w:before="80"/>
        <w:ind w:left="440" w:hanging="440"/>
      </w:pPr>
      <w:r>
        <w:rPr>
          <w:rFonts w:ascii="Arial" w:cs="Arial" w:eastAsia="Arial" w:hAnsi="Arial"/>
          <w:color w:val="333333"/>
          <w:sz w:val="18"/>
          <w:szCs w:val="18"/>
        </w:rPr>
        <w:t xml:space="preserve">NASSCOM (2025). IT Export and Employment Report.</w:t>
      </w:r>
    </w:p>
    <w:p>
      <w:pPr>
        <w:spacing w:after="80" w:before="80"/>
        <w:ind w:left="440" w:hanging="440"/>
      </w:pPr>
      <w:r>
        <w:rPr>
          <w:rFonts w:ascii="Arial" w:cs="Arial" w:eastAsia="Arial" w:hAnsi="Arial"/>
          <w:color w:val="333333"/>
          <w:sz w:val="18"/>
          <w:szCs w:val="18"/>
        </w:rPr>
        <w:t xml:space="preserve">Nagaraj, R. (2013). Economic Growth and Regional Disparities in India. Economic and Political Weekly, 48(4), 45–52.</w:t>
      </w:r>
    </w:p>
    <w:p>
      <w:pPr>
        <w:spacing w:after="80" w:before="80"/>
        <w:ind w:left="440" w:hanging="440"/>
      </w:pPr>
      <w:r>
        <w:rPr>
          <w:rFonts w:ascii="Arial" w:cs="Arial" w:eastAsia="Arial" w:hAnsi="Arial"/>
          <w:color w:val="333333"/>
          <w:sz w:val="18"/>
          <w:szCs w:val="18"/>
        </w:rPr>
        <w:t xml:space="preserve">NITI Aayog (2023). State Statistics and Development Indicators.</w:t>
      </w:r>
    </w:p>
    <w:p>
      <w:pPr>
        <w:spacing w:after="80" w:before="80"/>
        <w:ind w:left="440" w:hanging="440"/>
      </w:pPr>
      <w:r>
        <w:rPr>
          <w:rFonts w:ascii="Arial" w:cs="Arial" w:eastAsia="Arial" w:hAnsi="Arial"/>
          <w:color w:val="333333"/>
          <w:sz w:val="18"/>
          <w:szCs w:val="18"/>
        </w:rPr>
        <w:t xml:space="preserve">Rajagopalan, R. (2018). Industrial Policy and Regional Development in Tamil Nadu. Journal of Indian Economics, 63(2), 123–145.</w:t>
      </w:r>
    </w:p>
    <w:p>
      <w:pPr>
        <w:spacing w:after="80" w:before="80"/>
        <w:ind w:left="440" w:hanging="440"/>
      </w:pPr>
      <w:r>
        <w:rPr>
          <w:rFonts w:ascii="Arial" w:cs="Arial" w:eastAsia="Arial" w:hAnsi="Arial"/>
          <w:color w:val="333333"/>
          <w:sz w:val="18"/>
          <w:szCs w:val="18"/>
        </w:rPr>
        <w:t xml:space="preserve">Tamil Nadu MSME Policy Note (2022–23, 2023–24). MSME Department, Government of Tamil Nadu.</w:t>
      </w:r>
    </w:p>
    <w:p>
      <w:pPr>
        <w:spacing w:after="80" w:before="80"/>
        <w:ind w:left="440" w:hanging="440"/>
      </w:pPr>
      <w:r>
        <w:rPr>
          <w:rFonts w:ascii="Arial" w:cs="Arial" w:eastAsia="Arial" w:hAnsi="Arial"/>
          <w:color w:val="333333"/>
          <w:sz w:val="18"/>
          <w:szCs w:val="18"/>
        </w:rPr>
        <w:t xml:space="preserve">Tiruppur Exporters Association (TEA) (2024). Knitwear Export Data.</w:t>
      </w:r>
    </w:p>
    <w:p>
      <w:pPr>
        <w:spacing w:after="80" w:before="80"/>
        <w:ind w:left="440" w:hanging="440"/>
      </w:pPr>
      <w:r>
        <w:rPr>
          <w:rFonts w:ascii="Arial" w:cs="Arial" w:eastAsia="Arial" w:hAnsi="Arial"/>
          <w:color w:val="333333"/>
          <w:sz w:val="18"/>
          <w:szCs w:val="18"/>
        </w:rPr>
        <w:t xml:space="preserve">TIDCO Annual Report (2024). Tamil Nadu Industrial Development Corporation.</w:t>
      </w:r>
    </w:p>
    <w:p>
      <w:pPr>
        <w:spacing w:after="80" w:before="80"/>
        <w:ind w:left="440" w:hanging="440"/>
      </w:pPr>
      <w:r>
        <w:rPr>
          <w:rFonts w:ascii="Arial" w:cs="Arial" w:eastAsia="Arial" w:hAnsi="Arial"/>
          <w:color w:val="333333"/>
          <w:sz w:val="18"/>
          <w:szCs w:val="18"/>
        </w:rPr>
        <w:t xml:space="preserve">Vijayabaskar, M. (2011). Saving the small from the big? Implications of Tiruppur cluster trajectory. In K. Ravi Raman (Ed.), Development, Democracy and the State.</w:t>
      </w:r>
    </w:p>
    <w:p>
      <w:pPr>
        <w:spacing w:after="80" w:before="80"/>
        <w:ind w:left="440" w:hanging="440"/>
      </w:pPr>
      <w:r>
        <w:rPr>
          <w:rFonts w:ascii="Arial" w:cs="Arial" w:eastAsia="Arial" w:hAnsi="Arial"/>
          <w:color w:val="333333"/>
          <w:sz w:val="18"/>
          <w:szCs w:val="18"/>
        </w:rPr>
        <w:t xml:space="preserve">Tony Blair Institute for Global Change. (2020). Inclusive Growth in Tamil Nadu: The Role of Political Leadership and Governance. [Online policy report]. </w:t>
      </w:r>
      <w:hyperlink r:id="rId9" w:history="1">
        <w:r>
          <w:rPr>
            <w:rStyle w:val="Hyperlink"/>
            <w:rFonts w:ascii="Arial" w:cs="Arial" w:eastAsia="Arial" w:hAnsi="Arial"/>
            <w:sz w:val="18"/>
            <w:szCs w:val="18"/>
          </w:rPr>
          <w:t>https://institute.global/insights/politics-and-governance/inclusive-growth-tamil-nadu-role-political-leadership-and-governance</w:t>
        </w:r>
      </w:hyperlink>
    </w:p>
    <w:p>
      <w:pPr>
        <w:spacing w:after="80" w:before="80"/>
        <w:ind w:left="440" w:hanging="440"/>
      </w:pPr>
      <w:r>
        <w:rPr>
          <w:rFonts w:ascii="Arial" w:cs="Arial" w:eastAsia="Arial" w:hAnsi="Arial"/>
          <w:color w:val="333333"/>
          <w:sz w:val="18"/>
          <w:szCs w:val="18"/>
        </w:rPr>
        <w:t xml:space="preserve">India Briefing. (2023). Tamil Nadu Industrial Parks and SEZs under SIPCOT: A Brief for Investors. Dezan Shira &amp; Associates. </w:t>
      </w:r>
      <w:hyperlink r:id="rId10" w:history="1">
        <w:r>
          <w:rPr>
            <w:rStyle w:val="Hyperlink"/>
            <w:rFonts w:ascii="Arial" w:cs="Arial" w:eastAsia="Arial" w:hAnsi="Arial"/>
            <w:sz w:val="18"/>
            <w:szCs w:val="18"/>
          </w:rPr>
          <w:t>https://www.india-briefing.com/news/tamil-nadu-industrial-parks-sezs-dta-under-sipcot-a-brief-for-investors-27024.html/</w:t>
        </w:r>
      </w:hyperlink>
    </w:p>
    <w:p>
      <w:pPr>
        <w:spacing w:after="80" w:before="80"/>
        <w:ind w:left="440" w:hanging="440"/>
      </w:pPr>
      <w:r>
        <w:rPr>
          <w:rFonts w:ascii="Arial" w:cs="Arial" w:eastAsia="Arial" w:hAnsi="Arial"/>
          <w:color w:val="333333"/>
          <w:sz w:val="18"/>
          <w:szCs w:val="18"/>
        </w:rPr>
        <w:t xml:space="preserve">India Briefing. (2025). India’s Electronics Sector Gets State-Level Push from Tamil Nadu. Dezan Shira &amp; Associates. </w:t>
      </w:r>
      <w:hyperlink r:id="rId11" w:history="1">
        <w:r>
          <w:rPr>
            <w:rStyle w:val="Hyperlink"/>
            <w:rFonts w:ascii="Arial" w:cs="Arial" w:eastAsia="Arial" w:hAnsi="Arial"/>
            <w:sz w:val="18"/>
            <w:szCs w:val="18"/>
          </w:rPr>
          <w:t>https://www.india-briefing.com/news/tamil-nadu-unveils-indias-first-state-level-electronics-scheme-37215.html/</w:t>
        </w:r>
      </w:hyperlink>
    </w:p>
    <w:p>
      <w:pPr>
        <w:spacing w:after="80" w:before="80"/>
        <w:ind w:left="440" w:hanging="440"/>
      </w:pPr>
      <w:r>
        <w:rPr>
          <w:rFonts w:ascii="Arial" w:cs="Arial" w:eastAsia="Arial" w:hAnsi="Arial"/>
          <w:color w:val="333333"/>
          <w:sz w:val="18"/>
          <w:szCs w:val="18"/>
        </w:rPr>
        <w:t xml:space="preserve">Deccan Chronicle. (2025). Tamil Nadu Emerging as India’s Aerospace and Defence Innovation Hub: Stalin. [News report, AeroDefCon 2025]. </w:t>
      </w:r>
      <w:hyperlink r:id="rId12" w:history="1">
        <w:r>
          <w:rPr>
            <w:rStyle w:val="Hyperlink"/>
            <w:rFonts w:ascii="Arial" w:cs="Arial" w:eastAsia="Arial" w:hAnsi="Arial"/>
            <w:sz w:val="18"/>
            <w:szCs w:val="18"/>
          </w:rPr>
          <w:t>https://www.deccanchronicle.com/southern-states/tamil-nadu/tamil-nadu-emerging-as-indias-aerospace-and-defence-innovation-hub-stalin-1908563</w:t>
        </w:r>
      </w:hyperlink>
    </w:p>
    <w:p>
      <w:pPr>
        <w:spacing w:after="80" w:before="80"/>
        <w:ind w:left="440" w:hanging="440"/>
      </w:pPr>
      <w:r>
        <w:rPr>
          <w:rFonts w:ascii="Arial" w:cs="Arial" w:eastAsia="Arial" w:hAnsi="Arial"/>
          <w:color w:val="333333"/>
          <w:sz w:val="18"/>
          <w:szCs w:val="18"/>
        </w:rPr>
        <w:t xml:space="preserve">Tribune India. (2025). Tamil Nadu Aims to Create South Asian Renewable Energy Corridor. [Interview with Tamil Nadu Minister]. </w:t>
      </w:r>
      <w:hyperlink r:id="rId13" w:history="1">
        <w:r>
          <w:rPr>
            <w:rStyle w:val="Hyperlink"/>
            <w:rFonts w:ascii="Arial" w:cs="Arial" w:eastAsia="Arial" w:hAnsi="Arial"/>
            <w:sz w:val="18"/>
            <w:szCs w:val="18"/>
          </w:rPr>
          <w:t>https://www.tribuneindia.com/news/business/tamil-nadu-aims-to-create-south-asian-renewable-energy-corridor-state-minister</w:t>
        </w:r>
      </w:hyperlink>
    </w:p>
    <w:p>
      <w:pPr>
        <w:spacing w:after="80" w:before="80"/>
        <w:ind w:left="440" w:hanging="440"/>
      </w:pPr>
      <w:r>
        <w:rPr>
          <w:rFonts w:ascii="Arial" w:cs="Arial" w:eastAsia="Arial" w:hAnsi="Arial"/>
          <w:color w:val="333333"/>
          <w:sz w:val="18"/>
          <w:szCs w:val="18"/>
        </w:rPr>
        <w:t xml:space="preserve">Kathuria, V. &amp; Parthasarthy, R. (2025). Supply Chain Management in Automobile Sector: An Empirical Study of Chennai Manufacturing Hub. Advances in Consumer Research. </w:t>
      </w:r>
      <w:hyperlink r:id="rId14" w:history="1">
        <w:r>
          <w:rPr>
            <w:rStyle w:val="Hyperlink"/>
            <w:rFonts w:ascii="Arial" w:cs="Arial" w:eastAsia="Arial" w:hAnsi="Arial"/>
            <w:sz w:val="18"/>
            <w:szCs w:val="18"/>
          </w:rPr>
          <w:t>https://acr-journal.com/article/supply-chain-management-in-automobile-sector-an-empirical-study-of-chennai-manufacturing-hub-1515/</w:t>
        </w:r>
      </w:hyperlink>
    </w:p>
    <w:p>
      <w:pPr>
        <w:spacing w:after="80" w:before="80"/>
        <w:ind w:left="440" w:hanging="440"/>
      </w:pPr>
      <w:r>
        <w:rPr>
          <w:rFonts w:ascii="Arial" w:cs="Arial" w:eastAsia="Arial" w:hAnsi="Arial"/>
          <w:color w:val="333333"/>
          <w:sz w:val="18"/>
          <w:szCs w:val="18"/>
        </w:rPr>
        <w:t xml:space="preserve">Textile Insights. (2025). India’s Textile Exports Stay Resilient as Tamil Nadu Leads Growth. [Industry analysis report]. </w:t>
      </w:r>
      <w:hyperlink r:id="rId15" w:history="1">
        <w:r>
          <w:rPr>
            <w:rStyle w:val="Hyperlink"/>
            <w:rFonts w:ascii="Arial" w:cs="Arial" w:eastAsia="Arial" w:hAnsi="Arial"/>
            <w:sz w:val="18"/>
            <w:szCs w:val="18"/>
          </w:rPr>
          <w:t>https://textileinsights.in/indias-textile-exports-stay-resilient-as-tamil-nadu-leads-growth/</w:t>
        </w:r>
      </w:hyperlink>
    </w:p>
    <w:p>
      <w:pPr>
        <w:spacing w:after="80" w:before="80"/>
        <w:ind w:left="440" w:hanging="440"/>
      </w:pPr>
      <w:r>
        <w:rPr>
          <w:rFonts w:ascii="Arial" w:cs="Arial" w:eastAsia="Arial" w:hAnsi="Arial"/>
          <w:color w:val="333333"/>
          <w:sz w:val="18"/>
          <w:szCs w:val="18"/>
        </w:rPr>
        <w:t xml:space="preserve">Tamil Nadu Defence Industrial Corridor. (2025). Official Portal: Vision and Investment Milestones. Government of Tamil Nadu. </w:t>
      </w:r>
      <w:hyperlink r:id="rId16" w:history="1">
        <w:r>
          <w:rPr>
            <w:rStyle w:val="Hyperlink"/>
            <w:rFonts w:ascii="Arial" w:cs="Arial" w:eastAsia="Arial" w:hAnsi="Arial"/>
            <w:sz w:val="18"/>
            <w:szCs w:val="18"/>
          </w:rPr>
          <w:t>https://tndefencecorridor.in/</w:t>
        </w:r>
      </w:hyperlink>
    </w:p>
    <w:p>
      <w:pPr>
        <w:spacing w:after="80" w:before="80"/>
        <w:ind w:left="440" w:hanging="440"/>
      </w:pPr>
      <w:r>
        <w:rPr>
          <w:rFonts w:ascii="Arial" w:cs="Arial" w:eastAsia="Arial" w:hAnsi="Arial"/>
          <w:color w:val="333333"/>
          <w:sz w:val="18"/>
          <w:szCs w:val="18"/>
        </w:rPr>
        <w:t xml:space="preserve">Murugesan, K. &amp; Ramachandran, S. (2005). Re-Engineering the Automotive Industry Cluster in Chennai. ResearchGate / Industrial Cluster Development Study. </w:t>
      </w:r>
      <w:hyperlink r:id="rId17" w:history="1">
        <w:r>
          <w:rPr>
            <w:rStyle w:val="Hyperlink"/>
            <w:rFonts w:ascii="Arial" w:cs="Arial" w:eastAsia="Arial" w:hAnsi="Arial"/>
            <w:sz w:val="18"/>
            <w:szCs w:val="18"/>
          </w:rPr>
          <w:t>https://www.researchgate.net/publication/234058398_Re-Engineering_the_Automotive_Industry_Cluster_in_Chennai</w:t>
        </w:r>
      </w:hyperlink>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jc w:val="right"/>
    </w:pPr>
    <w:r>
      <w:rPr>
        <w:rFonts w:ascii="Arial" w:cs="Arial" w:eastAsia="Arial" w:hAnsi="Arial"/>
        <w:color w:val="888888"/>
        <w:sz w:val="16"/>
        <w:szCs w:val="16"/>
      </w:rPr>
      <w:t xml:space="preserve">Tamil Nadu Industrial Development: Comprehensive Assessment  |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6" w:space="4"/>
      </w:pBd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FA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B886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hyperlink" Target="https://institute.global/insights/politics-and-governance/inclusive-growth-tamil-nadu-role-political-leadership-and-governance" TargetMode="External"/><Relationship Id="rId10" Type="http://schemas.openxmlformats.org/officeDocument/2006/relationships/hyperlink" Target="https://www.india-briefing.com/news/tamil-nadu-industrial-parks-sezs-dta-under-sipcot-a-brief-for-investors-27024.html/" TargetMode="External"/><Relationship Id="rId11" Type="http://schemas.openxmlformats.org/officeDocument/2006/relationships/hyperlink" Target="https://www.india-briefing.com/news/tamil-nadu-unveils-indias-first-state-level-electronics-scheme-37215.html/" TargetMode="External"/><Relationship Id="rId12" Type="http://schemas.openxmlformats.org/officeDocument/2006/relationships/hyperlink" Target="https://www.deccanchronicle.com/southern-states/tamil-nadu/tamil-nadu-emerging-as-indias-aerospace-and-defence-innovation-hub-stalin-1908563" TargetMode="External"/><Relationship Id="rId13" Type="http://schemas.openxmlformats.org/officeDocument/2006/relationships/hyperlink" Target="https://www.tribuneindia.com/news/business/tamil-nadu-aims-to-create-south-asian-renewable-energy-corridor-state-minister" TargetMode="External"/><Relationship Id="rId14" Type="http://schemas.openxmlformats.org/officeDocument/2006/relationships/hyperlink" Target="https://acr-journal.com/article/supply-chain-management-in-automobile-sector-an-empirical-study-of-chennai-manufacturing-hub-1515/" TargetMode="External"/><Relationship Id="rId15" Type="http://schemas.openxmlformats.org/officeDocument/2006/relationships/hyperlink" Target="https://textileinsights.in/indias-textile-exports-stay-resilient-as-tamil-nadu-leads-growth/" TargetMode="External"/><Relationship Id="rId16" Type="http://schemas.openxmlformats.org/officeDocument/2006/relationships/hyperlink" Target="https://tndefencecorridor.in/" TargetMode="External"/><Relationship Id="rId17" Type="http://schemas.openxmlformats.org/officeDocument/2006/relationships/hyperlink" Target="https://www.researchgate.net/publication/234058398_Re-Engineering_the_Automotive_Industry_Cluster_in_Chennai"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2026-06-09T01:16:19.918Z</dcterms:created>
  <dcterms:modified xsi:type="dcterms:W3CDTF">2026-06-09T01:16:19.929Z</dcterms:modified>
</cp:coreProperties>
</file>

<file path=docProps/custom.xml><?xml version="1.0" encoding="utf-8"?>
<Properties xmlns="http://schemas.openxmlformats.org/officeDocument/2006/custom-properties" xmlns:vt="http://schemas.openxmlformats.org/officeDocument/2006/docPropsVTypes"/>
</file>