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80" w:before="0"/>
        <w:jc w:val="center"/>
      </w:pPr>
      <w:r>
        <w:rPr>
          <w:rFonts w:ascii="Arial" w:cs="Arial" w:eastAsia="Arial" w:hAnsi="Arial"/>
          <w:b/>
          <w:bCs/>
          <w:color w:val="1F3864"/>
          <w:sz w:val="52"/>
          <w:szCs w:val="52"/>
        </w:rPr>
        <w:t xml:space="preserve">TAMIL NADU</w:t>
      </w:r>
    </w:p>
    <w:p>
      <w:pPr>
        <w:spacing w:after="160" w:before="0"/>
        <w:jc w:val="center"/>
      </w:pPr>
      <w:r>
        <w:rPr>
          <w:rFonts w:ascii="Arial" w:cs="Arial" w:eastAsia="Arial" w:hAnsi="Arial"/>
          <w:b/>
          <w:bCs/>
          <w:color w:val="2E5FA3"/>
          <w:sz w:val="36"/>
          <w:szCs w:val="36"/>
        </w:rPr>
        <w:t xml:space="preserve">INDUSTRIAL DEVELOPMENT: A COMPREHENSIVE ASSESSMENT</w:t>
      </w:r>
    </w:p>
    <w:p>
      <w:pPr>
        <w:pBdr>
          <w:bottom w:val="single" w:color="B8860B" w:sz="12" w:space="1"/>
        </w:pBdr>
        <w:spacing w:after="240" w:before="0"/>
        <w:jc w:val="center"/>
      </w:pPr>
      <w:r>
        <w:rPr>
          <w:rFonts w:ascii="Arial" w:cs="Arial" w:eastAsia="Arial" w:hAnsi="Arial"/>
          <w:sz w:val="24"/>
          <w:szCs w:val="24"/>
        </w:rPr>
        <w:t xml:space="preserve"/>
      </w:r>
    </w:p>
    <w:p>
      <w:pPr>
        <w:spacing w:after="80" w:before="120"/>
        <w:jc w:val="center"/>
      </w:pPr>
      <w:r>
        <w:rPr>
          <w:rFonts w:ascii="Arial" w:cs="Arial" w:eastAsia="Arial" w:hAnsi="Arial"/>
          <w:i/>
          <w:iCs/>
          <w:color w:val="444444"/>
          <w:sz w:val="26"/>
          <w:szCs w:val="26"/>
        </w:rPr>
        <w:t xml:space="preserve">From Colonial Foundations to a Globally Integrated Economy</w:t>
      </w:r>
    </w:p>
    <w:p>
      <w:pPr>
        <w:spacing w:after="80" w:before="0"/>
        <w:jc w:val="center"/>
      </w:pPr>
      <w:r>
        <w:rPr>
          <w:rFonts w:ascii="Arial" w:cs="Arial" w:eastAsia="Arial" w:hAnsi="Arial"/>
          <w:b/>
          <w:bCs/>
          <w:color w:val="B8860B"/>
          <w:sz w:val="28"/>
          <w:szCs w:val="28"/>
        </w:rPr>
        <w:t xml:space="preserve">1947 — 2025</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60" w:before="0"/>
        <w:jc w:val="center"/>
      </w:pPr>
      <w:r>
        <w:rPr>
          <w:rFonts w:ascii="Arial" w:cs="Arial" w:eastAsia="Arial" w:hAnsi="Arial"/>
          <w:b/>
          <w:bCs/>
          <w:color w:val="555555"/>
          <w:sz w:val="20"/>
          <w:szCs w:val="20"/>
        </w:rPr>
        <w:t xml:space="preserve">Synthesising Key Sources:</w:t>
      </w:r>
    </w:p>
    <w:p>
      <w:pPr>
        <w:spacing w:after="40" w:before="0"/>
        <w:jc w:val="center"/>
      </w:pPr>
      <w:r>
        <w:rPr>
          <w:rFonts w:ascii="Arial" w:cs="Arial" w:eastAsia="Arial" w:hAnsi="Arial"/>
          <w:color w:val="444444"/>
          <w:sz w:val="19"/>
          <w:szCs w:val="19"/>
        </w:rPr>
        <w:t xml:space="preserve">•  Dr G. Yoganandham — Journal for Basic Sciences, Vol. 25 (2025)</w:t>
      </w:r>
    </w:p>
    <w:p>
      <w:pPr>
        <w:spacing w:after="40" w:before="0"/>
        <w:jc w:val="center"/>
      </w:pPr>
      <w:r>
        <w:rPr>
          <w:rFonts w:ascii="Arial" w:cs="Arial" w:eastAsia="Arial" w:hAnsi="Arial"/>
          <w:color w:val="444444"/>
          <w:sz w:val="19"/>
          <w:szCs w:val="19"/>
        </w:rPr>
        <w:t xml:space="preserve">•  Tamil Nadu Industrial Policy 1989 — Legislative Assembly Records</w:t>
      </w:r>
    </w:p>
    <w:p>
      <w:pPr>
        <w:spacing w:after="40" w:before="0"/>
        <w:jc w:val="center"/>
      </w:pPr>
      <w:r>
        <w:rPr>
          <w:rFonts w:ascii="Arial" w:cs="Arial" w:eastAsia="Arial" w:hAnsi="Arial"/>
          <w:color w:val="444444"/>
          <w:sz w:val="19"/>
          <w:szCs w:val="19"/>
        </w:rPr>
        <w:t xml:space="preserve">•  Kalaiyarasan A. — MIDS Working Paper No. 239 (2020)</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0"/>
        <w:jc w:val="center"/>
      </w:pPr>
      <w:r>
        <w:rPr>
          <w:rFonts w:ascii="Arial" w:cs="Arial" w:eastAsia="Arial" w:hAnsi="Arial"/>
          <w:color w:val="777777"/>
          <w:sz w:val="18"/>
          <w:szCs w:val="18"/>
        </w:rPr>
        <w:t xml:space="preserve">Classification: Policy Research Report   |   June 2026</w:t>
      </w:r>
    </w:p>
    <w:p>
      <w:r>
        <w:br w:type="page"/>
      </w:r>
    </w:p>
    <w:p>
      <w:pPr>
        <w:pStyle w:val="Heading1"/>
        <w:spacing w:after="160" w:before="360"/>
      </w:pPr>
      <w:r>
        <w:rPr>
          <w:rFonts w:ascii="Arial" w:cs="Arial" w:eastAsia="Arial" w:hAnsi="Arial"/>
          <w:b/>
          <w:bCs/>
          <w:color w:val="1F3864"/>
          <w:sz w:val="28"/>
          <w:szCs w:val="28"/>
        </w:rPr>
        <w:t xml:space="preserve">Executive Summary</w:t>
      </w:r>
    </w:p>
    <w:p>
      <w:pPr>
        <w:spacing w:after="80" w:before="80" w:line="276"/>
        <w:jc w:val="both"/>
      </w:pPr>
      <w:r>
        <w:rPr>
          <w:rFonts w:ascii="Arial" w:cs="Arial" w:eastAsia="Arial" w:hAnsi="Arial"/>
          <w:color w:val="222222"/>
          <w:sz w:val="20"/>
          <w:szCs w:val="20"/>
        </w:rPr>
        <w:t xml:space="preserve">Tamil Nadu's industrial journey from 1947 to 2025 stands as one of the most instructive cases of state-led development in the developing world. Beginning as a modest agrarian economy with around 3,761 registered factories at Independence (Annual Survey of Industries historical data), the state has grown into India’s foremost manufacturing hub, hosting 15.66% of all national factories (ASI 2022–23), contributing approximately 11.9% of India's manufacturing GDP, and attracting cumulative FDI inflows of ₹1,08,213 crore by December 2024.</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This report synthesises three primary research sources spanning pre-liberalisation institutional architecture (1989), structural transformation analysis (1980–2010), and a comprehensive sectoral assessment through 2025. Together, they illuminate a continuous thread of institutional investment, strategic policy adaptation, and inclusive growth that has made Tamil Nadu exceptional among Indian states.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Indicator</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 / Status</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Factories in India (share)</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15.66% — highest nationally (ASI 2022–23)</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 GDP contribution</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~11.9% of India’s national output</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Registered MSMEs (2024)</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35.56 lakh units employing 2.56 crore workers (ASI / MSME Census data)</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Electronics exports (FY 2024–25)</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US$14.65 billion — 41.3% of India’s total</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Textile exports (FY 2024–25)</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US$7.99 billion — highest among Indian states</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FDI inflows (Dec 2024)</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₹1,08,213 crore (~US$13.1 billion)</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SEZs (2025)</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51 of India’s 280 operational zones</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Installed power capacity (2025)</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~32,000–35,000 MW total; renewables 23,109 MW (56%+) — highest renewable share nationally</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GSDP at current prices (2023–24)</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₹27.22 lakh crore — India’s 2nd largest state economy</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Poverty rate (2023)</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10.5% — down from 54% in 1973–74</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6E4F7"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Central Argument</w:t>
            </w:r>
          </w:p>
          <w:p>
            <w:pPr>
              <w:spacing w:after="40" w:before="40"/>
              <w:jc w:val="both"/>
            </w:pPr>
            <w:r>
              <w:rPr>
                <w:rFonts w:ascii="Arial" w:cs="Arial" w:eastAsia="Arial" w:hAnsi="Arial"/>
                <w:color w:val="222222"/>
                <w:sz w:val="19"/>
                <w:szCs w:val="19"/>
              </w:rPr>
              <w:t xml:space="preserve">Tamil Nadu’s industrial success is not accidental. It rests on four interconnected foundations: (1) deliberate pre-liberalisation institution-building through agencies like SIPCOT, SIDCO, TIIC, TIDCO, and DICs; (2) a human capital pipeline built through polytechnics, ITIs, engineering colleges, and democratised access to technical education; (3) a pattern of labour-intensive, spatially dispersed, and socially inclusive industrialisation distinct from Gujarat or Maharashtra; and (4) adaptive policy continuity that converted each external shock — liberalisation, financial crises, COVID-19 — into an opportunity for structural upgrading.</w:t>
            </w:r>
          </w:p>
        </w:tc>
      </w:tr>
    </w:tbl>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1. Foundations and Institutional Architecture (1947–1989)</w:t>
      </w:r>
    </w:p>
    <w:p>
      <w:pPr>
        <w:pStyle w:val="Heading2"/>
        <w:spacing w:after="120" w:before="280"/>
      </w:pPr>
      <w:r>
        <w:rPr>
          <w:rFonts w:ascii="Arial" w:cs="Arial" w:eastAsia="Arial" w:hAnsi="Arial"/>
          <w:b/>
          <w:bCs/>
          <w:color w:val="2E5FA3"/>
          <w:sz w:val="24"/>
          <w:szCs w:val="24"/>
        </w:rPr>
        <w:t xml:space="preserve">1.1 The Colonial Industrial Inheritance</w:t>
      </w:r>
    </w:p>
    <w:p>
      <w:pPr>
        <w:spacing w:after="80" w:before="80" w:line="276"/>
        <w:jc w:val="both"/>
      </w:pPr>
      <w:r>
        <w:rPr>
          <w:rFonts w:ascii="Arial" w:cs="Arial" w:eastAsia="Arial" w:hAnsi="Arial"/>
          <w:color w:val="222222"/>
          <w:sz w:val="20"/>
          <w:szCs w:val="20"/>
        </w:rPr>
        <w:t xml:space="preserve">At Independence in 1947, the then Madras State inherited a modest industrial base. The region had approximately 3,761 factories employing 2.76 lakh workers, concentrated in textiles, small-scale engineering workshops near Chennai, and plantation agriculture in the Nilgiris. Coimbatore — already known as the ‘Manchester of South India’ — hosted over 100 spinning mills, with textiles contributing nearly 45% of total factory employment.</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Post-independence policy was guided by the Nehruvian model of planned development. The Industrial Policy Resolutions of 1948 and 1956 encouraged states to invest in basic and strategic industries. Tamil Nadu responded by establishing early public sector undertakings including Madras Cements (1956) and TANSI (1955), and developing the Guindy and Ambattur Industrial Estates by 1958–60 — among India’s earliest planned SME clusters.</w:t>
      </w:r>
    </w:p>
    <w:p>
      <w:pPr>
        <w:pStyle w:val="Heading2"/>
        <w:spacing w:after="120" w:before="280"/>
      </w:pPr>
      <w:r>
        <w:rPr>
          <w:rFonts w:ascii="Arial" w:cs="Arial" w:eastAsia="Arial" w:hAnsi="Arial"/>
          <w:b/>
          <w:bCs/>
          <w:color w:val="2E5FA3"/>
          <w:sz w:val="24"/>
          <w:szCs w:val="24"/>
        </w:rPr>
        <w:t xml:space="preserve">1.2 The 1989 Industrial Policy: Last Major Pre-Liberalisation Framework</w:t>
      </w:r>
    </w:p>
    <w:p>
      <w:pPr>
        <w:spacing w:after="80" w:before="80" w:line="276"/>
        <w:jc w:val="both"/>
      </w:pPr>
      <w:r>
        <w:rPr>
          <w:rFonts w:ascii="Arial" w:cs="Arial" w:eastAsia="Arial" w:hAnsi="Arial"/>
          <w:color w:val="222222"/>
          <w:sz w:val="20"/>
          <w:szCs w:val="20"/>
        </w:rPr>
        <w:t xml:space="preserve">When the DMK government returned to power in 1989 under Chief Minister M. Karunanidhi, Tamil Nadu’s industrial growth had been largely stagnant since 1977. The administration responded with remarkable speed: within one month of taking office, a comprehensive industrial policy was presented to the Legislative Assembly on April 21, 1989. This policy is not merely a historical document — it is the institutional foundation upon which Tamil Nadu’s post-1991 transformation was built.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5D6"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Why 1989 Matters</w:t>
            </w:r>
          </w:p>
          <w:p>
            <w:pPr>
              <w:spacing w:after="40" w:before="40"/>
              <w:jc w:val="both"/>
            </w:pPr>
            <w:r>
              <w:rPr>
                <w:rFonts w:ascii="Arial" w:cs="Arial" w:eastAsia="Arial" w:hAnsi="Arial"/>
                <w:color w:val="222222"/>
                <w:sz w:val="19"/>
                <w:szCs w:val="19"/>
              </w:rPr>
              <w:t xml:space="preserve">The 1989 policy achieved the simultaneous integration of five pillars: Infrastructure (SIDCO estates and Japan ODA hi-tech clusters), Finance (TIIC tiered lending and DIC seed capital), Technology (dedicated electronics estates and quality certification), Cooperatives (sector-specific frameworks for tea, sago, matchbox, and coir industries), and Entrepreneurship (PMRY, artisan schemes, women’s finance windows, and engineering graduate incentives). Earlier policies had addressed these pillars in isolation; 1989 treated them as an interconnected system.</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policy’s financial incentive architecture was progressive — calibrated to reward investment in backward regions and socially underrepresented groups. Key features included:</w:t>
      </w:r>
    </w:p>
    <w:p>
      <w:pPr>
        <w:pStyle w:val="ListParagraph"/>
        <w:numPr>
          <w:ilvl w:val="0"/>
          <w:numId w:val="2"/>
        </w:numPr>
        <w:spacing w:after="60" w:before="60"/>
      </w:pPr>
      <w:r>
        <w:rPr>
          <w:rFonts w:ascii="Arial" w:cs="Arial" w:eastAsia="Arial" w:hAnsi="Arial"/>
          <w:color w:val="222222"/>
          <w:sz w:val="20"/>
          <w:szCs w:val="20"/>
        </w:rPr>
        <w:t xml:space="preserve">State capital subsidy of 15% for industries in backward taluks (up to ₹15 lakh)</w:t>
      </w:r>
    </w:p>
    <w:p>
      <w:pPr>
        <w:pStyle w:val="ListParagraph"/>
        <w:numPr>
          <w:ilvl w:val="0"/>
          <w:numId w:val="2"/>
        </w:numPr>
        <w:spacing w:after="60" w:before="60"/>
      </w:pPr>
      <w:r>
        <w:rPr>
          <w:rFonts w:ascii="Arial" w:cs="Arial" w:eastAsia="Arial" w:hAnsi="Arial"/>
          <w:color w:val="222222"/>
          <w:sz w:val="20"/>
          <w:szCs w:val="20"/>
        </w:rPr>
        <w:t xml:space="preserve">Additional 10% subsidy for priority sectors including electronics, pharmaceuticals, and motor vehicle ancillaries</w:t>
      </w:r>
    </w:p>
    <w:p>
      <w:pPr>
        <w:pStyle w:val="ListParagraph"/>
        <w:numPr>
          <w:ilvl w:val="0"/>
          <w:numId w:val="2"/>
        </w:numPr>
        <w:spacing w:after="60" w:before="60"/>
      </w:pPr>
      <w:r>
        <w:rPr>
          <w:rFonts w:ascii="Arial" w:cs="Arial" w:eastAsia="Arial" w:hAnsi="Arial"/>
          <w:color w:val="222222"/>
          <w:sz w:val="20"/>
          <w:szCs w:val="20"/>
        </w:rPr>
        <w:t xml:space="preserve">Power tariff concessions of 30%/30%/10% in the first three production years</w:t>
      </w:r>
    </w:p>
    <w:p>
      <w:pPr>
        <w:pStyle w:val="ListParagraph"/>
        <w:numPr>
          <w:ilvl w:val="0"/>
          <w:numId w:val="2"/>
        </w:numPr>
        <w:spacing w:after="60" w:before="60"/>
      </w:pPr>
      <w:r>
        <w:rPr>
          <w:rFonts w:ascii="Arial" w:cs="Arial" w:eastAsia="Arial" w:hAnsi="Arial"/>
          <w:color w:val="222222"/>
          <w:sz w:val="20"/>
          <w:szCs w:val="20"/>
        </w:rPr>
        <w:t xml:space="preserve">Interest-free sales tax loans up to ₹7.5 lakh over six years</w:t>
      </w:r>
    </w:p>
    <w:p>
      <w:pPr>
        <w:pStyle w:val="ListParagraph"/>
        <w:numPr>
          <w:ilvl w:val="0"/>
          <w:numId w:val="2"/>
        </w:numPr>
        <w:spacing w:after="60" w:before="60"/>
      </w:pPr>
      <w:r>
        <w:rPr>
          <w:rFonts w:ascii="Arial" w:cs="Arial" w:eastAsia="Arial" w:hAnsi="Arial"/>
          <w:color w:val="222222"/>
          <w:sz w:val="20"/>
          <w:szCs w:val="20"/>
        </w:rPr>
        <w:t xml:space="preserve">90% of PMRY approvals reserved for SC/ST beneficiaries; dedicated finance windows for women entrepreneurs</w:t>
      </w:r>
    </w:p>
    <w:p>
      <w:pPr>
        <w:spacing w:after="40" w:before="40"/>
      </w:pPr>
      <w:r>
        <w:rPr>
          <w:rFonts w:ascii="Arial" w:cs="Arial" w:eastAsia="Arial" w:hAnsi="Arial"/>
          <w:sz w:val="20"/>
          <w:szCs w:val="20"/>
        </w:rPr>
        <w:t xml:space="preserve"/>
      </w:r>
    </w:p>
    <w:p>
      <w:pPr>
        <w:pStyle w:val="Heading3"/>
        <w:spacing w:after="100" w:before="200"/>
      </w:pPr>
      <w:r>
        <w:rPr>
          <w:rFonts w:ascii="Arial" w:cs="Arial" w:eastAsia="Arial" w:hAnsi="Arial"/>
          <w:b/>
          <w:bCs/>
          <w:color w:val="B8860B"/>
          <w:sz w:val="22"/>
          <w:szCs w:val="22"/>
        </w:rPr>
        <w:t xml:space="preserve">1.2.1 TIIC: India’s Oldest State Financial Institution</w:t>
      </w:r>
    </w:p>
    <w:p>
      <w:pPr>
        <w:spacing w:after="80" w:before="80" w:line="276"/>
        <w:jc w:val="both"/>
      </w:pPr>
      <w:r>
        <w:rPr>
          <w:rFonts w:ascii="Arial" w:cs="Arial" w:eastAsia="Arial" w:hAnsi="Arial"/>
          <w:color w:val="222222"/>
          <w:sz w:val="20"/>
          <w:szCs w:val="20"/>
        </w:rPr>
        <w:t xml:space="preserve">The Tamil Nadu Industrial Investment Corporation (TIIC, established 1949) is the oldest state-level industrial finance institution in India. By the time of the 1989 policy, TIIC had reoriented 99% of its loan portfolio toward small-scale industries — a deliberate developmental choice that demonstrated profitable SSI lending was commercially sustainable. Between 1983 and 1988, TIIC maintained consistent profitability, sanctioning 40,459 units cumulatively for a total of ₹77,800 lakh.</w:t>
      </w:r>
    </w:p>
    <w:p>
      <w:pPr>
        <w:pStyle w:val="Heading3"/>
        <w:spacing w:after="100" w:before="200"/>
      </w:pPr>
      <w:r>
        <w:rPr>
          <w:rFonts w:ascii="Arial" w:cs="Arial" w:eastAsia="Arial" w:hAnsi="Arial"/>
          <w:b/>
          <w:bCs/>
          <w:color w:val="B8860B"/>
          <w:sz w:val="22"/>
          <w:szCs w:val="22"/>
        </w:rPr>
        <w:t xml:space="preserve">1.2.2 SIDCO and the Infrastructure of Entrepreneurship</w:t>
      </w:r>
    </w:p>
    <w:p>
      <w:pPr>
        <w:spacing w:after="80" w:before="80" w:line="276"/>
        <w:jc w:val="both"/>
      </w:pPr>
      <w:r>
        <w:rPr>
          <w:rFonts w:ascii="Arial" w:cs="Arial" w:eastAsia="Arial" w:hAnsi="Arial"/>
          <w:color w:val="222222"/>
          <w:sz w:val="20"/>
          <w:szCs w:val="20"/>
        </w:rPr>
        <w:t xml:space="preserve">SIDCO (established 1971) served as the physical infrastructure arm of Tamil Nadu’s SSI ecosystem. By end-1988, it had developed 49 industrial estates and 2,349 factory sheds across the state. Its most ambitious initiative was the Japan ODA programme — a 3,198 million yen (approximately ₹27.57 crore) commitment from Japan’s Overseas Economic Cooperation Fund for five specialised hi-tech industrial estates focused on pharmaceuticals, electronics, garments, processed food, and motor vehicle ancillaries.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Beyond infrastructure, SIDCO functioned as a raw material procurement and distribution agency, supplying 34,768 metric tons of industrial inputs (iron, steel, chemicals, paraffin wax) valued at ₹3,552.54 lakh in 1988–89 alone — directly insulating small producers from commodity shortages.</w:t>
      </w:r>
    </w:p>
    <w:p>
      <w:pPr>
        <w:pStyle w:val="Heading3"/>
        <w:spacing w:after="100" w:before="200"/>
      </w:pPr>
      <w:r>
        <w:rPr>
          <w:rFonts w:ascii="Arial" w:cs="Arial" w:eastAsia="Arial" w:hAnsi="Arial"/>
          <w:b/>
          <w:bCs/>
          <w:color w:val="B8860B"/>
          <w:sz w:val="22"/>
          <w:szCs w:val="22"/>
        </w:rPr>
        <w:t xml:space="preserve">1.2.3 The Cooperative Industrial Sector</w:t>
      </w:r>
    </w:p>
    <w:p>
      <w:pPr>
        <w:spacing w:after="80" w:before="80" w:line="276"/>
        <w:jc w:val="both"/>
      </w:pPr>
      <w:r>
        <w:rPr>
          <w:rFonts w:ascii="Arial" w:cs="Arial" w:eastAsia="Arial" w:hAnsi="Arial"/>
          <w:color w:val="222222"/>
          <w:sz w:val="20"/>
          <w:szCs w:val="20"/>
        </w:rPr>
        <w:t xml:space="preserve">The 1989 policy gave significant attention to commodity cooperatives — tea in the Nilgiris (serving ~20,000 small growers across 30,000 acres), sago and starch in Salem and Dharmapuri (620+ units in two federations), matchbox cooperatives in Sivakasi established specifically for below-poverty-line rural women and SC communities, and coir cooperatives in coastal districts. These structures would persist for decades, establishing an organisational template of commodity-based cooperatives with apex federations.</w:t>
      </w:r>
    </w:p>
    <w:p>
      <w:pPr>
        <w:pStyle w:val="Heading2"/>
        <w:spacing w:after="120" w:before="280"/>
      </w:pPr>
      <w:r>
        <w:rPr>
          <w:rFonts w:ascii="Arial" w:cs="Arial" w:eastAsia="Arial" w:hAnsi="Arial"/>
          <w:b/>
          <w:bCs/>
          <w:color w:val="2E5FA3"/>
          <w:sz w:val="24"/>
          <w:szCs w:val="24"/>
        </w:rPr>
        <w:t xml:space="preserve">1.3 State-Led Diversification (1965–1980)</w:t>
      </w:r>
    </w:p>
    <w:p>
      <w:pPr>
        <w:spacing w:after="80" w:before="80" w:line="276"/>
        <w:jc w:val="both"/>
      </w:pPr>
      <w:r>
        <w:rPr>
          <w:rFonts w:ascii="Arial" w:cs="Arial" w:eastAsia="Arial" w:hAnsi="Arial"/>
          <w:color w:val="222222"/>
          <w:sz w:val="20"/>
          <w:szCs w:val="20"/>
        </w:rPr>
        <w:t xml:space="preserve">Between 1965 and 1980, Tamil Nadu’s registered factories rose from approximately 5,200 to over 9,800, with industrial employment doubling from 3.1 lakh to 6.4 lakh workers. The manufacturing sector’s contribution to the State Domestic Product grew at 6.8% annually — ahead of the national average of 5.3%.</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Three major agencies anchored this phase: TIDCO (1965) for joint ventures, TIIC for SME finance, and SIPCOT (1971) to develop large industrial complexes. By 1980, Tamil Nadu had over 35 public sector enterprises contributing approximately 25% of state industrial output. The Hosur industrial estate (1973) emerged as an early auto and engineering hub, attracting TVS, Ashok Leyland, and Titan.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600"/>
        <w:gridCol w:w="35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Institution</w:t>
            </w:r>
          </w:p>
        </w:tc>
        <w:tc>
          <w:tcPr>
            <w:tcW w:type="dxa" w:w="1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Est.</w:t>
            </w:r>
          </w:p>
        </w:tc>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Core Mandate</w:t>
            </w:r>
          </w:p>
        </w:tc>
        <w:tc>
          <w:tcPr>
            <w:tcW w:type="dxa" w:w="35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Role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DIC (District Industries Centres)</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1970s</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SSI promotion &amp; facilitation</w:t>
            </w:r>
          </w:p>
        </w:tc>
        <w:tc>
          <w:tcPr>
            <w:tcW w:type="dxa" w:w="3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Single-point approval; district-level outreach</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TIIC</w:t>
            </w:r>
          </w:p>
        </w:tc>
        <w:tc>
          <w:tcPr>
            <w:tcW w:type="dxa" w:w="1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1949</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Term loans for fixed assets</w:t>
            </w:r>
          </w:p>
        </w:tc>
        <w:tc>
          <w:tcPr>
            <w:tcW w:type="dxa" w:w="3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Loans up to ₹60L; 99% to SSIs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SIDCO</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1971</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SSI infrastructure provision</w:t>
            </w:r>
          </w:p>
        </w:tc>
        <w:tc>
          <w:tcPr>
            <w:tcW w:type="dxa" w:w="3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49 industrial estates; 2,349 factory sheds</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TANSI</w:t>
            </w:r>
          </w:p>
        </w:tc>
        <w:tc>
          <w:tcPr>
            <w:tcW w:type="dxa" w:w="1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1965</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State-owned production units</w:t>
            </w:r>
          </w:p>
        </w:tc>
        <w:tc>
          <w:tcPr>
            <w:tcW w:type="dxa" w:w="3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47 production units + 7 sales outlets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TALCO</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1983</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Leather industry development</w:t>
            </w:r>
          </w:p>
        </w:tc>
        <w:tc>
          <w:tcPr>
            <w:tcW w:type="dxa" w:w="3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Effluent treatment; training infrastructure</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SIPCOT</w:t>
            </w:r>
          </w:p>
        </w:tc>
        <w:tc>
          <w:tcPr>
            <w:tcW w:type="dxa" w:w="1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1971</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Large industrial complexes</w:t>
            </w:r>
          </w:p>
        </w:tc>
        <w:tc>
          <w:tcPr>
            <w:tcW w:type="dxa" w:w="3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 industrial complexes; 7 SEZs; 12 districts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TIDCO</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1965</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Joint venture promotion</w:t>
            </w:r>
          </w:p>
        </w:tc>
        <w:tc>
          <w:tcPr>
            <w:tcW w:type="dxa" w:w="3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Public-private industrial partnerships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scale of SIPCOT’s land banking and estate development programme is most clearly illustrated by tracing its major complexes from establishment to present-day industrial significance. What began in 1971 as a mechanism for acquiring and preparing large industrial tracts evolved, over five decades, into the physical foundation of Tamil Nadu’s global manufacturing position.</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100"/>
        <w:gridCol w:w="1000"/>
        <w:gridCol w:w="2060"/>
        <w:gridCol w:w="4200"/>
      </w:tblGrid>
      <w:tr>
        <w:trPr>
          <w:tblHeader/>
        </w:trPr>
        <w:tc>
          <w:tcPr>
            <w:tcW w:type="dxa" w:w="2100"/>
            <w:shd w:fill="1F3864" w:val="clear"/>
            <w:tcMar>
              <w:top w:type="dxa" w:w="80"/>
              <w:left w:type="dxa" w:w="120"/>
              <w:bottom w:type="dxa" w:w="80"/>
              <w:right w:type="dxa" w:w="120"/>
            </w:tcMar>
          </w:tcPr>
          <w:p>
            <w:r>
              <w:rPr>
                <w:rFonts w:ascii="Arial" w:cs="Arial" w:eastAsia="Arial" w:hAnsi="Arial"/>
                <w:b/>
                <w:bCs/>
                <w:color w:val="FFFFFF"/>
                <w:sz w:val="18"/>
                <w:szCs w:val="18"/>
              </w:rPr>
              <w:t xml:space="preserve">SIPCOT Complex</w:t>
            </w:r>
          </w:p>
        </w:tc>
        <w:tc>
          <w:tcPr>
            <w:tcW w:type="dxa" w:w="1000"/>
            <w:shd w:fill="1F3864" w:val="clear"/>
            <w:tcMar>
              <w:top w:type="dxa" w:w="80"/>
              <w:left w:type="dxa" w:w="120"/>
              <w:bottom w:type="dxa" w:w="80"/>
              <w:right w:type="dxa" w:w="120"/>
            </w:tcMar>
          </w:tcPr>
          <w:p>
            <w:r>
              <w:rPr>
                <w:rFonts w:ascii="Arial" w:cs="Arial" w:eastAsia="Arial" w:hAnsi="Arial"/>
                <w:b/>
                <w:bCs/>
                <w:color w:val="FFFFFF"/>
                <w:sz w:val="18"/>
                <w:szCs w:val="18"/>
              </w:rPr>
              <w:t xml:space="preserve">Established</w:t>
            </w:r>
          </w:p>
        </w:tc>
        <w:tc>
          <w:tcPr>
            <w:tcW w:type="dxa" w:w="2060"/>
            <w:shd w:fill="1F3864" w:val="clear"/>
            <w:tcMar>
              <w:top w:type="dxa" w:w="80"/>
              <w:left w:type="dxa" w:w="120"/>
              <w:bottom w:type="dxa" w:w="80"/>
              <w:right w:type="dxa" w:w="120"/>
            </w:tcMar>
          </w:tcPr>
          <w:p>
            <w:r>
              <w:rPr>
                <w:rFonts w:ascii="Arial" w:cs="Arial" w:eastAsia="Arial" w:hAnsi="Arial"/>
                <w:b/>
                <w:bCs/>
                <w:color w:val="FFFFFF"/>
                <w:sz w:val="18"/>
                <w:szCs w:val="18"/>
              </w:rPr>
              <w:t xml:space="preserve">Original Sector Focus</w:t>
            </w:r>
          </w:p>
        </w:tc>
        <w:tc>
          <w:tcPr>
            <w:tcW w:type="dxa" w:w="4200"/>
            <w:shd w:fill="1F3864" w:val="clear"/>
            <w:tcMar>
              <w:top w:type="dxa" w:w="80"/>
              <w:left w:type="dxa" w:w="120"/>
              <w:bottom w:type="dxa" w:w="80"/>
              <w:right w:type="dxa" w:w="120"/>
            </w:tcMar>
          </w:tcPr>
          <w:p>
            <w:r>
              <w:rPr>
                <w:rFonts w:ascii="Arial" w:cs="Arial" w:eastAsia="Arial" w:hAnsi="Arial"/>
                <w:b/>
                <w:bCs/>
                <w:color w:val="FFFFFF"/>
                <w:sz w:val="18"/>
                <w:szCs w:val="18"/>
              </w:rPr>
              <w:t xml:space="preserve">2025 Industrial Significance</w:t>
            </w:r>
          </w:p>
        </w:tc>
      </w:tr>
      <w:tr>
        <w:tc>
          <w:tcPr>
            <w:tcW w:type="dxa" w:w="2100"/>
            <w:shd w:fill="F2F7FC" w:val="clear"/>
            <w:tcMar>
              <w:top w:type="dxa" w:w="80"/>
              <w:left w:type="dxa" w:w="120"/>
              <w:bottom w:type="dxa" w:w="80"/>
              <w:right w:type="dxa" w:w="120"/>
            </w:tcMar>
          </w:tcPr>
          <w:p>
            <w:r>
              <w:rPr>
                <w:rFonts w:ascii="Arial" w:cs="Arial" w:eastAsia="Arial" w:hAnsi="Arial"/>
                <w:color w:val="222222"/>
                <w:sz w:val="18"/>
                <w:szCs w:val="18"/>
              </w:rPr>
              <w:t xml:space="preserve">Hosur Phase I–III (Krishnagiri)</w:t>
            </w:r>
          </w:p>
        </w:tc>
        <w:tc>
          <w:tcPr>
            <w:tcW w:type="dxa" w:w="1000"/>
            <w:shd w:fill="F2F7FC" w:val="clear"/>
            <w:tcMar>
              <w:top w:type="dxa" w:w="80"/>
              <w:left w:type="dxa" w:w="120"/>
              <w:bottom w:type="dxa" w:w="80"/>
              <w:right w:type="dxa" w:w="120"/>
            </w:tcMar>
          </w:tcPr>
          <w:p>
            <w:r>
              <w:rPr>
                <w:rFonts w:ascii="Arial" w:cs="Arial" w:eastAsia="Arial" w:hAnsi="Arial"/>
                <w:color w:val="222222"/>
                <w:sz w:val="18"/>
                <w:szCs w:val="18"/>
              </w:rPr>
              <w:t xml:space="preserve">1973</w:t>
            </w:r>
          </w:p>
        </w:tc>
        <w:tc>
          <w:tcPr>
            <w:tcW w:type="dxa" w:w="2060"/>
            <w:shd w:fill="F2F7FC" w:val="clear"/>
            <w:tcMar>
              <w:top w:type="dxa" w:w="80"/>
              <w:left w:type="dxa" w:w="120"/>
              <w:bottom w:type="dxa" w:w="80"/>
              <w:right w:type="dxa" w:w="120"/>
            </w:tcMar>
          </w:tcPr>
          <w:p>
            <w:r>
              <w:rPr>
                <w:rFonts w:ascii="Arial" w:cs="Arial" w:eastAsia="Arial" w:hAnsi="Arial"/>
                <w:color w:val="222222"/>
                <w:sz w:val="18"/>
                <w:szCs w:val="18"/>
              </w:rPr>
              <w:t xml:space="preserve">Engineering, auto components</w:t>
            </w:r>
          </w:p>
        </w:tc>
        <w:tc>
          <w:tcPr>
            <w:tcW w:type="dxa" w:w="4200"/>
            <w:shd w:fill="F2F7FC" w:val="clear"/>
            <w:tcMar>
              <w:top w:type="dxa" w:w="80"/>
              <w:left w:type="dxa" w:w="120"/>
              <w:bottom w:type="dxa" w:w="80"/>
              <w:right w:type="dxa" w:w="120"/>
            </w:tcMar>
          </w:tcPr>
          <w:p>
            <w:r>
              <w:rPr>
                <w:rFonts w:ascii="Arial" w:cs="Arial" w:eastAsia="Arial" w:hAnsi="Arial"/>
                <w:color w:val="222222"/>
                <w:sz w:val="18"/>
                <w:szCs w:val="18"/>
              </w:rPr>
              <w:t xml:space="preserve">50+ major manufacturers; Foxconn, TVS, Titan, Daimler Buses; fastest-growing industrial town in India</w:t>
            </w:r>
          </w:p>
        </w:tc>
      </w:tr>
      <w:tr>
        <w:tc>
          <w:tcPr>
            <w:tcW w:type="dxa" w:w="2100"/>
            <w:shd w:fill="FFFFFF" w:val="clear"/>
            <w:tcMar>
              <w:top w:type="dxa" w:w="80"/>
              <w:left w:type="dxa" w:w="120"/>
              <w:bottom w:type="dxa" w:w="80"/>
              <w:right w:type="dxa" w:w="120"/>
            </w:tcMar>
          </w:tcPr>
          <w:p>
            <w:r>
              <w:rPr>
                <w:rFonts w:ascii="Arial" w:cs="Arial" w:eastAsia="Arial" w:hAnsi="Arial"/>
                <w:color w:val="222222"/>
                <w:sz w:val="18"/>
                <w:szCs w:val="18"/>
              </w:rPr>
              <w:t xml:space="preserve">Ranipet</w:t>
            </w:r>
          </w:p>
        </w:tc>
        <w:tc>
          <w:tcPr>
            <w:tcW w:type="dxa" w:w="1000"/>
            <w:shd w:fill="FFFFFF" w:val="clear"/>
            <w:tcMar>
              <w:top w:type="dxa" w:w="80"/>
              <w:left w:type="dxa" w:w="120"/>
              <w:bottom w:type="dxa" w:w="80"/>
              <w:right w:type="dxa" w:w="120"/>
            </w:tcMar>
          </w:tcPr>
          <w:p>
            <w:r>
              <w:rPr>
                <w:rFonts w:ascii="Arial" w:cs="Arial" w:eastAsia="Arial" w:hAnsi="Arial"/>
                <w:color w:val="222222"/>
                <w:sz w:val="18"/>
                <w:szCs w:val="18"/>
              </w:rPr>
              <w:t xml:space="preserve">1973</w:t>
            </w:r>
          </w:p>
        </w:tc>
        <w:tc>
          <w:tcPr>
            <w:tcW w:type="dxa" w:w="2060"/>
            <w:shd w:fill="FFFFFF" w:val="clear"/>
            <w:tcMar>
              <w:top w:type="dxa" w:w="80"/>
              <w:left w:type="dxa" w:w="120"/>
              <w:bottom w:type="dxa" w:w="80"/>
              <w:right w:type="dxa" w:w="120"/>
            </w:tcMar>
          </w:tcPr>
          <w:p>
            <w:r>
              <w:rPr>
                <w:rFonts w:ascii="Arial" w:cs="Arial" w:eastAsia="Arial" w:hAnsi="Arial"/>
                <w:color w:val="222222"/>
                <w:sz w:val="18"/>
                <w:szCs w:val="18"/>
              </w:rPr>
              <w:t xml:space="preserve">Leather, chemicals, engineering</w:t>
            </w:r>
          </w:p>
        </w:tc>
        <w:tc>
          <w:tcPr>
            <w:tcW w:type="dxa" w:w="4200"/>
            <w:shd w:fill="FFFFFF" w:val="clear"/>
            <w:tcMar>
              <w:top w:type="dxa" w:w="80"/>
              <w:left w:type="dxa" w:w="120"/>
              <w:bottom w:type="dxa" w:w="80"/>
              <w:right w:type="dxa" w:w="120"/>
            </w:tcMar>
          </w:tcPr>
          <w:p>
            <w:r>
              <w:rPr>
                <w:rFonts w:ascii="Arial" w:cs="Arial" w:eastAsia="Arial" w:hAnsi="Arial"/>
                <w:color w:val="222222"/>
                <w:sz w:val="18"/>
                <w:szCs w:val="18"/>
              </w:rPr>
              <w:t xml:space="preserve">Major leather and engineering cluster; key node in Ambur–Ranipet–Vellore belt</w:t>
            </w:r>
          </w:p>
        </w:tc>
      </w:tr>
      <w:tr>
        <w:tc>
          <w:tcPr>
            <w:tcW w:type="dxa" w:w="2100"/>
            <w:shd w:fill="F2F7FC" w:val="clear"/>
            <w:tcMar>
              <w:top w:type="dxa" w:w="80"/>
              <w:left w:type="dxa" w:w="120"/>
              <w:bottom w:type="dxa" w:w="80"/>
              <w:right w:type="dxa" w:w="120"/>
            </w:tcMar>
          </w:tcPr>
          <w:p>
            <w:r>
              <w:rPr>
                <w:rFonts w:ascii="Arial" w:cs="Arial" w:eastAsia="Arial" w:hAnsi="Arial"/>
                <w:color w:val="222222"/>
                <w:sz w:val="18"/>
                <w:szCs w:val="18"/>
              </w:rPr>
              <w:t xml:space="preserve">Cuddalore</w:t>
            </w:r>
          </w:p>
        </w:tc>
        <w:tc>
          <w:tcPr>
            <w:tcW w:type="dxa" w:w="1000"/>
            <w:shd w:fill="F2F7FC" w:val="clear"/>
            <w:tcMar>
              <w:top w:type="dxa" w:w="80"/>
              <w:left w:type="dxa" w:w="120"/>
              <w:bottom w:type="dxa" w:w="80"/>
              <w:right w:type="dxa" w:w="120"/>
            </w:tcMar>
          </w:tcPr>
          <w:p>
            <w:r>
              <w:rPr>
                <w:rFonts w:ascii="Arial" w:cs="Arial" w:eastAsia="Arial" w:hAnsi="Arial"/>
                <w:color w:val="222222"/>
                <w:sz w:val="18"/>
                <w:szCs w:val="18"/>
              </w:rPr>
              <w:t xml:space="preserve">1984</w:t>
            </w:r>
          </w:p>
        </w:tc>
        <w:tc>
          <w:tcPr>
            <w:tcW w:type="dxa" w:w="2060"/>
            <w:shd w:fill="F2F7FC" w:val="clear"/>
            <w:tcMar>
              <w:top w:type="dxa" w:w="80"/>
              <w:left w:type="dxa" w:w="120"/>
              <w:bottom w:type="dxa" w:w="80"/>
              <w:right w:type="dxa" w:w="120"/>
            </w:tcMar>
          </w:tcPr>
          <w:p>
            <w:r>
              <w:rPr>
                <w:rFonts w:ascii="Arial" w:cs="Arial" w:eastAsia="Arial" w:hAnsi="Arial"/>
                <w:color w:val="222222"/>
                <w:sz w:val="18"/>
                <w:szCs w:val="18"/>
              </w:rPr>
              <w:t xml:space="preserve">Petrochemicals, chemicals</w:t>
            </w:r>
          </w:p>
        </w:tc>
        <w:tc>
          <w:tcPr>
            <w:tcW w:type="dxa" w:w="4200"/>
            <w:shd w:fill="F2F7FC" w:val="clear"/>
            <w:tcMar>
              <w:top w:type="dxa" w:w="80"/>
              <w:left w:type="dxa" w:w="120"/>
              <w:bottom w:type="dxa" w:w="80"/>
              <w:right w:type="dxa" w:w="120"/>
            </w:tcMar>
          </w:tcPr>
          <w:p>
            <w:r>
              <w:rPr>
                <w:rFonts w:ascii="Arial" w:cs="Arial" w:eastAsia="Arial" w:hAnsi="Arial"/>
                <w:color w:val="222222"/>
                <w:sz w:val="18"/>
                <w:szCs w:val="18"/>
              </w:rPr>
              <w:t xml:space="preserve">SPIC anchor; Tamil Nadu’s principal petrochemical hub; SEZ development</w:t>
            </w:r>
          </w:p>
        </w:tc>
      </w:tr>
      <w:tr>
        <w:tc>
          <w:tcPr>
            <w:tcW w:type="dxa" w:w="2100"/>
            <w:shd w:fill="FFFFFF" w:val="clear"/>
            <w:tcMar>
              <w:top w:type="dxa" w:w="80"/>
              <w:left w:type="dxa" w:w="120"/>
              <w:bottom w:type="dxa" w:w="80"/>
              <w:right w:type="dxa" w:w="120"/>
            </w:tcMar>
          </w:tcPr>
          <w:p>
            <w:r>
              <w:rPr>
                <w:rFonts w:ascii="Arial" w:cs="Arial" w:eastAsia="Arial" w:hAnsi="Arial"/>
                <w:color w:val="222222"/>
                <w:sz w:val="18"/>
                <w:szCs w:val="18"/>
              </w:rPr>
              <w:t xml:space="preserve">Perundurai (Erode)</w:t>
            </w:r>
          </w:p>
        </w:tc>
        <w:tc>
          <w:tcPr>
            <w:tcW w:type="dxa" w:w="1000"/>
            <w:shd w:fill="FFFFFF" w:val="clear"/>
            <w:tcMar>
              <w:top w:type="dxa" w:w="80"/>
              <w:left w:type="dxa" w:w="120"/>
              <w:bottom w:type="dxa" w:w="80"/>
              <w:right w:type="dxa" w:w="120"/>
            </w:tcMar>
          </w:tcPr>
          <w:p>
            <w:r>
              <w:rPr>
                <w:rFonts w:ascii="Arial" w:cs="Arial" w:eastAsia="Arial" w:hAnsi="Arial"/>
                <w:color w:val="222222"/>
                <w:sz w:val="18"/>
                <w:szCs w:val="18"/>
              </w:rPr>
              <w:t xml:space="preserve">1995</w:t>
            </w:r>
          </w:p>
        </w:tc>
        <w:tc>
          <w:tcPr>
            <w:tcW w:type="dxa" w:w="2060"/>
            <w:shd w:fill="FFFFFF" w:val="clear"/>
            <w:tcMar>
              <w:top w:type="dxa" w:w="80"/>
              <w:left w:type="dxa" w:w="120"/>
              <w:bottom w:type="dxa" w:w="80"/>
              <w:right w:type="dxa" w:w="120"/>
            </w:tcMar>
          </w:tcPr>
          <w:p>
            <w:r>
              <w:rPr>
                <w:rFonts w:ascii="Arial" w:cs="Arial" w:eastAsia="Arial" w:hAnsi="Arial"/>
                <w:color w:val="222222"/>
                <w:sz w:val="18"/>
                <w:szCs w:val="18"/>
              </w:rPr>
              <w:t xml:space="preserve">Textiles, engineering</w:t>
            </w:r>
          </w:p>
        </w:tc>
        <w:tc>
          <w:tcPr>
            <w:tcW w:type="dxa" w:w="4200"/>
            <w:shd w:fill="FFFFFF" w:val="clear"/>
            <w:tcMar>
              <w:top w:type="dxa" w:w="80"/>
              <w:left w:type="dxa" w:w="120"/>
              <w:bottom w:type="dxa" w:w="80"/>
              <w:right w:type="dxa" w:w="120"/>
            </w:tcMar>
          </w:tcPr>
          <w:p>
            <w:r>
              <w:rPr>
                <w:rFonts w:ascii="Arial" w:cs="Arial" w:eastAsia="Arial" w:hAnsi="Arial"/>
                <w:color w:val="222222"/>
                <w:sz w:val="18"/>
                <w:szCs w:val="18"/>
              </w:rPr>
              <w:t xml:space="preserve">Textile machinery and spinning cluster; SIPCOT export park</w:t>
            </w:r>
          </w:p>
        </w:tc>
      </w:tr>
      <w:tr>
        <w:tc>
          <w:tcPr>
            <w:tcW w:type="dxa" w:w="2100"/>
            <w:shd w:fill="F2F7FC" w:val="clear"/>
            <w:tcMar>
              <w:top w:type="dxa" w:w="80"/>
              <w:left w:type="dxa" w:w="120"/>
              <w:bottom w:type="dxa" w:w="80"/>
              <w:right w:type="dxa" w:w="120"/>
            </w:tcMar>
          </w:tcPr>
          <w:p>
            <w:r>
              <w:rPr>
                <w:rFonts w:ascii="Arial" w:cs="Arial" w:eastAsia="Arial" w:hAnsi="Arial"/>
                <w:color w:val="222222"/>
                <w:sz w:val="18"/>
                <w:szCs w:val="18"/>
              </w:rPr>
              <w:t xml:space="preserve">Sriperumbudur</w:t>
            </w:r>
          </w:p>
        </w:tc>
        <w:tc>
          <w:tcPr>
            <w:tcW w:type="dxa" w:w="1000"/>
            <w:shd w:fill="F2F7FC" w:val="clear"/>
            <w:tcMar>
              <w:top w:type="dxa" w:w="80"/>
              <w:left w:type="dxa" w:w="120"/>
              <w:bottom w:type="dxa" w:w="80"/>
              <w:right w:type="dxa" w:w="120"/>
            </w:tcMar>
          </w:tcPr>
          <w:p>
            <w:r>
              <w:rPr>
                <w:rFonts w:ascii="Arial" w:cs="Arial" w:eastAsia="Arial" w:hAnsi="Arial"/>
                <w:color w:val="222222"/>
                <w:sz w:val="18"/>
                <w:szCs w:val="18"/>
              </w:rPr>
              <w:t xml:space="preserve">Mid-1990s</w:t>
            </w:r>
          </w:p>
        </w:tc>
        <w:tc>
          <w:tcPr>
            <w:tcW w:type="dxa" w:w="2060"/>
            <w:shd w:fill="F2F7FC" w:val="clear"/>
            <w:tcMar>
              <w:top w:type="dxa" w:w="80"/>
              <w:left w:type="dxa" w:w="120"/>
              <w:bottom w:type="dxa" w:w="80"/>
              <w:right w:type="dxa" w:w="120"/>
            </w:tcMar>
          </w:tcPr>
          <w:p>
            <w:r>
              <w:rPr>
                <w:rFonts w:ascii="Arial" w:cs="Arial" w:eastAsia="Arial" w:hAnsi="Arial"/>
                <w:color w:val="222222"/>
                <w:sz w:val="18"/>
                <w:szCs w:val="18"/>
              </w:rPr>
              <w:t xml:space="preserve">Electronics, auto (expansion)</w:t>
            </w:r>
          </w:p>
        </w:tc>
        <w:tc>
          <w:tcPr>
            <w:tcW w:type="dxa" w:w="4200"/>
            <w:shd w:fill="F2F7FC" w:val="clear"/>
            <w:tcMar>
              <w:top w:type="dxa" w:w="80"/>
              <w:left w:type="dxa" w:w="120"/>
              <w:bottom w:type="dxa" w:w="80"/>
              <w:right w:type="dxa" w:w="120"/>
            </w:tcMar>
          </w:tcPr>
          <w:p>
            <w:r>
              <w:rPr>
                <w:rFonts w:ascii="Arial" w:cs="Arial" w:eastAsia="Arial" w:hAnsi="Arial"/>
                <w:color w:val="222222"/>
                <w:sz w:val="18"/>
                <w:szCs w:val="18"/>
              </w:rPr>
              <w:t xml:space="preserve">Hyundai global export base; Foxconn iPhone assembly; Nokia legacy; electronics corridor</w:t>
            </w:r>
          </w:p>
        </w:tc>
      </w:tr>
      <w:tr>
        <w:tc>
          <w:tcPr>
            <w:tcW w:type="dxa" w:w="2100"/>
            <w:shd w:fill="FFFFFF" w:val="clear"/>
            <w:tcMar>
              <w:top w:type="dxa" w:w="80"/>
              <w:left w:type="dxa" w:w="120"/>
              <w:bottom w:type="dxa" w:w="80"/>
              <w:right w:type="dxa" w:w="120"/>
            </w:tcMar>
          </w:tcPr>
          <w:p>
            <w:r>
              <w:rPr>
                <w:rFonts w:ascii="Arial" w:cs="Arial" w:eastAsia="Arial" w:hAnsi="Arial"/>
                <w:color w:val="222222"/>
                <w:sz w:val="18"/>
                <w:szCs w:val="18"/>
              </w:rPr>
              <w:t xml:space="preserve">Oragadam (Chennai outskirts)</w:t>
            </w:r>
          </w:p>
        </w:tc>
        <w:tc>
          <w:tcPr>
            <w:tcW w:type="dxa" w:w="1000"/>
            <w:shd w:fill="FFFFFF" w:val="clear"/>
            <w:tcMar>
              <w:top w:type="dxa" w:w="80"/>
              <w:left w:type="dxa" w:w="120"/>
              <w:bottom w:type="dxa" w:w="80"/>
              <w:right w:type="dxa" w:w="120"/>
            </w:tcMar>
          </w:tcPr>
          <w:p>
            <w:r>
              <w:rPr>
                <w:rFonts w:ascii="Arial" w:cs="Arial" w:eastAsia="Arial" w:hAnsi="Arial"/>
                <w:color w:val="222222"/>
                <w:sz w:val="18"/>
                <w:szCs w:val="18"/>
              </w:rPr>
              <w:t xml:space="preserve">2000s</w:t>
            </w:r>
          </w:p>
        </w:tc>
        <w:tc>
          <w:tcPr>
            <w:tcW w:type="dxa" w:w="2060"/>
            <w:shd w:fill="FFFFFF" w:val="clear"/>
            <w:tcMar>
              <w:top w:type="dxa" w:w="80"/>
              <w:left w:type="dxa" w:w="120"/>
              <w:bottom w:type="dxa" w:w="80"/>
              <w:right w:type="dxa" w:w="120"/>
            </w:tcMar>
          </w:tcPr>
          <w:p>
            <w:r>
              <w:rPr>
                <w:rFonts w:ascii="Arial" w:cs="Arial" w:eastAsia="Arial" w:hAnsi="Arial"/>
                <w:color w:val="222222"/>
                <w:sz w:val="18"/>
                <w:szCs w:val="18"/>
              </w:rPr>
              <w:t xml:space="preserve">Automobiles, heavy manufacturing</w:t>
            </w:r>
          </w:p>
        </w:tc>
        <w:tc>
          <w:tcPr>
            <w:tcW w:type="dxa" w:w="4200"/>
            <w:shd w:fill="FFFFFF" w:val="clear"/>
            <w:tcMar>
              <w:top w:type="dxa" w:w="80"/>
              <w:left w:type="dxa" w:w="120"/>
              <w:bottom w:type="dxa" w:w="80"/>
              <w:right w:type="dxa" w:w="120"/>
            </w:tcMar>
          </w:tcPr>
          <w:p>
            <w:r>
              <w:rPr>
                <w:rFonts w:ascii="Arial" w:cs="Arial" w:eastAsia="Arial" w:hAnsi="Arial"/>
                <w:color w:val="222222"/>
                <w:sz w:val="18"/>
                <w:szCs w:val="18"/>
              </w:rPr>
              <w:t xml:space="preserve">Renault-Nissan Oragadam plant; Daimler India; Komatsu; 400+ firms in 30 km radius</w:t>
            </w:r>
          </w:p>
        </w:tc>
      </w:tr>
      <w:tr>
        <w:tc>
          <w:tcPr>
            <w:tcW w:type="dxa" w:w="2100"/>
            <w:shd w:fill="F2F7FC" w:val="clear"/>
            <w:tcMar>
              <w:top w:type="dxa" w:w="80"/>
              <w:left w:type="dxa" w:w="120"/>
              <w:bottom w:type="dxa" w:w="80"/>
              <w:right w:type="dxa" w:w="120"/>
            </w:tcMar>
          </w:tcPr>
          <w:p>
            <w:r>
              <w:rPr>
                <w:rFonts w:ascii="Arial" w:cs="Arial" w:eastAsia="Arial" w:hAnsi="Arial"/>
                <w:color w:val="222222"/>
                <w:sz w:val="18"/>
                <w:szCs w:val="18"/>
              </w:rPr>
              <w:t xml:space="preserve">Vallam-Vadagal (Kancheepuram)</w:t>
            </w:r>
          </w:p>
        </w:tc>
        <w:tc>
          <w:tcPr>
            <w:tcW w:type="dxa" w:w="1000"/>
            <w:shd w:fill="F2F7FC" w:val="clear"/>
            <w:tcMar>
              <w:top w:type="dxa" w:w="80"/>
              <w:left w:type="dxa" w:w="120"/>
              <w:bottom w:type="dxa" w:w="80"/>
              <w:right w:type="dxa" w:w="120"/>
            </w:tcMar>
          </w:tcPr>
          <w:p>
            <w:r>
              <w:rPr>
                <w:rFonts w:ascii="Arial" w:cs="Arial" w:eastAsia="Arial" w:hAnsi="Arial"/>
                <w:color w:val="222222"/>
                <w:sz w:val="18"/>
                <w:szCs w:val="18"/>
              </w:rPr>
              <w:t xml:space="preserve">2010s</w:t>
            </w:r>
          </w:p>
        </w:tc>
        <w:tc>
          <w:tcPr>
            <w:tcW w:type="dxa" w:w="2060"/>
            <w:shd w:fill="F2F7FC" w:val="clear"/>
            <w:tcMar>
              <w:top w:type="dxa" w:w="80"/>
              <w:left w:type="dxa" w:w="120"/>
              <w:bottom w:type="dxa" w:w="80"/>
              <w:right w:type="dxa" w:w="120"/>
            </w:tcMar>
          </w:tcPr>
          <w:p>
            <w:r>
              <w:rPr>
                <w:rFonts w:ascii="Arial" w:cs="Arial" w:eastAsia="Arial" w:hAnsi="Arial"/>
                <w:color w:val="222222"/>
                <w:sz w:val="18"/>
                <w:szCs w:val="18"/>
              </w:rPr>
              <w:t xml:space="preserve">Electronics, light engineering</w:t>
            </w:r>
          </w:p>
        </w:tc>
        <w:tc>
          <w:tcPr>
            <w:tcW w:type="dxa" w:w="4200"/>
            <w:shd w:fill="F2F7FC" w:val="clear"/>
            <w:tcMar>
              <w:top w:type="dxa" w:w="80"/>
              <w:left w:type="dxa" w:w="120"/>
              <w:bottom w:type="dxa" w:w="80"/>
              <w:right w:type="dxa" w:w="120"/>
            </w:tcMar>
          </w:tcPr>
          <w:p>
            <w:r>
              <w:rPr>
                <w:rFonts w:ascii="Arial" w:cs="Arial" w:eastAsia="Arial" w:hAnsi="Arial"/>
                <w:color w:val="222222"/>
                <w:sz w:val="18"/>
                <w:szCs w:val="18"/>
              </w:rPr>
              <w:t xml:space="preserve">Pegatron Apple facility; expanding electronics supply chain corridor</w:t>
            </w:r>
          </w:p>
        </w:tc>
      </w:tr>
      <w:tr>
        <w:tc>
          <w:tcPr>
            <w:tcW w:type="dxa" w:w="2100"/>
            <w:shd w:fill="FFFFFF" w:val="clear"/>
            <w:tcMar>
              <w:top w:type="dxa" w:w="80"/>
              <w:left w:type="dxa" w:w="120"/>
              <w:bottom w:type="dxa" w:w="80"/>
              <w:right w:type="dxa" w:w="120"/>
            </w:tcMar>
          </w:tcPr>
          <w:p>
            <w:r>
              <w:rPr>
                <w:rFonts w:ascii="Arial" w:cs="Arial" w:eastAsia="Arial" w:hAnsi="Arial"/>
                <w:color w:val="222222"/>
                <w:sz w:val="18"/>
                <w:szCs w:val="18"/>
              </w:rPr>
              <w:t xml:space="preserve">Cheyyar (Tiruvannamalai)</w:t>
            </w:r>
          </w:p>
        </w:tc>
        <w:tc>
          <w:tcPr>
            <w:tcW w:type="dxa" w:w="1000"/>
            <w:shd w:fill="FFFFFF" w:val="clear"/>
            <w:tcMar>
              <w:top w:type="dxa" w:w="80"/>
              <w:left w:type="dxa" w:w="120"/>
              <w:bottom w:type="dxa" w:w="80"/>
              <w:right w:type="dxa" w:w="120"/>
            </w:tcMar>
          </w:tcPr>
          <w:p>
            <w:r>
              <w:rPr>
                <w:rFonts w:ascii="Arial" w:cs="Arial" w:eastAsia="Arial" w:hAnsi="Arial"/>
                <w:color w:val="222222"/>
                <w:sz w:val="18"/>
                <w:szCs w:val="18"/>
              </w:rPr>
              <w:t xml:space="preserve">2022–23</w:t>
            </w:r>
          </w:p>
        </w:tc>
        <w:tc>
          <w:tcPr>
            <w:tcW w:type="dxa" w:w="2060"/>
            <w:shd w:fill="FFFFFF" w:val="clear"/>
            <w:tcMar>
              <w:top w:type="dxa" w:w="80"/>
              <w:left w:type="dxa" w:w="120"/>
              <w:bottom w:type="dxa" w:w="80"/>
              <w:right w:type="dxa" w:w="120"/>
            </w:tcMar>
          </w:tcPr>
          <w:p>
            <w:r>
              <w:rPr>
                <w:rFonts w:ascii="Arial" w:cs="Arial" w:eastAsia="Arial" w:hAnsi="Arial"/>
                <w:color w:val="222222"/>
                <w:sz w:val="18"/>
                <w:szCs w:val="18"/>
              </w:rPr>
              <w:t xml:space="preserve">Electronics (new)</w:t>
            </w:r>
          </w:p>
        </w:tc>
        <w:tc>
          <w:tcPr>
            <w:tcW w:type="dxa" w:w="4200"/>
            <w:shd w:fill="FFFFFF" w:val="clear"/>
            <w:tcMar>
              <w:top w:type="dxa" w:w="80"/>
              <w:left w:type="dxa" w:w="120"/>
              <w:bottom w:type="dxa" w:w="80"/>
              <w:right w:type="dxa" w:w="120"/>
            </w:tcMar>
          </w:tcPr>
          <w:p>
            <w:r>
              <w:rPr>
                <w:rFonts w:ascii="Arial" w:cs="Arial" w:eastAsia="Arial" w:hAnsi="Arial"/>
                <w:color w:val="222222"/>
                <w:sz w:val="18"/>
                <w:szCs w:val="18"/>
              </w:rPr>
              <w:t xml:space="preserve">Apple supply chain expansion; recent Tata Electronics facilities</w:t>
            </w:r>
          </w:p>
        </w:tc>
      </w:tr>
    </w:tbl>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SIPCOT’s Compounding Legacy: Each SIPCOT complex started as a raw land bank and became, over time, a self-reinforcing industrial cluster. Hosur’s trajectory — from a sparsely populated plateau in 1973 to India’s fastest-growing industrial town by 2024 — illustrates the compounding logic: anchor investors attract suppliers, suppliers attract logistics, logistics attract more manufacturers, and the accumulated agglomeration makes the cluster progressively more attractive to the next wave of investment. SIPCOT did not create industries. It created the conditions in which industries create industries.</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1.4 TIDCO: Tamil Nadu’s Strategic Industrial Catalyst</w:t>
      </w:r>
    </w:p>
    <w:p>
      <w:pPr>
        <w:spacing w:after="80" w:before="80" w:line="276"/>
        <w:jc w:val="both"/>
      </w:pPr>
      <w:r>
        <w:rPr>
          <w:rFonts w:ascii="Arial" w:cs="Arial" w:eastAsia="Arial" w:hAnsi="Arial"/>
          <w:color w:val="222222"/>
          <w:sz w:val="20"/>
          <w:szCs w:val="20"/>
        </w:rPr>
        <w:t xml:space="preserve">Of the three core industrial institutions established during the state-led diversification phase, TIDCO (Tamil Nadu Industrial Development Corporation, est. 1965) is the least understood but arguably the most versatile. SIPCOT provided the land. SIDCO provided the sheds and MSME infrastructure. TIDCO provided something categorically different and more strategically complex: an institutional platform through which the state government could partner with private capital, facilitate investor due diligence, build industrial ventures that the market would not finance alone — and continuously upgrade those capabilities across decades. It is this third function, the investor partnership and facilitation platform, that explains why TIDCO’s legacy extends far beyond any individual project it sponsored.</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TIDCO’s operating model evolved across three distinct but connected functions. In its first phase (1965–1990), it was an industrial venture builder: identifying opportunities, securing licences, co-investing state capital, and bringing in private partners to establish industries the market would not finance independently. This produced Tamil Nadu’s most iconic industrial assets — Titan (TIDCO–Tata Group joint venture, 1984, in SIPCOT’s Hosur complex), SPIC (petrochemicals and fertilisers), and a series of sector-anchoring ventures across engineering and chemicals. In its second phase (1990s–2000s), TIDCO’s mandate expanded into active investor facilitation: it was TIDCO’s Export Promotion and Guidance Bureau that assembled the professional multimedia response to Ford’s site evaluation queries in 1994–95, turning Chennai from a third-choice site to the final location, and the same institutional capability that supported Hyundai’s due-diligence process the following year. In its third phase (2000s onward), TIDCO became a developer of knowledge-economy infrastructure — co-developing TIDEL Park with ELCOT and facilitating the Ascendas IT Park’s entry into Chennai. These three functions — venture building, investor facilitation, and knowledge-economy infrastructure — were not separate activities. They were sequential expressions of a single institutional logic: the state as active, capable partner to private capital across successive industrial eras.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Ford Motor Company due-diligence process of 1994–95 remains the most documented example of Tamil Nadu’s institutional investor-facilitation capability in action. When Ford was evaluating its first Indian manufacturing facility, Chennai was not its preferred location — it was, by some accounts, the third choice after sites in other states. What changed the evaluation was the quality of Tamil Nadu’s institutional response. TIDCO’s Export Promotion and Guidance Bureau assembled a professionally produced multimedia presentation on the state — unusual in the mid-1990s Indian context — that created a strong initial impression. Ford then submitted hundreds of highly specific technical queries: environmental conditions within a defined radius of the proposed site, power supply reliability guarantees, water availability, road and port connectivity timelines, and provisions for staff housing including an international school. TIDCO coordinated responses across multiple state departments and delivered structured, documented answers to every query. The state government then went beyond the responses: it guaranteed uninterrupted power and water supply and immediately commenced construction of the international school. Chennai moved from third choice to first choice not because of its natural advantages but because its institutional infrastructure could answer, commit, and deliver in a way that other sites could not. That capability — accumulated through thirty years of TIDCO joint-venture experience and agency-building — was the direct product of the Wave 2 institutional investments.</w:t>
      </w:r>
    </w:p>
    <w:p>
      <w:pPr>
        <w:spacing w:after="80" w:before="80" w:line="276"/>
        <w:jc w:val="both"/>
      </w:pPr>
      <w:r>
        <w:rPr>
          <w:rFonts w:ascii="Arial" w:cs="Arial" w:eastAsia="Arial" w:hAnsi="Arial"/>
          <w:color w:val="222222"/>
          <w:sz w:val="20"/>
          <w:szCs w:val="20"/>
        </w:rPr>
        <w:t xml:space="preserve">By institutionalising the investment facilitation function — maintaining dedicated teams to receive investor queries, coordinate government clearances, and respond to due-diligence requests — TIDCO gave Tamil Nadu a competitive capability that most other Indian states lacked entirely. When Ford raised hundreds of detailed technical and logistical queries during its site evaluation in the mid-1990s, it was TIDCO that assembled the responses and guaranteed commitments on power, water, and international schooling. The TIDCO chairman at the time later described the process: Ford wanted assurance that no industry within twenty kilometres would create dust pollution for its paint shop — and TIDCO and the state government delivered that guarantee. (Source: Ravindranath, Sushila. ‘Surge: Tamil Nadu’s Growth Story’. Westland, 2016, citing interview with TIDCO chairman; corroborated in Shin, Sojin. ‘Land Management and Industrial Development in Tamil Nadu’. ISAS Working Paper, 2016.) That level of investor-responsiveness was not accidental; it had been built through decades of institutional practice.</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full arc of TIDCO’s institutional legacy runs from Titan and SPIC in the 1970s and 1980s, through the Ford and Hyundai facilitation work of the 1990s, through TIDEL Park and Ascendas in the 2000s, to Guidance Tamil Nadu’s Foxconn Desk of the 2020s. In 1992, TIDCO’s facilitation function was formalised into the Tamil Nadu Export Promotion and Guidance Bureau; that bureau evolved into the standalone Guidance Tamil Nadu agency which today manages the state’s entire investment pipeline. The institutional lineage is direct and unbroken across six decades: each generation of the organisation learned from the previous one, upgraded its capabilities, and passed that accumulated knowledge forward. Titan, SPIC, TIDEL, Ascendas, Ford, Hyundai, Renault-Nissan, and Foxconn are not a list of independent achievements. They are milestones in a single continuous institutional story — the story of Tamil Nadu learning, through practice, how to be an effective partner to global capital.</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1.4.1 From TIDCO to Guidance Tamil Nadu: The Investment Facilitation Lineage</w:t>
      </w:r>
    </w:p>
    <w:p>
      <w:pPr>
        <w:spacing w:after="80" w:before="80" w:line="276"/>
        <w:jc w:val="both"/>
      </w:pPr>
      <w:r>
        <w:rPr>
          <w:rFonts w:ascii="Arial" w:cs="Arial" w:eastAsia="Arial" w:hAnsi="Arial"/>
          <w:color w:val="222222"/>
          <w:sz w:val="20"/>
          <w:szCs w:val="20"/>
        </w:rPr>
        <w:t xml:space="preserve">Of all the institutional continuities in Tamil Nadu’s industrial history, the lineage from TIDCO’s early joint-venture facilitation work to Guidance Tamil Nadu’s contemporary single-window architecture is perhaps the most instructive. It demonstrates that institutional capacity compounds over time — that each generation of investment facilitation built on the capabilities and relationships of the previous one, creating a progressively more effective and credible state apparatus for attracting and retaining investment.</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800"/>
        <w:gridCol w:w="700"/>
        <w:gridCol w:w="2660"/>
        <w:gridCol w:w="4200"/>
      </w:tblGrid>
      <w:tr>
        <w:trPr>
          <w:tblHeader/>
        </w:trPr>
        <w:tc>
          <w:tcPr>
            <w:tcW w:type="dxa" w:w="1800"/>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700"/>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2660"/>
            <w:shd w:fill="1F3864" w:val="clear"/>
            <w:tcMar>
              <w:top w:type="dxa" w:w="80"/>
              <w:left w:type="dxa" w:w="120"/>
              <w:bottom w:type="dxa" w:w="80"/>
              <w:right w:type="dxa" w:w="120"/>
            </w:tcMar>
          </w:tcPr>
          <w:p>
            <w:r>
              <w:rPr>
                <w:rFonts w:ascii="Arial" w:cs="Arial" w:eastAsia="Arial" w:hAnsi="Arial"/>
                <w:b/>
                <w:bCs/>
                <w:color w:val="FFFFFF"/>
                <w:sz w:val="18"/>
                <w:szCs w:val="18"/>
              </w:rPr>
              <w:t xml:space="preserve">Institutional Form</w:t>
            </w:r>
          </w:p>
        </w:tc>
        <w:tc>
          <w:tcPr>
            <w:tcW w:type="dxa" w:w="4200"/>
            <w:shd w:fill="1F3864" w:val="clear"/>
            <w:tcMar>
              <w:top w:type="dxa" w:w="80"/>
              <w:left w:type="dxa" w:w="120"/>
              <w:bottom w:type="dxa" w:w="80"/>
              <w:right w:type="dxa" w:w="120"/>
            </w:tcMar>
          </w:tcPr>
          <w:p>
            <w:r>
              <w:rPr>
                <w:rFonts w:ascii="Arial" w:cs="Arial" w:eastAsia="Arial" w:hAnsi="Arial"/>
                <w:b/>
                <w:bCs/>
                <w:color w:val="FFFFFF"/>
                <w:sz w:val="18"/>
                <w:szCs w:val="18"/>
              </w:rPr>
              <w:t xml:space="preserve">Capability Added</w:t>
            </w:r>
          </w:p>
        </w:tc>
      </w:tr>
      <w:tr>
        <w:tc>
          <w:tcPr>
            <w:tcW w:type="dxa" w:w="1800"/>
            <w:shd w:fill="F2F7FC" w:val="clear"/>
            <w:tcMar>
              <w:top w:type="dxa" w:w="80"/>
              <w:left w:type="dxa" w:w="120"/>
              <w:bottom w:type="dxa" w:w="80"/>
              <w:right w:type="dxa" w:w="120"/>
            </w:tcMar>
          </w:tcPr>
          <w:p>
            <w:r>
              <w:rPr>
                <w:rFonts w:ascii="Arial" w:cs="Arial" w:eastAsia="Arial" w:hAnsi="Arial"/>
                <w:color w:val="222222"/>
                <w:sz w:val="18"/>
                <w:szCs w:val="18"/>
              </w:rPr>
              <w:t xml:space="preserve">TIDCO joint-venture era</w:t>
            </w:r>
          </w:p>
        </w:tc>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1965–1990</w:t>
            </w:r>
          </w:p>
        </w:tc>
        <w:tc>
          <w:tcPr>
            <w:tcW w:type="dxa" w:w="2660"/>
            <w:shd w:fill="F2F7FC" w:val="clear"/>
            <w:tcMar>
              <w:top w:type="dxa" w:w="80"/>
              <w:left w:type="dxa" w:w="120"/>
              <w:bottom w:type="dxa" w:w="80"/>
              <w:right w:type="dxa" w:w="120"/>
            </w:tcMar>
          </w:tcPr>
          <w:p>
            <w:r>
              <w:rPr>
                <w:rFonts w:ascii="Arial" w:cs="Arial" w:eastAsia="Arial" w:hAnsi="Arial"/>
                <w:color w:val="222222"/>
                <w:sz w:val="18"/>
                <w:szCs w:val="18"/>
              </w:rPr>
              <w:t xml:space="preserve">Tamil Nadu Industrial Development Corporation</w:t>
            </w:r>
          </w:p>
        </w:tc>
        <w:tc>
          <w:tcPr>
            <w:tcW w:type="dxa" w:w="4200"/>
            <w:shd w:fill="F2F7FC" w:val="clear"/>
            <w:tcMar>
              <w:top w:type="dxa" w:w="80"/>
              <w:left w:type="dxa" w:w="120"/>
              <w:bottom w:type="dxa" w:w="80"/>
              <w:right w:type="dxa" w:w="120"/>
            </w:tcMar>
          </w:tcPr>
          <w:p>
            <w:r>
              <w:rPr>
                <w:rFonts w:ascii="Arial" w:cs="Arial" w:eastAsia="Arial" w:hAnsi="Arial"/>
                <w:color w:val="222222"/>
                <w:sz w:val="18"/>
                <w:szCs w:val="18"/>
              </w:rPr>
              <w:t xml:space="preserve">State equity participation in new industrial ventures; industrial licensing; partner identification for domestic and foreign firms</w:t>
            </w:r>
          </w:p>
        </w:tc>
      </w:tr>
      <w:tr>
        <w:tc>
          <w:tcPr>
            <w:tcW w:type="dxa" w:w="1800"/>
            <w:shd w:fill="FFFFFF" w:val="clear"/>
            <w:tcMar>
              <w:top w:type="dxa" w:w="80"/>
              <w:left w:type="dxa" w:w="120"/>
              <w:bottom w:type="dxa" w:w="80"/>
              <w:right w:type="dxa" w:w="120"/>
            </w:tcMar>
          </w:tcPr>
          <w:p>
            <w:r>
              <w:rPr>
                <w:rFonts w:ascii="Arial" w:cs="Arial" w:eastAsia="Arial" w:hAnsi="Arial"/>
                <w:color w:val="222222"/>
                <w:sz w:val="18"/>
                <w:szCs w:val="18"/>
              </w:rPr>
              <w:t xml:space="preserve">Export Promotion Bureau</w:t>
            </w:r>
          </w:p>
        </w:tc>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1992</w:t>
            </w:r>
          </w:p>
        </w:tc>
        <w:tc>
          <w:tcPr>
            <w:tcW w:type="dxa" w:w="2660"/>
            <w:shd w:fill="FFFFFF" w:val="clear"/>
            <w:tcMar>
              <w:top w:type="dxa" w:w="80"/>
              <w:left w:type="dxa" w:w="120"/>
              <w:bottom w:type="dxa" w:w="80"/>
              <w:right w:type="dxa" w:w="120"/>
            </w:tcMar>
          </w:tcPr>
          <w:p>
            <w:r>
              <w:rPr>
                <w:rFonts w:ascii="Arial" w:cs="Arial" w:eastAsia="Arial" w:hAnsi="Arial"/>
                <w:color w:val="222222"/>
                <w:sz w:val="18"/>
                <w:szCs w:val="18"/>
              </w:rPr>
              <w:t xml:space="preserve">Tamil Nadu Export Promotion and Guidance Bureau (under TIDCO)</w:t>
            </w:r>
          </w:p>
        </w:tc>
        <w:tc>
          <w:tcPr>
            <w:tcW w:type="dxa" w:w="4200"/>
            <w:shd w:fill="FFFFFF" w:val="clear"/>
            <w:tcMar>
              <w:top w:type="dxa" w:w="80"/>
              <w:left w:type="dxa" w:w="120"/>
              <w:bottom w:type="dxa" w:w="80"/>
              <w:right w:type="dxa" w:w="120"/>
            </w:tcMar>
          </w:tcPr>
          <w:p>
            <w:r>
              <w:rPr>
                <w:rFonts w:ascii="Arial" w:cs="Arial" w:eastAsia="Arial" w:hAnsi="Arial"/>
                <w:color w:val="222222"/>
                <w:sz w:val="18"/>
                <w:szCs w:val="18"/>
              </w:rPr>
              <w:t xml:space="preserve">Dedicated investor relations function; multimedia investment presentations; structured query response for FDI prospects (Ford evaluation, 1994–95)</w:t>
            </w:r>
          </w:p>
        </w:tc>
      </w:tr>
      <w:tr>
        <w:tc>
          <w:tcPr>
            <w:tcW w:type="dxa" w:w="1800"/>
            <w:shd w:fill="F2F7FC" w:val="clear"/>
            <w:tcMar>
              <w:top w:type="dxa" w:w="80"/>
              <w:left w:type="dxa" w:w="120"/>
              <w:bottom w:type="dxa" w:w="80"/>
              <w:right w:type="dxa" w:w="120"/>
            </w:tcMar>
          </w:tcPr>
          <w:p>
            <w:r>
              <w:rPr>
                <w:rFonts w:ascii="Arial" w:cs="Arial" w:eastAsia="Arial" w:hAnsi="Arial"/>
                <w:color w:val="222222"/>
                <w:sz w:val="18"/>
                <w:szCs w:val="18"/>
              </w:rPr>
              <w:t xml:space="preserve">Single-Window transition</w:t>
            </w:r>
          </w:p>
        </w:tc>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Late 1990s–2005</w:t>
            </w:r>
          </w:p>
        </w:tc>
        <w:tc>
          <w:tcPr>
            <w:tcW w:type="dxa" w:w="2660"/>
            <w:shd w:fill="F2F7FC" w:val="clear"/>
            <w:tcMar>
              <w:top w:type="dxa" w:w="80"/>
              <w:left w:type="dxa" w:w="120"/>
              <w:bottom w:type="dxa" w:w="80"/>
              <w:right w:type="dxa" w:w="120"/>
            </w:tcMar>
          </w:tcPr>
          <w:p>
            <w:r>
              <w:rPr>
                <w:rFonts w:ascii="Arial" w:cs="Arial" w:eastAsia="Arial" w:hAnsi="Arial"/>
                <w:color w:val="222222"/>
                <w:sz w:val="18"/>
                <w:szCs w:val="18"/>
              </w:rPr>
              <w:t xml:space="preserve">Evolving mandate within TIDCO framework</w:t>
            </w:r>
          </w:p>
        </w:tc>
        <w:tc>
          <w:tcPr>
            <w:tcW w:type="dxa" w:w="4200"/>
            <w:shd w:fill="F2F7FC" w:val="clear"/>
            <w:tcMar>
              <w:top w:type="dxa" w:w="80"/>
              <w:left w:type="dxa" w:w="120"/>
              <w:bottom w:type="dxa" w:w="80"/>
              <w:right w:type="dxa" w:w="120"/>
            </w:tcMar>
          </w:tcPr>
          <w:p>
            <w:r>
              <w:rPr>
                <w:rFonts w:ascii="Arial" w:cs="Arial" w:eastAsia="Arial" w:hAnsi="Arial"/>
                <w:color w:val="222222"/>
                <w:sz w:val="18"/>
                <w:szCs w:val="18"/>
              </w:rPr>
              <w:t xml:space="preserve">Coordinated clearance across departments; investor-specific guarantees (power, water, infrastructure); IT sector facilitation</w:t>
            </w:r>
          </w:p>
        </w:tc>
      </w:tr>
      <w:tr>
        <w:tc>
          <w:tcPr>
            <w:tcW w:type="dxa" w:w="1800"/>
            <w:shd w:fill="FFFFFF" w:val="clear"/>
            <w:tcMar>
              <w:top w:type="dxa" w:w="80"/>
              <w:left w:type="dxa" w:w="120"/>
              <w:bottom w:type="dxa" w:w="80"/>
              <w:right w:type="dxa" w:w="120"/>
            </w:tcMar>
          </w:tcPr>
          <w:p>
            <w:r>
              <w:rPr>
                <w:rFonts w:ascii="Arial" w:cs="Arial" w:eastAsia="Arial" w:hAnsi="Arial"/>
                <w:color w:val="222222"/>
                <w:sz w:val="18"/>
                <w:szCs w:val="18"/>
              </w:rPr>
              <w:t xml:space="preserve">Guidance Tamil Nadu (standalone)</w:t>
            </w:r>
          </w:p>
        </w:tc>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2015 onwards</w:t>
            </w:r>
          </w:p>
        </w:tc>
        <w:tc>
          <w:tcPr>
            <w:tcW w:type="dxa" w:w="2660"/>
            <w:shd w:fill="FFFFFF" w:val="clear"/>
            <w:tcMar>
              <w:top w:type="dxa" w:w="80"/>
              <w:left w:type="dxa" w:w="120"/>
              <w:bottom w:type="dxa" w:w="80"/>
              <w:right w:type="dxa" w:w="120"/>
            </w:tcMar>
          </w:tcPr>
          <w:p>
            <w:r>
              <w:rPr>
                <w:rFonts w:ascii="Arial" w:cs="Arial" w:eastAsia="Arial" w:hAnsi="Arial"/>
                <w:color w:val="222222"/>
                <w:sz w:val="18"/>
                <w:szCs w:val="18"/>
              </w:rPr>
              <w:t xml:space="preserve">Independent investment facilitation agency under Industries Dept</w:t>
            </w:r>
          </w:p>
        </w:tc>
        <w:tc>
          <w:tcPr>
            <w:tcW w:type="dxa" w:w="4200"/>
            <w:shd w:fill="FFFFFF" w:val="clear"/>
            <w:tcMar>
              <w:top w:type="dxa" w:w="80"/>
              <w:left w:type="dxa" w:w="120"/>
              <w:bottom w:type="dxa" w:w="80"/>
              <w:right w:type="dxa" w:w="120"/>
            </w:tcMar>
          </w:tcPr>
          <w:p>
            <w:r>
              <w:rPr>
                <w:rFonts w:ascii="Arial" w:cs="Arial" w:eastAsia="Arial" w:hAnsi="Arial"/>
                <w:color w:val="222222"/>
                <w:sz w:val="18"/>
                <w:szCs w:val="18"/>
              </w:rPr>
              <w:t xml:space="preserve">Sector desks; real-time MoU tracking; 30-day clearance commitment; dedicated Foxconn Desk (2022–25) reducing approval time from 180 to under 60 days</w:t>
            </w:r>
          </w:p>
        </w:tc>
      </w:tr>
      <w:tr>
        <w:tc>
          <w:tcPr>
            <w:tcW w:type="dxa" w:w="1800"/>
            <w:shd w:fill="F2F7FC" w:val="clear"/>
            <w:tcMar>
              <w:top w:type="dxa" w:w="80"/>
              <w:left w:type="dxa" w:w="120"/>
              <w:bottom w:type="dxa" w:w="80"/>
              <w:right w:type="dxa" w:w="120"/>
            </w:tcMar>
          </w:tcPr>
          <w:p>
            <w:r>
              <w:rPr>
                <w:rFonts w:ascii="Arial" w:cs="Arial" w:eastAsia="Arial" w:hAnsi="Arial"/>
                <w:color w:val="222222"/>
                <w:sz w:val="18"/>
                <w:szCs w:val="18"/>
              </w:rPr>
              <w:t xml:space="preserve">Digital facilitation layer</w:t>
            </w:r>
          </w:p>
        </w:tc>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2021–2026</w:t>
            </w:r>
          </w:p>
        </w:tc>
        <w:tc>
          <w:tcPr>
            <w:tcW w:type="dxa" w:w="2660"/>
            <w:shd w:fill="F2F7FC" w:val="clear"/>
            <w:tcMar>
              <w:top w:type="dxa" w:w="80"/>
              <w:left w:type="dxa" w:w="120"/>
              <w:bottom w:type="dxa" w:w="80"/>
              <w:right w:type="dxa" w:w="120"/>
            </w:tcMar>
          </w:tcPr>
          <w:p>
            <w:r>
              <w:rPr>
                <w:rFonts w:ascii="Arial" w:cs="Arial" w:eastAsia="Arial" w:hAnsi="Arial"/>
                <w:color w:val="222222"/>
                <w:sz w:val="18"/>
                <w:szCs w:val="18"/>
              </w:rPr>
              <w:t xml:space="preserve">Guidance Tamil Nadu integrated with IFHRMS/state systems</w:t>
            </w:r>
          </w:p>
        </w:tc>
        <w:tc>
          <w:tcPr>
            <w:tcW w:type="dxa" w:w="4200"/>
            <w:shd w:fill="F2F7FC" w:val="clear"/>
            <w:tcMar>
              <w:top w:type="dxa" w:w="80"/>
              <w:left w:type="dxa" w:w="120"/>
              <w:bottom w:type="dxa" w:w="80"/>
              <w:right w:type="dxa" w:w="120"/>
            </w:tcMar>
          </w:tcPr>
          <w:p>
            <w:r>
              <w:rPr>
                <w:rFonts w:ascii="Arial" w:cs="Arial" w:eastAsia="Arial" w:hAnsi="Arial"/>
                <w:color w:val="222222"/>
                <w:sz w:val="18"/>
                <w:szCs w:val="18"/>
              </w:rPr>
              <w:t xml:space="preserve">Online single-window portal; investment pipeline monitoring; Conversion Conclave (2026: ₹12.37 lakh crore; 73.5% conversion rate)</w:t>
            </w:r>
          </w:p>
        </w:tc>
      </w:tr>
    </w:tbl>
    <w:p>
      <w:pPr>
        <w:spacing w:after="60" w:before="40"/>
        <w:jc w:val="both"/>
      </w:pPr>
      <w:r>
        <w:rPr>
          <w:rFonts w:ascii="Arial" w:cs="Arial" w:eastAsia="Arial" w:hAnsi="Arial"/>
          <w:i/>
          <w:color w:val="666666"/>
          <w:sz w:val="16"/>
          <w:szCs w:val="16"/>
        </w:rPr>
        <w:t xml:space="preserve">Sources: TIDCO Annual Report 2024; Guidance Tamil Nadu investment facilitation records; Tamil Nadu Industries Department MoU database; Conversion Conclave 2026 proceedings. Foxconn Desk approval timelines from Guidance Tamil Nadu press release, October 2024.</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progression from TIDCO’s 1965 mandate to Guidance Tamil Nadu’s 2025 operations represents sixty years of continuous institutional learning about what investors need and how a state government can credibly deliver it. Each transition preserved the accumulated knowledge of the previous phase while adding new capabilities: the Export Promotion Bureau added professional investor relations to TIDCO’s deal-making; the single-window architecture added coordinated clearance to the presentation capability; Guidance added digital tracking and sector specialisation to the clearance infrastructure. The result is an investment facilitation system whose depth — in institutional memory, relationships, and procedural capability — is genuinely difficult for other states to replicate quickly, regardless of the incentive packages they offer.</w:t>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The Guidance Advantage: When a global electronics manufacturer evaluates an Indian investment location, the quality of the investment facilitation agency’s response — its speed, accuracy, and follow-through on commitments — is often as important as land cost or tax incentives. Tamil Nadu’s ability to provide credible, detailed, and accurate responses to investor queries dates to the Ford evaluation of 1994–95, when TIDCO’s Export Promotion Bureau assembled a professional multimedia presentation and answered hundreds of technical queries in a structured framework. That capability, institutionalised and progressively upgraded over thirty years, is Guidance Tamil Nadu’s most durable competitive advantage.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TIDCO’s Unique Contribution: Most Indian states had land agencies and finance corporations. Very few had an institution designed to actively partner with the private sector in building industries from the ground up. TIDCO was Tamil Nadu’s industrial venture builder — willing to take equity stakes, absorb early project risks, and bring in global capital partners at a time when Tamil Nadu’s brand as an investment destination was still being established. The institutions TIDCO helped create — Titan, SPIC, TIDEL, the Ascendas campus — are the compounded return on that investment.</w:t>
            </w:r>
          </w:p>
        </w:tc>
      </w:tr>
    </w:tbl>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800"/>
        <w:gridCol w:w="700"/>
        <w:gridCol w:w="2360"/>
        <w:gridCol w:w="3500"/>
      </w:tblGrid>
      <w:tr>
        <w:trPr>
          <w:tblHeader/>
        </w:trPr>
        <w:tc>
          <w:tcPr>
            <w:tcW w:type="dxa" w:w="2800"/>
            <w:shd w:fill="1F3864" w:val="clear"/>
            <w:tcMar>
              <w:top w:type="dxa" w:w="80"/>
              <w:left w:type="dxa" w:w="120"/>
              <w:bottom w:type="dxa" w:w="80"/>
              <w:right w:type="dxa" w:w="120"/>
            </w:tcMar>
          </w:tcPr>
          <w:p>
            <w:r>
              <w:rPr>
                <w:rFonts w:ascii="Arial" w:cs="Arial" w:eastAsia="Arial" w:hAnsi="Arial"/>
                <w:b/>
                <w:bCs/>
                <w:color w:val="FFFFFF"/>
                <w:sz w:val="18"/>
                <w:szCs w:val="18"/>
              </w:rPr>
              <w:t xml:space="preserve">TIDCO-Facilitated Venture</w:t>
            </w:r>
          </w:p>
        </w:tc>
        <w:tc>
          <w:tcPr>
            <w:tcW w:type="dxa" w:w="700"/>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2360"/>
            <w:shd w:fill="1F3864" w:val="clear"/>
            <w:tcMar>
              <w:top w:type="dxa" w:w="80"/>
              <w:left w:type="dxa" w:w="120"/>
              <w:bottom w:type="dxa" w:w="80"/>
              <w:right w:type="dxa" w:w="120"/>
            </w:tcMar>
          </w:tcPr>
          <w:p>
            <w:r>
              <w:rPr>
                <w:rFonts w:ascii="Arial" w:cs="Arial" w:eastAsia="Arial" w:hAnsi="Arial"/>
                <w:b/>
                <w:bCs/>
                <w:color w:val="FFFFFF"/>
                <w:sz w:val="18"/>
                <w:szCs w:val="18"/>
              </w:rPr>
              <w:t xml:space="preserve">Partner(s)</w:t>
            </w:r>
          </w:p>
        </w:tc>
        <w:tc>
          <w:tcPr>
            <w:tcW w:type="dxa" w:w="3500"/>
            <w:shd w:fill="1F3864"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Titan Company</w:t>
            </w:r>
          </w:p>
        </w:tc>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1984</w:t>
            </w:r>
          </w:p>
        </w:tc>
        <w:tc>
          <w:tcPr>
            <w:tcW w:type="dxa" w:w="2360"/>
            <w:shd w:fill="F2F7FC" w:val="clear"/>
            <w:tcMar>
              <w:top w:type="dxa" w:w="80"/>
              <w:left w:type="dxa" w:w="120"/>
              <w:bottom w:type="dxa" w:w="80"/>
              <w:right w:type="dxa" w:w="120"/>
            </w:tcMar>
          </w:tcPr>
          <w:p>
            <w:r>
              <w:rPr>
                <w:rFonts w:ascii="Arial" w:cs="Arial" w:eastAsia="Arial" w:hAnsi="Arial"/>
                <w:color w:val="222222"/>
                <w:sz w:val="18"/>
                <w:szCs w:val="18"/>
              </w:rPr>
              <w:t xml:space="preserve">Tata Group</w:t>
            </w:r>
          </w:p>
        </w:tc>
        <w:tc>
          <w:tcPr>
            <w:tcW w:type="dxa" w:w="3500"/>
            <w:shd w:fill="F2F7FC" w:val="clear"/>
            <w:tcMar>
              <w:top w:type="dxa" w:w="80"/>
              <w:left w:type="dxa" w:w="120"/>
              <w:bottom w:type="dxa" w:w="80"/>
              <w:right w:type="dxa" w:w="120"/>
            </w:tcMar>
          </w:tcPr>
          <w:p>
            <w:r>
              <w:rPr>
                <w:rFonts w:ascii="Arial" w:cs="Arial" w:eastAsia="Arial" w:hAnsi="Arial"/>
                <w:color w:val="222222"/>
                <w:sz w:val="18"/>
                <w:szCs w:val="18"/>
              </w:rPr>
              <w:t xml:space="preserve">India’s leading consumer brand; SIPCOT Hosur complex anchor</w:t>
            </w:r>
          </w:p>
        </w:tc>
      </w:tr>
      <w:tr>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SPIC (Southern Petrochemicals)</w:t>
            </w:r>
          </w:p>
        </w:tc>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1969</w:t>
            </w:r>
          </w:p>
        </w:tc>
        <w:tc>
          <w:tcPr>
            <w:tcW w:type="dxa" w:w="2360"/>
            <w:shd w:fill="FFFFFF" w:val="clear"/>
            <w:tcMar>
              <w:top w:type="dxa" w:w="80"/>
              <w:left w:type="dxa" w:w="120"/>
              <w:bottom w:type="dxa" w:w="80"/>
              <w:right w:type="dxa" w:w="120"/>
            </w:tcMar>
          </w:tcPr>
          <w:p>
            <w:r>
              <w:rPr>
                <w:rFonts w:ascii="Arial" w:cs="Arial" w:eastAsia="Arial" w:hAnsi="Arial"/>
                <w:color w:val="222222"/>
                <w:sz w:val="18"/>
                <w:szCs w:val="18"/>
              </w:rPr>
              <w:t xml:space="preserve">Private consortium</w:t>
            </w:r>
          </w:p>
        </w:tc>
        <w:tc>
          <w:tcPr>
            <w:tcW w:type="dxa" w:w="3500"/>
            <w:shd w:fill="FFFFFF" w:val="clear"/>
            <w:tcMar>
              <w:top w:type="dxa" w:w="80"/>
              <w:left w:type="dxa" w:w="120"/>
              <w:bottom w:type="dxa" w:w="80"/>
              <w:right w:type="dxa" w:w="120"/>
            </w:tcMar>
          </w:tcPr>
          <w:p>
            <w:r>
              <w:rPr>
                <w:rFonts w:ascii="Arial" w:cs="Arial" w:eastAsia="Arial" w:hAnsi="Arial"/>
                <w:color w:val="222222"/>
                <w:sz w:val="18"/>
                <w:szCs w:val="18"/>
              </w:rPr>
              <w:t xml:space="preserve">Anchored TN chemical and fertiliser industry</w:t>
            </w:r>
          </w:p>
        </w:tc>
      </w:tr>
      <w:tr>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TIDEL Park, OMR</w:t>
            </w:r>
          </w:p>
        </w:tc>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2000</w:t>
            </w:r>
          </w:p>
        </w:tc>
        <w:tc>
          <w:tcPr>
            <w:tcW w:type="dxa" w:w="2360"/>
            <w:shd w:fill="F2F7FC" w:val="clear"/>
            <w:tcMar>
              <w:top w:type="dxa" w:w="80"/>
              <w:left w:type="dxa" w:w="120"/>
              <w:bottom w:type="dxa" w:w="80"/>
              <w:right w:type="dxa" w:w="120"/>
            </w:tcMar>
          </w:tcPr>
          <w:p>
            <w:r>
              <w:rPr>
                <w:rFonts w:ascii="Arial" w:cs="Arial" w:eastAsia="Arial" w:hAnsi="Arial"/>
                <w:color w:val="222222"/>
                <w:sz w:val="18"/>
                <w:szCs w:val="18"/>
              </w:rPr>
              <w:t xml:space="preserve">ELCOT (co-developer)</w:t>
            </w:r>
          </w:p>
        </w:tc>
        <w:tc>
          <w:tcPr>
            <w:tcW w:type="dxa" w:w="3500"/>
            <w:shd w:fill="F2F7FC" w:val="clear"/>
            <w:tcMar>
              <w:top w:type="dxa" w:w="80"/>
              <w:left w:type="dxa" w:w="120"/>
              <w:bottom w:type="dxa" w:w="80"/>
              <w:right w:type="dxa" w:w="120"/>
            </w:tcMar>
          </w:tcPr>
          <w:p>
            <w:r>
              <w:rPr>
                <w:rFonts w:ascii="Arial" w:cs="Arial" w:eastAsia="Arial" w:hAnsi="Arial"/>
                <w:color w:val="222222"/>
                <w:sz w:val="18"/>
                <w:szCs w:val="18"/>
              </w:rPr>
              <w:t xml:space="preserve">Largest IT park in Asia at inauguration; catalysed OMR corridor</w:t>
            </w:r>
          </w:p>
        </w:tc>
      </w:tr>
      <w:tr>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Ascendas IT Park, Chennai</w:t>
            </w:r>
          </w:p>
        </w:tc>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2000s</w:t>
            </w:r>
          </w:p>
        </w:tc>
        <w:tc>
          <w:tcPr>
            <w:tcW w:type="dxa" w:w="2360"/>
            <w:shd w:fill="FFFFFF" w:val="clear"/>
            <w:tcMar>
              <w:top w:type="dxa" w:w="80"/>
              <w:left w:type="dxa" w:w="120"/>
              <w:bottom w:type="dxa" w:w="80"/>
              <w:right w:type="dxa" w:w="120"/>
            </w:tcMar>
          </w:tcPr>
          <w:p>
            <w:r>
              <w:rPr>
                <w:rFonts w:ascii="Arial" w:cs="Arial" w:eastAsia="Arial" w:hAnsi="Arial"/>
                <w:color w:val="222222"/>
                <w:sz w:val="18"/>
                <w:szCs w:val="18"/>
              </w:rPr>
              <w:t xml:space="preserve">Ascendas (Singapore)</w:t>
            </w:r>
          </w:p>
        </w:tc>
        <w:tc>
          <w:tcPr>
            <w:tcW w:type="dxa" w:w="3500"/>
            <w:shd w:fill="FFFFFF" w:val="clear"/>
            <w:tcMar>
              <w:top w:type="dxa" w:w="80"/>
              <w:left w:type="dxa" w:w="120"/>
              <w:bottom w:type="dxa" w:w="80"/>
              <w:right w:type="dxa" w:w="120"/>
            </w:tcMar>
          </w:tcPr>
          <w:p>
            <w:r>
              <w:rPr>
                <w:rFonts w:ascii="Arial" w:cs="Arial" w:eastAsia="Arial" w:hAnsi="Arial"/>
                <w:color w:val="222222"/>
                <w:sz w:val="18"/>
                <w:szCs w:val="18"/>
              </w:rPr>
              <w:t xml:space="preserve">Brought institutional-grade Singaporean investment into Chennai IT</w:t>
            </w:r>
          </w:p>
        </w:tc>
      </w:tr>
      <w:tr>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TIDCO Investment Monitoring System</w:t>
            </w:r>
          </w:p>
        </w:tc>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2010s</w:t>
            </w:r>
          </w:p>
        </w:tc>
        <w:tc>
          <w:tcPr>
            <w:tcW w:type="dxa" w:w="2360"/>
            <w:shd w:fill="F2F7FC" w:val="clear"/>
            <w:tcMar>
              <w:top w:type="dxa" w:w="80"/>
              <w:left w:type="dxa" w:w="120"/>
              <w:bottom w:type="dxa" w:w="80"/>
              <w:right w:type="dxa" w:w="120"/>
            </w:tcMar>
          </w:tcPr>
          <w:p>
            <w:r>
              <w:rPr>
                <w:rFonts w:ascii="Arial" w:cs="Arial" w:eastAsia="Arial" w:hAnsi="Arial"/>
                <w:color w:val="222222"/>
                <w:sz w:val="18"/>
                <w:szCs w:val="18"/>
              </w:rPr>
              <w:t xml:space="preserve">Internal reform</w:t>
            </w:r>
          </w:p>
        </w:tc>
        <w:tc>
          <w:tcPr>
            <w:tcW w:type="dxa" w:w="3500"/>
            <w:shd w:fill="F2F7FC" w:val="clear"/>
            <w:tcMar>
              <w:top w:type="dxa" w:w="80"/>
              <w:left w:type="dxa" w:w="120"/>
              <w:bottom w:type="dxa" w:w="80"/>
              <w:right w:type="dxa" w:w="120"/>
            </w:tcMar>
          </w:tcPr>
          <w:p>
            <w:r>
              <w:rPr>
                <w:rFonts w:ascii="Arial" w:cs="Arial" w:eastAsia="Arial" w:hAnsi="Arial"/>
                <w:color w:val="222222"/>
                <w:sz w:val="18"/>
                <w:szCs w:val="18"/>
              </w:rPr>
              <w:t xml:space="preserve">Institutionalised project pipeline tracking and investor follow-up</w:t>
            </w:r>
          </w:p>
        </w:tc>
      </w:tr>
      <w:tr>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Guidance Tamil Nadu (successor)</w:t>
            </w:r>
          </w:p>
        </w:tc>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1992–present</w:t>
            </w:r>
          </w:p>
        </w:tc>
        <w:tc>
          <w:tcPr>
            <w:tcW w:type="dxa" w:w="2360"/>
            <w:shd w:fill="FFFFFF" w:val="clear"/>
            <w:tcMar>
              <w:top w:type="dxa" w:w="80"/>
              <w:left w:type="dxa" w:w="120"/>
              <w:bottom w:type="dxa" w:w="80"/>
              <w:right w:type="dxa" w:w="120"/>
            </w:tcMar>
          </w:tcPr>
          <w:p>
            <w:r>
              <w:rPr>
                <w:rFonts w:ascii="Arial" w:cs="Arial" w:eastAsia="Arial" w:hAnsi="Arial"/>
                <w:color w:val="222222"/>
                <w:sz w:val="18"/>
                <w:szCs w:val="18"/>
              </w:rPr>
              <w:t xml:space="preserve">GoTN umbrella</w:t>
            </w:r>
          </w:p>
        </w:tc>
        <w:tc>
          <w:tcPr>
            <w:tcW w:type="dxa" w:w="3500"/>
            <w:shd w:fill="FFFFFF" w:val="clear"/>
            <w:tcMar>
              <w:top w:type="dxa" w:w="80"/>
              <w:left w:type="dxa" w:w="120"/>
              <w:bottom w:type="dxa" w:w="80"/>
              <w:right w:type="dxa" w:w="120"/>
            </w:tcMar>
          </w:tcPr>
          <w:p>
            <w:r>
              <w:rPr>
                <w:rFonts w:ascii="Arial" w:cs="Arial" w:eastAsia="Arial" w:hAnsi="Arial"/>
                <w:color w:val="222222"/>
                <w:sz w:val="18"/>
                <w:szCs w:val="18"/>
              </w:rPr>
              <w:t xml:space="preserve">Single-window clearance; modern successor to TIDCO facilitation mandate</w:t>
            </w:r>
          </w:p>
        </w:tc>
      </w:tr>
    </w:tbl>
    <w:p>
      <w:pPr>
        <w:pStyle w:val="Heading2"/>
        <w:spacing w:after="120" w:before="280"/>
      </w:pPr>
      <w:r>
        <w:rPr>
          <w:rFonts w:ascii="Arial" w:cs="Arial" w:eastAsia="Arial" w:hAnsi="Arial"/>
          <w:b/>
          <w:bCs/>
          <w:color w:val="2E5FA3"/>
          <w:sz w:val="24"/>
          <w:szCs w:val="24"/>
        </w:rPr>
        <w:t xml:space="preserve">1.5 Technical Education as Industrial Infrastructure</w:t>
      </w:r>
    </w:p>
    <w:p>
      <w:pPr>
        <w:spacing w:after="80" w:before="80" w:line="276"/>
        <w:jc w:val="both"/>
      </w:pPr>
      <w:r>
        <w:rPr>
          <w:rFonts w:ascii="Arial" w:cs="Arial" w:eastAsia="Arial" w:hAnsi="Arial"/>
          <w:color w:val="222222"/>
          <w:sz w:val="20"/>
          <w:szCs w:val="20"/>
        </w:rPr>
        <w:t xml:space="preserve">Tamil Nadu’s industrial institutions — SIPCOT’s land banks, SIDCO’s factory sheds, TIDCO’s investor facilitation, TIIC’s finance pipelines — are widely discussed in analyses of the state’s industrial success. Less frequently analysed, but equally consequential, is the parallel institution-building effort in technical education that created the skilled workforce those industrial institutions required. Industrial infrastructure attracts investment. Workforce infrastructure determines whether that investment can operate, scale, and sustain productivity. Tamil Nadu built both, deliberately and in parallel, over the same five-decade period. The result is a human capital endowment that is today as much a competitive advantage as any SIPCOT complex or Guidance Tamil Nadu facilitation desk.</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1.5.1 The Technical Education Foundation: Polytechnics and ITIs</w:t>
      </w:r>
    </w:p>
    <w:p>
      <w:pPr>
        <w:spacing w:after="80" w:before="80" w:line="276"/>
        <w:jc w:val="both"/>
      </w:pPr>
      <w:r>
        <w:rPr>
          <w:rFonts w:ascii="Arial" w:cs="Arial" w:eastAsia="Arial" w:hAnsi="Arial"/>
          <w:color w:val="222222"/>
          <w:sz w:val="20"/>
          <w:szCs w:val="20"/>
        </w:rPr>
        <w:t xml:space="preserve">The foundation of Tamil Nadu’s technical workforce pipeline is a network of government polytechnics and Industrial Training Institutes (ITIs) systematically expanded from the 1960s onward. By the late 1980s, Tamil Nadu operated the largest state-government polytechnic network in India, with over 65 government polytechnics offering diploma programmes in mechanical, electrical, civil, and electronics engineering. ITIs concentrated on certificate-level trade training calibrated to manufacturing floor requirements: machinist, fitter, welder, electrician, and electronics technician — the occupational categories that automotive OEMs and electronics manufacturers require in the largest numbers. The 1989 Industrial Policy’s emphasis on quality certification for small enterprises reflected an understanding that technical workforce capability was a precondition for export competitiveness, not merely a social investment.</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geographic distribution of this polytechnic and ITI network was not random. Institutions were concentrated in the districts where SIPCOT industrial estates were being developed — Hosur, Coimbatore, Ranipet, Ambattur — creating a spatial alignment between workforce supply and industrial demand that compounded over time. An automotive firm evaluating Hosur in 1998 found not only a SIPCOT industrial complex with serviced land but a district with an existing reservoir of diploma-level engineering graduates and ITI-trained technicians produced by institutions placed there twenty years earlier. The workforce infrastructure was already there because the educational institutions had been built alongside the industrial ones.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1.5.2 Engineering Colleges and the Anna University Ecosystem</w:t>
      </w:r>
    </w:p>
    <w:p>
      <w:pPr>
        <w:spacing w:after="80" w:before="80" w:line="276"/>
        <w:jc w:val="both"/>
      </w:pPr>
      <w:r>
        <w:rPr>
          <w:rFonts w:ascii="Arial" w:cs="Arial" w:eastAsia="Arial" w:hAnsi="Arial"/>
          <w:color w:val="222222"/>
          <w:sz w:val="20"/>
          <w:szCs w:val="20"/>
        </w:rPr>
        <w:t xml:space="preserve">The expansion of private engineering colleges, from the 1980s onward, created a graduate-level engineering talent pool that differentiated Tamil Nadu from virtually every other Indian industrial location. By 2010, with over 550 engineering colleges affiliated to Anna University — established 1978, incorporating the College of Engineering Guindy (est. 1794, one of Asia’s oldest engineering institutions), the Madras Institute of Technology, and other constituent colleges — Tamil Nadu was producing more engineering graduates annually than most countries produce in total. IIT Madras (est. 1959) and the National Institute of Technology, Tiruchirappalli, anchored the research-intensive end of this ecosystem, producing the postgraduate engineers and technical managers that R&amp;D centres and GCCs require. CIPET (Central Institute of Petrochemicals Engineering and Technology), Chennai, trained the polymer and plastics engineers that the automotive components sector required at scale.</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What made this scale industrially significant was not merely the number of institutions but Anna University’s role in maintaining curriculum coherence across all of them. As the affiliating body for over 550 engineering colleges, Anna University set common syllabi, conducted centralised examinations, and established academic standards that ensured a degree from a self-financing engineering college in Sivakasi or Vellore certified the same foundational competencies as one from a government institution in Chennai. This curriculum standardisation was an industrial infrastructure decision as much as an academic one: it meant that a Hyundai or Nokia HR team recruiting across Tamil Nadu could rely on a consistent baseline of technical knowledge regardless of which affiliated college a candidate attended. Self-financing engineering colleges — whose rapid expansion from the 1990s onward was enabled by the policy allowing private groups to establish institutions — channelled private capital into engineering education at a pace the state government budget could never have matched, while Anna University’s affiliation system ensured that this expansion did not fragment into inconsistent quality. The combination produced Tamil Nadu’s defining competitive asset: a large, geographically distributed, quality-standardised engineering graduate cohort available to every major investor in every industrial corridor. TCS, Cognizant, and Infosys built their Chennai delivery centres knowing this pipeline existed. Nokia and Foxconn staffed their Sriperumbudur and Hosur facilities from it. The GCC ecosystem’s growth from TIDEL Park to 500+ centres required it.</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By the 2000s, Tamil Nadu had built one of the world’s largest engineering education ecosystems in absolute terms. With over 400 engineering colleges by 2005 and more than 550 Anna University affiliates by 2010, the state was producing in excess of 150,000 engineering graduates annually — a volume that made Tamil Nadu’s talent supply internationally significant, not merely nationally competitive. This scale became a decisive competitive advantage across every sector of Tamil Nadu’s industrial base. The automobile industry’s ability to staff Hyundai, Ford, Renault-Nissan, and their combined supplier ecosystems simultaneously, without wage inflation eliminating cost competitiveness, depended on this graduate volume. The electronics manufacturing sector’s ability to scale Nokia’s Sriperumbudur operation to world-class output levels, and then transition the same corridor to Foxconn and Apple supply chain operations, depended on a continuous supply of electronics-trained graduates available at the required rate. The GCC ecosystem’s ability to grow from TIDEL Park’s first tenants to 500+ Global Capability Centres without the talent constraints that throttled equivalent growth in Bengaluru depended on the same supply base. Tamil Nadu’s industrial estates and investor facilitation infrastructure attracted companies to the state. Tamil Nadu’s engineering graduate supply gave them a reason to stay and scale.</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1.5.3 The Workforce Pipeline Connected to Industrial Waves</w:t>
      </w:r>
    </w:p>
    <w:p>
      <w:pPr>
        <w:spacing w:after="80" w:before="80" w:line="276"/>
        <w:jc w:val="both"/>
      </w:pPr>
      <w:r>
        <w:rPr>
          <w:rFonts w:ascii="Arial" w:cs="Arial" w:eastAsia="Arial" w:hAnsi="Arial"/>
          <w:color w:val="222222"/>
          <w:sz w:val="20"/>
          <w:szCs w:val="20"/>
        </w:rPr>
        <w:t xml:space="preserve">The human capital institutions built from the 1960s onward created a tiered workforce pipeline that matched the tiered skill requirements of Tamil Nadu’s successive industrial waves. Each tier was supplied by a different set of institutions, built over different decades, but the cumulative result by the early 2000s was a complete workforce supply system that no other Indian state had assembled at comparable depth.</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900"/>
        <w:gridCol w:w="2700"/>
        <w:gridCol w:w="2160"/>
        <w:gridCol w:w="2600"/>
      </w:tblGrid>
      <w:tr>
        <w:trPr>
          <w:tblHeader/>
        </w:trPr>
        <w:tc>
          <w:tcPr>
            <w:tcW w:type="dxa" w:w="1900"/>
            <w:shd w:fill="1F3864" w:val="clear"/>
            <w:tcMar>
              <w:top w:type="dxa" w:w="80"/>
              <w:left w:type="dxa" w:w="120"/>
              <w:bottom w:type="dxa" w:w="80"/>
              <w:right w:type="dxa" w:w="120"/>
            </w:tcMar>
          </w:tcPr>
          <w:p>
            <w:r>
              <w:rPr>
                <w:rFonts w:ascii="Arial" w:cs="Arial" w:eastAsia="Arial" w:hAnsi="Arial"/>
                <w:b/>
                <w:bCs/>
                <w:color w:val="FFFFFF"/>
                <w:sz w:val="18"/>
                <w:szCs w:val="18"/>
              </w:rPr>
              <w:t xml:space="preserve">Workforce Tier</w:t>
            </w:r>
          </w:p>
        </w:tc>
        <w:tc>
          <w:tcPr>
            <w:tcW w:type="dxa" w:w="2700"/>
            <w:shd w:fill="1F3864" w:val="clear"/>
            <w:tcMar>
              <w:top w:type="dxa" w:w="80"/>
              <w:left w:type="dxa" w:w="120"/>
              <w:bottom w:type="dxa" w:w="80"/>
              <w:right w:type="dxa" w:w="120"/>
            </w:tcMar>
          </w:tcPr>
          <w:p>
            <w:r>
              <w:rPr>
                <w:rFonts w:ascii="Arial" w:cs="Arial" w:eastAsia="Arial" w:hAnsi="Arial"/>
                <w:b/>
                <w:bCs/>
                <w:color w:val="FFFFFF"/>
                <w:sz w:val="18"/>
                <w:szCs w:val="18"/>
              </w:rPr>
              <w:t xml:space="preserve">Institution Type</w:t>
            </w:r>
          </w:p>
        </w:tc>
        <w:tc>
          <w:tcPr>
            <w:tcW w:type="dxa" w:w="2160"/>
            <w:shd w:fill="1F3864" w:val="clear"/>
            <w:tcMar>
              <w:top w:type="dxa" w:w="80"/>
              <w:left w:type="dxa" w:w="120"/>
              <w:bottom w:type="dxa" w:w="80"/>
              <w:right w:type="dxa" w:w="120"/>
            </w:tcMar>
          </w:tcPr>
          <w:p>
            <w:r>
              <w:rPr>
                <w:rFonts w:ascii="Arial" w:cs="Arial" w:eastAsia="Arial" w:hAnsi="Arial"/>
                <w:b/>
                <w:bCs/>
                <w:color w:val="FFFFFF"/>
                <w:sz w:val="18"/>
                <w:szCs w:val="18"/>
              </w:rPr>
              <w:t xml:space="preserve">Scale by 2005</w:t>
            </w:r>
          </w:p>
        </w:tc>
        <w:tc>
          <w:tcPr>
            <w:tcW w:type="dxa" w:w="2600"/>
            <w:shd w:fill="1F3864" w:val="clear"/>
            <w:tcMar>
              <w:top w:type="dxa" w:w="80"/>
              <w:left w:type="dxa" w:w="120"/>
              <w:bottom w:type="dxa" w:w="80"/>
              <w:right w:type="dxa" w:w="120"/>
            </w:tcMar>
          </w:tcPr>
          <w:p>
            <w:r>
              <w:rPr>
                <w:rFonts w:ascii="Arial" w:cs="Arial" w:eastAsia="Arial" w:hAnsi="Arial"/>
                <w:b/>
                <w:bCs/>
                <w:color w:val="FFFFFF"/>
                <w:sz w:val="18"/>
                <w:szCs w:val="18"/>
              </w:rPr>
              <w:t xml:space="preserve">Industrial Sector Served</w:t>
            </w:r>
          </w:p>
        </w:tc>
      </w:tr>
      <w:tr>
        <w:tc>
          <w:tcPr>
            <w:tcW w:type="dxa" w:w="1900"/>
            <w:shd w:fill="F2F7FC" w:val="clear"/>
            <w:tcMar>
              <w:top w:type="dxa" w:w="80"/>
              <w:left w:type="dxa" w:w="120"/>
              <w:bottom w:type="dxa" w:w="80"/>
              <w:right w:type="dxa" w:w="120"/>
            </w:tcMar>
          </w:tcPr>
          <w:p>
            <w:r>
              <w:rPr>
                <w:rFonts w:ascii="Arial" w:cs="Arial" w:eastAsia="Arial" w:hAnsi="Arial"/>
                <w:color w:val="222222"/>
                <w:sz w:val="18"/>
                <w:szCs w:val="18"/>
              </w:rPr>
              <w:t xml:space="preserve">Shop-floor technicians</w:t>
            </w:r>
          </w:p>
        </w:tc>
        <w:tc>
          <w:tcPr>
            <w:tcW w:type="dxa" w:w="2700"/>
            <w:shd w:fill="F2F7FC" w:val="clear"/>
            <w:tcMar>
              <w:top w:type="dxa" w:w="80"/>
              <w:left w:type="dxa" w:w="120"/>
              <w:bottom w:type="dxa" w:w="80"/>
              <w:right w:type="dxa" w:w="120"/>
            </w:tcMar>
          </w:tcPr>
          <w:p>
            <w:r>
              <w:rPr>
                <w:rFonts w:ascii="Arial" w:cs="Arial" w:eastAsia="Arial" w:hAnsi="Arial"/>
                <w:color w:val="222222"/>
                <w:sz w:val="18"/>
                <w:szCs w:val="18"/>
              </w:rPr>
              <w:t xml:space="preserve">ITIs (500+ centres)</w:t>
            </w:r>
          </w:p>
        </w:tc>
        <w:tc>
          <w:tcPr>
            <w:tcW w:type="dxa" w:w="2160"/>
            <w:shd w:fill="F2F7FC" w:val="clear"/>
            <w:tcMar>
              <w:top w:type="dxa" w:w="80"/>
              <w:left w:type="dxa" w:w="120"/>
              <w:bottom w:type="dxa" w:w="80"/>
              <w:right w:type="dxa" w:w="120"/>
            </w:tcMar>
          </w:tcPr>
          <w:p>
            <w:r>
              <w:rPr>
                <w:rFonts w:ascii="Arial" w:cs="Arial" w:eastAsia="Arial" w:hAnsi="Arial"/>
                <w:color w:val="222222"/>
                <w:sz w:val="18"/>
                <w:szCs w:val="18"/>
              </w:rPr>
              <w:t xml:space="preserve">Certificate-level; largest network in India</w:t>
            </w:r>
          </w:p>
        </w:tc>
        <w:tc>
          <w:tcPr>
            <w:tcW w:type="dxa" w:w="2600"/>
            <w:shd w:fill="F2F7FC" w:val="clear"/>
            <w:tcMar>
              <w:top w:type="dxa" w:w="80"/>
              <w:left w:type="dxa" w:w="120"/>
              <w:bottom w:type="dxa" w:w="80"/>
              <w:right w:type="dxa" w:w="120"/>
            </w:tcMar>
          </w:tcPr>
          <w:p>
            <w:r>
              <w:rPr>
                <w:rFonts w:ascii="Arial" w:cs="Arial" w:eastAsia="Arial" w:hAnsi="Arial"/>
                <w:color w:val="222222"/>
                <w:sz w:val="18"/>
                <w:szCs w:val="18"/>
              </w:rPr>
              <w:t xml:space="preserve">Automotive assembly, electronics, leather, textiles</w:t>
            </w:r>
          </w:p>
        </w:tc>
      </w:tr>
      <w:tr>
        <w:tc>
          <w:tcPr>
            <w:tcW w:type="dxa" w:w="1900"/>
            <w:shd w:fill="FFFFFF" w:val="clear"/>
            <w:tcMar>
              <w:top w:type="dxa" w:w="80"/>
              <w:left w:type="dxa" w:w="120"/>
              <w:bottom w:type="dxa" w:w="80"/>
              <w:right w:type="dxa" w:w="120"/>
            </w:tcMar>
          </w:tcPr>
          <w:p>
            <w:r>
              <w:rPr>
                <w:rFonts w:ascii="Arial" w:cs="Arial" w:eastAsia="Arial" w:hAnsi="Arial"/>
                <w:color w:val="222222"/>
                <w:sz w:val="18"/>
                <w:szCs w:val="18"/>
              </w:rPr>
              <w:t xml:space="preserve">Diploma engineers</w:t>
            </w:r>
          </w:p>
        </w:tc>
        <w:tc>
          <w:tcPr>
            <w:tcW w:type="dxa" w:w="2700"/>
            <w:shd w:fill="FFFFFF" w:val="clear"/>
            <w:tcMar>
              <w:top w:type="dxa" w:w="80"/>
              <w:left w:type="dxa" w:w="120"/>
              <w:bottom w:type="dxa" w:w="80"/>
              <w:right w:type="dxa" w:w="120"/>
            </w:tcMar>
          </w:tcPr>
          <w:p>
            <w:r>
              <w:rPr>
                <w:rFonts w:ascii="Arial" w:cs="Arial" w:eastAsia="Arial" w:hAnsi="Arial"/>
                <w:color w:val="222222"/>
                <w:sz w:val="18"/>
                <w:szCs w:val="18"/>
              </w:rPr>
              <w:t xml:space="preserve">Government and aided polytechnics (65+ government; 200+ total)</w:t>
            </w:r>
          </w:p>
        </w:tc>
        <w:tc>
          <w:tcPr>
            <w:tcW w:type="dxa" w:w="2160"/>
            <w:shd w:fill="FFFFFF" w:val="clear"/>
            <w:tcMar>
              <w:top w:type="dxa" w:w="80"/>
              <w:left w:type="dxa" w:w="120"/>
              <w:bottom w:type="dxa" w:w="80"/>
              <w:right w:type="dxa" w:w="120"/>
            </w:tcMar>
          </w:tcPr>
          <w:p>
            <w:r>
              <w:rPr>
                <w:rFonts w:ascii="Arial" w:cs="Arial" w:eastAsia="Arial" w:hAnsi="Arial"/>
                <w:color w:val="222222"/>
                <w:sz w:val="18"/>
                <w:szCs w:val="18"/>
              </w:rPr>
              <w:t xml:space="preserve">Largest polytechnic network among Indian states</w:t>
            </w:r>
          </w:p>
        </w:tc>
        <w:tc>
          <w:tcPr>
            <w:tcW w:type="dxa" w:w="2600"/>
            <w:shd w:fill="FFFFFF" w:val="clear"/>
            <w:tcMar>
              <w:top w:type="dxa" w:w="80"/>
              <w:left w:type="dxa" w:w="120"/>
              <w:bottom w:type="dxa" w:w="80"/>
              <w:right w:type="dxa" w:w="120"/>
            </w:tcMar>
          </w:tcPr>
          <w:p>
            <w:r>
              <w:rPr>
                <w:rFonts w:ascii="Arial" w:cs="Arial" w:eastAsia="Arial" w:hAnsi="Arial"/>
                <w:color w:val="222222"/>
                <w:sz w:val="18"/>
                <w:szCs w:val="18"/>
              </w:rPr>
              <w:t xml:space="preserve">Automotive components, electronics, precision engineering</w:t>
            </w:r>
          </w:p>
        </w:tc>
      </w:tr>
      <w:tr>
        <w:tc>
          <w:tcPr>
            <w:tcW w:type="dxa" w:w="1900"/>
            <w:shd w:fill="F2F7FC" w:val="clear"/>
            <w:tcMar>
              <w:top w:type="dxa" w:w="80"/>
              <w:left w:type="dxa" w:w="120"/>
              <w:bottom w:type="dxa" w:w="80"/>
              <w:right w:type="dxa" w:w="120"/>
            </w:tcMar>
          </w:tcPr>
          <w:p>
            <w:r>
              <w:rPr>
                <w:rFonts w:ascii="Arial" w:cs="Arial" w:eastAsia="Arial" w:hAnsi="Arial"/>
                <w:color w:val="222222"/>
                <w:sz w:val="18"/>
                <w:szCs w:val="18"/>
              </w:rPr>
              <w:t xml:space="preserve">Graduate engineers</w:t>
            </w:r>
          </w:p>
        </w:tc>
        <w:tc>
          <w:tcPr>
            <w:tcW w:type="dxa" w:w="2700"/>
            <w:shd w:fill="F2F7FC" w:val="clear"/>
            <w:tcMar>
              <w:top w:type="dxa" w:w="80"/>
              <w:left w:type="dxa" w:w="120"/>
              <w:bottom w:type="dxa" w:w="80"/>
              <w:right w:type="dxa" w:w="120"/>
            </w:tcMar>
          </w:tcPr>
          <w:p>
            <w:r>
              <w:rPr>
                <w:rFonts w:ascii="Arial" w:cs="Arial" w:eastAsia="Arial" w:hAnsi="Arial"/>
                <w:color w:val="222222"/>
                <w:sz w:val="18"/>
                <w:szCs w:val="18"/>
              </w:rPr>
              <w:t xml:space="preserve">Engineering colleges (400+ by 2005; 550+ Anna University affiliates by 2010)</w:t>
            </w:r>
          </w:p>
        </w:tc>
        <w:tc>
          <w:tcPr>
            <w:tcW w:type="dxa" w:w="2160"/>
            <w:shd w:fill="F2F7FC" w:val="clear"/>
            <w:tcMar>
              <w:top w:type="dxa" w:w="80"/>
              <w:left w:type="dxa" w:w="120"/>
              <w:bottom w:type="dxa" w:w="80"/>
              <w:right w:type="dxa" w:w="120"/>
            </w:tcMar>
          </w:tcPr>
          <w:p>
            <w:r>
              <w:rPr>
                <w:rFonts w:ascii="Arial" w:cs="Arial" w:eastAsia="Arial" w:hAnsi="Arial"/>
                <w:color w:val="222222"/>
                <w:sz w:val="18"/>
                <w:szCs w:val="18"/>
              </w:rPr>
              <w:t xml:space="preserve">Highest annual engineering graduate output in India</w:t>
            </w:r>
          </w:p>
        </w:tc>
        <w:tc>
          <w:tcPr>
            <w:tcW w:type="dxa" w:w="2600"/>
            <w:shd w:fill="F2F7FC" w:val="clear"/>
            <w:tcMar>
              <w:top w:type="dxa" w:w="80"/>
              <w:left w:type="dxa" w:w="120"/>
              <w:bottom w:type="dxa" w:w="80"/>
              <w:right w:type="dxa" w:w="120"/>
            </w:tcMar>
          </w:tcPr>
          <w:p>
            <w:r>
              <w:rPr>
                <w:rFonts w:ascii="Arial" w:cs="Arial" w:eastAsia="Arial" w:hAnsi="Arial"/>
                <w:color w:val="222222"/>
                <w:sz w:val="18"/>
                <w:szCs w:val="18"/>
              </w:rPr>
              <w:t xml:space="preserve">Automotive OEMs, electronics EMS, IT services, GCCs</w:t>
            </w:r>
          </w:p>
        </w:tc>
      </w:tr>
      <w:tr>
        <w:tc>
          <w:tcPr>
            <w:tcW w:type="dxa" w:w="1900"/>
            <w:shd w:fill="FFFFFF" w:val="clear"/>
            <w:tcMar>
              <w:top w:type="dxa" w:w="80"/>
              <w:left w:type="dxa" w:w="120"/>
              <w:bottom w:type="dxa" w:w="80"/>
              <w:right w:type="dxa" w:w="120"/>
            </w:tcMar>
          </w:tcPr>
          <w:p>
            <w:r>
              <w:rPr>
                <w:rFonts w:ascii="Arial" w:cs="Arial" w:eastAsia="Arial" w:hAnsi="Arial"/>
                <w:color w:val="222222"/>
                <w:sz w:val="18"/>
                <w:szCs w:val="18"/>
              </w:rPr>
              <w:t xml:space="preserve">Research engineers and managers</w:t>
            </w:r>
          </w:p>
        </w:tc>
        <w:tc>
          <w:tcPr>
            <w:tcW w:type="dxa" w:w="2700"/>
            <w:shd w:fill="FFFFFF" w:val="clear"/>
            <w:tcMar>
              <w:top w:type="dxa" w:w="80"/>
              <w:left w:type="dxa" w:w="120"/>
              <w:bottom w:type="dxa" w:w="80"/>
              <w:right w:type="dxa" w:w="120"/>
            </w:tcMar>
          </w:tcPr>
          <w:p>
            <w:r>
              <w:rPr>
                <w:rFonts w:ascii="Arial" w:cs="Arial" w:eastAsia="Arial" w:hAnsi="Arial"/>
                <w:color w:val="222222"/>
                <w:sz w:val="18"/>
                <w:szCs w:val="18"/>
              </w:rPr>
              <w:t xml:space="preserve">Anna University, IIT Madras, NIT Trichy, CIPET</w:t>
            </w:r>
          </w:p>
        </w:tc>
        <w:tc>
          <w:tcPr>
            <w:tcW w:type="dxa" w:w="2160"/>
            <w:shd w:fill="FFFFFF" w:val="clear"/>
            <w:tcMar>
              <w:top w:type="dxa" w:w="80"/>
              <w:left w:type="dxa" w:w="120"/>
              <w:bottom w:type="dxa" w:w="80"/>
              <w:right w:type="dxa" w:w="120"/>
            </w:tcMar>
          </w:tcPr>
          <w:p>
            <w:r>
              <w:rPr>
                <w:rFonts w:ascii="Arial" w:cs="Arial" w:eastAsia="Arial" w:hAnsi="Arial"/>
                <w:color w:val="222222"/>
                <w:sz w:val="18"/>
                <w:szCs w:val="18"/>
              </w:rPr>
              <w:t xml:space="preserve">Leading research ecosystem in South India</w:t>
            </w:r>
          </w:p>
        </w:tc>
        <w:tc>
          <w:tcPr>
            <w:tcW w:type="dxa" w:w="2600"/>
            <w:shd w:fill="FFFFFF" w:val="clear"/>
            <w:tcMar>
              <w:top w:type="dxa" w:w="80"/>
              <w:left w:type="dxa" w:w="120"/>
              <w:bottom w:type="dxa" w:w="80"/>
              <w:right w:type="dxa" w:w="120"/>
            </w:tcMar>
          </w:tcPr>
          <w:p>
            <w:r>
              <w:rPr>
                <w:rFonts w:ascii="Arial" w:cs="Arial" w:eastAsia="Arial" w:hAnsi="Arial"/>
                <w:color w:val="222222"/>
                <w:sz w:val="18"/>
                <w:szCs w:val="18"/>
              </w:rPr>
              <w:t xml:space="preserve">R&amp;D centres, GCCs, advanced manufacturing, aerospace</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connection between this pipeline and Tamil Nadu’s three industrial waves is direct. The automotive cluster’s ability to attract Hyundai, Ford, and Renault-Nissan rested in part on the assurance that diploma and graduate engineers were available in the volumes that large-scale manufacturing requires. Nokia’s Sriperumbudur facility, at its peak one of the world’s highest-volume mobile phone plants, employed predominantly diploma-level electronics technicians trained at Tamil Nadu polytechnics. The OMR IT corridor’s ability to scale from TIDEL Park to 500+ GCCs depended on the annual output of engineering graduates from Tamil Nadu’s college network — consistently the highest in India. Tamil Nadu’s GCC employers cite engineering talent availability, at cost and quality levels competitive with Bengaluru, as a primary location factor in their Chennai site decisions. (Sources: AICTE All India Survey on Higher Education; Anna University annual reports; Tamil Nadu Technical Education Department data.)</w:t>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The Sixth Pillar: This report has documented five pillars of Tamil Nadu’s industrial infrastructure: SIPCOT (land), SIDCO (MSME sheds), TIIC (finance), TIDCO (investor partnership), and Guidance Tamil Nadu (facilitation). Technical education institutions — ITIs, polytechnics, engineering colleges, and the Anna University ecosystem — constitute a sixth pillar of equal structural importance. Industrial land without skilled workers is an empty estate. Investor facilitation without workforce assurance is an incomplete pitch. The reason Tamil Nadu could credibly promise Ford, Hyundai, Nokia, and Foxconn not merely land and clearances but operational manufacturing capability is that the technical education pipeline had been built in parallel with the industrial infrastructure — and had been building for decades before any of those investors arrived.</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1.5.4 Democratising Technical Education: The Human Capital Foundations of Industrial Growth</w:t>
      </w:r>
    </w:p>
    <w:p>
      <w:pPr>
        <w:spacing w:after="80" w:before="80" w:line="276"/>
        <w:jc w:val="both"/>
      </w:pPr>
      <w:r>
        <w:rPr>
          <w:rFonts w:ascii="Arial" w:cs="Arial" w:eastAsia="Arial" w:hAnsi="Arial"/>
          <w:color w:val="222222"/>
          <w:sz w:val="20"/>
          <w:szCs w:val="20"/>
        </w:rPr>
        <w:t xml:space="preserve">Building the physical infrastructure of technical education — the polytechnics, ITIs, and engineering colleges discussed above — addressed the supply-side quantity of institutions. A second and analytically distinct challenge was ensuring that access to those institutions was not rationed by social background, family income, or geographic accident. Three policy interventions, introduced during Karunanidhi’s administrations, directly addressed this access constraint. Each is typically discussed as an education welfare measure. Each is more accurately understood as an industrial workforce policy that expanded the depth and diversity of Tamil Nadu’s engineering and technical labour supply.</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Tamil Nadu Engineering Admissions (TNEA) single-window counselling system, introduced in 1997, replaced a fragmented, opaque college-level admission process with a centralised, merit-based allocation mechanism. Before TNEA, admission to private engineering colleges depended on individual institutional processes that systematically favoured applicants with urban networks, private coaching, and social connections. TNEA replaced this with a transparent rank-based allocation across all participating colleges simultaneously. The industrial consequence was significant: first-generation engineering students from district towns, agricultural households, and OBC and SC communities gained access to degree programmes that had been effectively closed to them. The cohorts who passed through TNEA from 1997 onward entered the labour market from 2001 onward — precisely the years when Hyundai’s Sriperumbudur plant, the Nokia supply chain, and the OMR IT corridor were scaling their workforce requirements most rapidly. The timing was not coincidental; it reflected the same institutional logic that had placed polytechnics near SIPCOT estates twenty years earlier.</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abolition of the separate Engineering Entrance Examination in 2006, under Karunanidhi’s fifth administration, extended this access logic further. The entrance examination, however well-intentioned, had created a coaching-dependent filter that disproportionately excluded students from government schools, rural districts, and households without disposable income for private preparation. Replacing the entrance exam with Class 12 board marks as the sole admission criterion — through the TNEA system — removed a barrier that had concentrated engineering college intake among urban, private-school-educated applicants. The practical effect was a substantial widening of the socioeconomic base from which Tamil Nadu’s annual engineering graduate cohort was drawn. For the electronics manufacturing sector, which requires large volumes of assembly-grade and test engineers who do not need elite-institution credentials, this broadening directly expanded the available labour pool. Nokia’s Sriperumbudur plant, Samsung’s operations, and the Foxconn facility each drew heavily on diploma and degree graduates from Tamil Nadu’s second- and third-tier engineering colleges — colleges whose intake expanded precisely because the access barriers had been lowered.</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Financial support for first-generation graduates — students from households where no prior family member had completed higher education — addressed the third access constraint: the ability to remain in education when household income required early labour market entry. Tamil Nadu’s scholarship and fee-concession architecture, progressively expanded across multiple administrations, ensured that first-generation technical graduates could complete their programmes rather than dropping out under financial pressure. The cumulative effect of these three interventions — transparent admissions, examination removal, and financial support — was to make the engineering and technical graduate cohort substantially more representative of Tamil Nadu’s actual population than it would have been under the pre-1997 system. This is not primarily a social equity observation, though it is that too. It is an industrial workforce observation: a deeper, more diverse, and more geographically distributed talent pool produced engineers and technicians available in the districts where the factories were, rather than concentrated in Chennai and Coimbatore alone. The GCC ecosystem’s ability to staff operations in Chennai at scale, and the electronics corridor’s ability to recruit in Sriperumbudur and Hosur, both depend on the democratisation of engineering access that these policy decisions enabled.</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2. The Architect’s Blueprint: Karunanidhi and the Institutional Operating System</w:t>
      </w:r>
    </w:p>
    <w:p>
      <w:pPr>
        <w:spacing w:after="80" w:before="80" w:line="276"/>
        <w:jc w:val="both"/>
      </w:pPr>
      <w:r>
        <w:rPr>
          <w:rFonts w:ascii="Arial" w:cs="Arial" w:eastAsia="Arial" w:hAnsi="Arial"/>
          <w:color w:val="222222"/>
          <w:sz w:val="20"/>
          <w:szCs w:val="20"/>
        </w:rPr>
        <w:t xml:space="preserve">Any serious industrial history of Tamil Nadu must engage with a deceptively simple question: who built what? The conventional account attributes Tamil Nadu’s industrialisation to R. Venkataraman’s advocacy for Central PSUs in the 1957–1967 period — accurate, but incomplete. It identifies who lobbied for individual investments; it does not explain the institutional infrastructure that made Tamil Nadu capable of sustaining and expanding industrial investment across five decades, four global manufacturing cycles, and multiple changes of government. That infrastructure was substantially built and expanded during Karunanidhi’s administrations. Factory-building produces a single investment; institution-building produces a continuous capacity to attract, facilitate, and absorb investment. Understanding this distinction is the key to Tamil Nadu’s industrial history. The argument is not that industrialisation occurred only under Karunanidhi, but that his administrations built and expanded a set of institutions whose effects persisted — and compounded — across every subsequent government, regardless of party.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2.1 The Factory Builder vs. The System Builder</w:t>
      </w:r>
    </w:p>
    <w:p>
      <w:pPr>
        <w:spacing w:after="80" w:before="80" w:line="276"/>
        <w:jc w:val="both"/>
      </w:pPr>
      <w:r>
        <w:rPr>
          <w:rFonts w:ascii="Arial" w:cs="Arial" w:eastAsia="Arial" w:hAnsi="Arial"/>
          <w:color w:val="222222"/>
          <w:sz w:val="20"/>
          <w:szCs w:val="20"/>
        </w:rPr>
        <w:t xml:space="preserve">R. Venkataraman’s contribution as Industries Minister was genuinely significant. He leveraged his access at the Centre to direct investments — BHEL Trichy, ICF, NLC — toward Tamil Nadu. But these were Central government allocations; Venkataraman was an effective lobbyist for a state competing against others for PSU placements. The factories would have been built somewhere; his role was ensuring they came to Tamil Nadu.</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Karunanidhi’s ambition was categorically different. Rather than competing for Central allocations, he sought to make Tamil Nadu capable of generating its own industrial momentum. The key insight was that the binding constraint on Tamil Nadu’s industrialisation was not the absence of factories but the absence of the preconditions for factories: reliable industrial land, accessible finance for small entrepreneurs, raw material supply chains, and a supportive bureaucratic apparatus. SIPCOT, SIDCO, and the reorientation of TIIC each addressed one of these constraints directly.</w:t>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shd w:fill="EBF3FB" w:val="clear"/>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Analytical Distinction: A factory builder creates a single investment. An institution builder creates a generator of investments. Venkataraman’s PSUs added to Tamil Nadu’s industrial stock. Karunanidhi’s institutions — SIPCOT, SIDCO, TIIC, TIDCO — increased the state’s sustained capacity to attract and absorb investment. Both forms of contribution were complementary and indispensable to Tamil Nadu’s industrial development. The first wave of factory-building established the physical assets and the political legitimacy for industrialisation as a state goal; the second wave of institution-building created the self-sustaining capacity that made those assets generate returns across decades, not years.</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2.2 The Democratisation of Manufacturing</w:t>
      </w:r>
    </w:p>
    <w:p>
      <w:pPr>
        <w:spacing w:after="80" w:before="80" w:line="276"/>
        <w:jc w:val="both"/>
      </w:pPr>
      <w:r>
        <w:rPr>
          <w:rFonts w:ascii="Arial" w:cs="Arial" w:eastAsia="Arial" w:hAnsi="Arial"/>
          <w:color w:val="222222"/>
          <w:sz w:val="20"/>
          <w:szCs w:val="20"/>
        </w:rPr>
        <w:t xml:space="preserve">One analytically underappreciated dimension of Karunanidhi’s institutional legacy is its social distribution of industrial ownership. The SIPCOT and SIDCO framework was not neutral with respect to who could participate in industrialisation. By providing pre-developed factory sheds at affordable lease rates, raw material procurement services, and term lending through TIIC to first-generation entrepreneurs, the system specifically lowered the barriers that had historically kept backward communities out of manufacturing.</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This was not incidental. The Dravidian political project explicitly linked social justice with economic development. Karunanidhi and the DMK understood that industrialisation concentrating ownership among existing elites would reproduce the very hierarchies Dravidian politics sought to dismantle. The deliberate inclusion of backward communities in manufacturing — through accessible factory sheds, affordable finance, and reserved categories in state schemes — was the economic expression of that political commitment.</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Economic census data from 2013–14 confirms the cumulative effect: OBCs control 67% of private enterprises with 100 or more workers in Tamil Nadu, compared to just 11% in Gujarat and 8% in Maharashtra. Dalits own 6% of enterprises in this size category. These figures are not market outcomes; they are the downstream consequences of forty years of deliberate institutional design. (Source: Economic Census 2013–14, Ministry of Statistics and Programme Implementation, Government of India; analysis in Kalaiyarasan, A. and Vijayabaskar, M., ‘The Dravidian Model: Interpreting the Political Economy of Tamil Nadu’, Cambridge University Press, 2021. Methodology: enterprise ownership attributed by social category of proprietor/partner for establishments with 100 or more hired workers.)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2.3 The Tier-2 Industrial Strategy</w:t>
      </w:r>
    </w:p>
    <w:p>
      <w:pPr>
        <w:spacing w:after="80" w:before="80" w:line="276"/>
        <w:jc w:val="both"/>
      </w:pPr>
      <w:r>
        <w:rPr>
          <w:rFonts w:ascii="Arial" w:cs="Arial" w:eastAsia="Arial" w:hAnsi="Arial"/>
          <w:color w:val="222222"/>
          <w:sz w:val="20"/>
          <w:szCs w:val="20"/>
        </w:rPr>
        <w:t xml:space="preserve">A third distinctive feature of Karunanidhi’s institutional approach was its explicit spatial strategy. Where the dominant Indian model of industrialisation — visible in Maharashtra and West Bengal — concentrated investment in a single metropolitan centre, Tamil Nadu’s Wave 2 institutions were systematically deployed to distribute industrial activity across districts.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Through SIPCOT land acquisition, SIDCO estates in 49 locations, and a tiered subsidy structure that offered progressively higher incentives for investment in less-industrialised districts, Tamil Nadu built not one industrial city but many. The district cluster table in this section captures the result: Tiruppur for knitwear, Sivakasi for fireworks and matches, Ambur and Ranipet for leather, Coimbatore for engineering, Erode and Karur for textiles, Hosur for automobiles. Each cluster became self-reinforcing through agglomeration, creating a spatially resilient industrial structure that no single shock could disable — a robustness demonstrated clearly during the COVID-19 pandemic, when Tamil Nadu’s diversified base enabled faster recovery than more concentrated industrial states.</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2300"/>
        <w:gridCol w:w="2060"/>
        <w:gridCol w:w="2800"/>
      </w:tblGrid>
      <w:tr>
        <w:trPr>
          <w:tblHeader/>
        </w:trPr>
        <w:tc>
          <w:tcPr>
            <w:tcW w:type="dxa" w:w="2200"/>
            <w:shd w:fill="1F3864" w:val="clear"/>
            <w:tcMar>
              <w:top w:type="dxa" w:w="80"/>
              <w:left w:type="dxa" w:w="120"/>
              <w:bottom w:type="dxa" w:w="80"/>
              <w:right w:type="dxa" w:w="120"/>
            </w:tcMar>
          </w:tcPr>
          <w:p>
            <w:r>
              <w:rPr>
                <w:rFonts w:ascii="Arial" w:cs="Arial" w:eastAsia="Arial" w:hAnsi="Arial"/>
                <w:b/>
                <w:bCs/>
                <w:color w:val="FFFFFF"/>
                <w:sz w:val="18"/>
                <w:szCs w:val="18"/>
              </w:rPr>
              <w:t xml:space="preserve">District / Region</w:t>
            </w:r>
          </w:p>
        </w:tc>
        <w:tc>
          <w:tcPr>
            <w:tcW w:type="dxa" w:w="2300"/>
            <w:shd w:fill="1F3864" w:val="clear"/>
            <w:tcMar>
              <w:top w:type="dxa" w:w="80"/>
              <w:left w:type="dxa" w:w="120"/>
              <w:bottom w:type="dxa" w:w="80"/>
              <w:right w:type="dxa" w:w="120"/>
            </w:tcMar>
          </w:tcPr>
          <w:p>
            <w:r>
              <w:rPr>
                <w:rFonts w:ascii="Arial" w:cs="Arial" w:eastAsia="Arial" w:hAnsi="Arial"/>
                <w:b/>
                <w:bCs/>
                <w:color w:val="FFFFFF"/>
                <w:sz w:val="18"/>
                <w:szCs w:val="18"/>
              </w:rPr>
              <w:t xml:space="preserve">Industrial Specialisation</w:t>
            </w:r>
          </w:p>
        </w:tc>
        <w:tc>
          <w:tcPr>
            <w:tcW w:type="dxa" w:w="2060"/>
            <w:shd w:fill="1F3864" w:val="clear"/>
            <w:tcMar>
              <w:top w:type="dxa" w:w="80"/>
              <w:left w:type="dxa" w:w="120"/>
              <w:bottom w:type="dxa" w:w="80"/>
              <w:right w:type="dxa" w:w="120"/>
            </w:tcMar>
          </w:tcPr>
          <w:p>
            <w:r>
              <w:rPr>
                <w:rFonts w:ascii="Arial" w:cs="Arial" w:eastAsia="Arial" w:hAnsi="Arial"/>
                <w:b/>
                <w:bCs/>
                <w:color w:val="FFFFFF"/>
                <w:sz w:val="18"/>
                <w:szCs w:val="18"/>
              </w:rPr>
              <w:t xml:space="preserve">Anchor Cluster Year</w:t>
            </w:r>
          </w:p>
        </w:tc>
        <w:tc>
          <w:tcPr>
            <w:tcW w:type="dxa" w:w="2800"/>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Scale</w:t>
            </w:r>
          </w:p>
        </w:tc>
      </w:tr>
      <w:tr>
        <w:tc>
          <w:tcPr>
            <w:tcW w:type="dxa" w:w="2200"/>
            <w:shd w:fill="F2F7FC" w:val="clear"/>
            <w:tcMar>
              <w:top w:type="dxa" w:w="80"/>
              <w:left w:type="dxa" w:w="120"/>
              <w:bottom w:type="dxa" w:w="80"/>
              <w:right w:type="dxa" w:w="120"/>
            </w:tcMar>
          </w:tcPr>
          <w:p>
            <w:r>
              <w:rPr>
                <w:rFonts w:ascii="Arial" w:cs="Arial" w:eastAsia="Arial" w:hAnsi="Arial"/>
                <w:color w:val="222222"/>
                <w:sz w:val="18"/>
                <w:szCs w:val="18"/>
              </w:rPr>
              <w:t xml:space="preserve">Hosur (Krishnagiri)</w:t>
            </w:r>
          </w:p>
        </w:tc>
        <w:tc>
          <w:tcPr>
            <w:tcW w:type="dxa" w:w="2300"/>
            <w:shd w:fill="F2F7FC" w:val="clear"/>
            <w:tcMar>
              <w:top w:type="dxa" w:w="80"/>
              <w:left w:type="dxa" w:w="120"/>
              <w:bottom w:type="dxa" w:w="80"/>
              <w:right w:type="dxa" w:w="120"/>
            </w:tcMar>
          </w:tcPr>
          <w:p>
            <w:r>
              <w:rPr>
                <w:rFonts w:ascii="Arial" w:cs="Arial" w:eastAsia="Arial" w:hAnsi="Arial"/>
                <w:color w:val="222222"/>
                <w:sz w:val="18"/>
                <w:szCs w:val="18"/>
              </w:rPr>
              <w:t xml:space="preserve">Automobiles, engineering, electronics</w:t>
            </w:r>
          </w:p>
        </w:tc>
        <w:tc>
          <w:tcPr>
            <w:tcW w:type="dxa" w:w="2060"/>
            <w:shd w:fill="F2F7FC" w:val="clear"/>
            <w:tcMar>
              <w:top w:type="dxa" w:w="80"/>
              <w:left w:type="dxa" w:w="120"/>
              <w:bottom w:type="dxa" w:w="80"/>
              <w:right w:type="dxa" w:w="120"/>
            </w:tcMar>
          </w:tcPr>
          <w:p>
            <w:r>
              <w:rPr>
                <w:rFonts w:ascii="Arial" w:cs="Arial" w:eastAsia="Arial" w:hAnsi="Arial"/>
                <w:color w:val="222222"/>
                <w:sz w:val="18"/>
                <w:szCs w:val="18"/>
              </w:rPr>
              <w:t xml:space="preserve">1973 (SIPCOT)</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50+ major manufacturers; Foxconn, TVS, Titan</w:t>
            </w:r>
          </w:p>
        </w:tc>
      </w:tr>
      <w:tr>
        <w:tc>
          <w:tcPr>
            <w:tcW w:type="dxa" w:w="2200"/>
            <w:shd w:fill="FFFFFF" w:val="clear"/>
            <w:tcMar>
              <w:top w:type="dxa" w:w="80"/>
              <w:left w:type="dxa" w:w="120"/>
              <w:bottom w:type="dxa" w:w="80"/>
              <w:right w:type="dxa" w:w="120"/>
            </w:tcMar>
          </w:tcPr>
          <w:p>
            <w:r>
              <w:rPr>
                <w:rFonts w:ascii="Arial" w:cs="Arial" w:eastAsia="Arial" w:hAnsi="Arial"/>
                <w:color w:val="222222"/>
                <w:sz w:val="18"/>
                <w:szCs w:val="18"/>
              </w:rPr>
              <w:t xml:space="preserve">Tiruppur</w:t>
            </w:r>
          </w:p>
        </w:tc>
        <w:tc>
          <w:tcPr>
            <w:tcW w:type="dxa" w:w="2300"/>
            <w:shd w:fill="FFFFFF" w:val="clear"/>
            <w:tcMar>
              <w:top w:type="dxa" w:w="80"/>
              <w:left w:type="dxa" w:w="120"/>
              <w:bottom w:type="dxa" w:w="80"/>
              <w:right w:type="dxa" w:w="120"/>
            </w:tcMar>
          </w:tcPr>
          <w:p>
            <w:r>
              <w:rPr>
                <w:rFonts w:ascii="Arial" w:cs="Arial" w:eastAsia="Arial" w:hAnsi="Arial"/>
                <w:color w:val="222222"/>
                <w:sz w:val="18"/>
                <w:szCs w:val="18"/>
              </w:rPr>
              <w:t xml:space="preserve">Knitwear and hosiery</w:t>
            </w:r>
          </w:p>
        </w:tc>
        <w:tc>
          <w:tcPr>
            <w:tcW w:type="dxa" w:w="2060"/>
            <w:shd w:fill="FFFFFF" w:val="clear"/>
            <w:tcMar>
              <w:top w:type="dxa" w:w="80"/>
              <w:left w:type="dxa" w:w="120"/>
              <w:bottom w:type="dxa" w:w="80"/>
              <w:right w:type="dxa" w:w="120"/>
            </w:tcMar>
          </w:tcPr>
          <w:p>
            <w:r>
              <w:rPr>
                <w:rFonts w:ascii="Arial" w:cs="Arial" w:eastAsia="Arial" w:hAnsi="Arial"/>
                <w:color w:val="222222"/>
                <w:sz w:val="18"/>
                <w:szCs w:val="18"/>
              </w:rPr>
              <w:t xml:space="preserve">1980s (organic + SIDCO)</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₹40,000 cr exports; 10 lakh workers</w:t>
            </w:r>
          </w:p>
        </w:tc>
      </w:tr>
      <w:tr>
        <w:tc>
          <w:tcPr>
            <w:tcW w:type="dxa" w:w="2200"/>
            <w:shd w:fill="F2F7FC" w:val="clear"/>
            <w:tcMar>
              <w:top w:type="dxa" w:w="80"/>
              <w:left w:type="dxa" w:w="120"/>
              <w:bottom w:type="dxa" w:w="80"/>
              <w:right w:type="dxa" w:w="120"/>
            </w:tcMar>
          </w:tcPr>
          <w:p>
            <w:r>
              <w:rPr>
                <w:rFonts w:ascii="Arial" w:cs="Arial" w:eastAsia="Arial" w:hAnsi="Arial"/>
                <w:color w:val="222222"/>
                <w:sz w:val="18"/>
                <w:szCs w:val="18"/>
              </w:rPr>
              <w:t xml:space="preserve">Coimbatore</w:t>
            </w:r>
          </w:p>
        </w:tc>
        <w:tc>
          <w:tcPr>
            <w:tcW w:type="dxa" w:w="2300"/>
            <w:shd w:fill="F2F7FC" w:val="clear"/>
            <w:tcMar>
              <w:top w:type="dxa" w:w="80"/>
              <w:left w:type="dxa" w:w="120"/>
              <w:bottom w:type="dxa" w:w="80"/>
              <w:right w:type="dxa" w:w="120"/>
            </w:tcMar>
          </w:tcPr>
          <w:p>
            <w:r>
              <w:rPr>
                <w:rFonts w:ascii="Arial" w:cs="Arial" w:eastAsia="Arial" w:hAnsi="Arial"/>
                <w:color w:val="222222"/>
                <w:sz w:val="18"/>
                <w:szCs w:val="18"/>
              </w:rPr>
              <w:t xml:space="preserve">Textile machinery, spinning, engineering</w:t>
            </w:r>
          </w:p>
        </w:tc>
        <w:tc>
          <w:tcPr>
            <w:tcW w:type="dxa" w:w="2060"/>
            <w:shd w:fill="F2F7FC" w:val="clear"/>
            <w:tcMar>
              <w:top w:type="dxa" w:w="80"/>
              <w:left w:type="dxa" w:w="120"/>
              <w:bottom w:type="dxa" w:w="80"/>
              <w:right w:type="dxa" w:w="120"/>
            </w:tcMar>
          </w:tcPr>
          <w:p>
            <w:r>
              <w:rPr>
                <w:rFonts w:ascii="Arial" w:cs="Arial" w:eastAsia="Arial" w:hAnsi="Arial"/>
                <w:color w:val="222222"/>
                <w:sz w:val="18"/>
                <w:szCs w:val="18"/>
              </w:rPr>
              <w:t xml:space="preserve">Pre-independence; scaled Wave 2</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2,000+ spinning mills; 40% of India’s cotton yarn</w:t>
            </w:r>
          </w:p>
        </w:tc>
      </w:tr>
      <w:tr>
        <w:tc>
          <w:tcPr>
            <w:tcW w:type="dxa" w:w="2200"/>
            <w:shd w:fill="FFFFFF" w:val="clear"/>
            <w:tcMar>
              <w:top w:type="dxa" w:w="80"/>
              <w:left w:type="dxa" w:w="120"/>
              <w:bottom w:type="dxa" w:w="80"/>
              <w:right w:type="dxa" w:w="120"/>
            </w:tcMar>
          </w:tcPr>
          <w:p>
            <w:r>
              <w:rPr>
                <w:rFonts w:ascii="Arial" w:cs="Arial" w:eastAsia="Arial" w:hAnsi="Arial"/>
                <w:color w:val="222222"/>
                <w:sz w:val="18"/>
                <w:szCs w:val="18"/>
              </w:rPr>
              <w:t xml:space="preserve">Sivakasi</w:t>
            </w:r>
          </w:p>
        </w:tc>
        <w:tc>
          <w:tcPr>
            <w:tcW w:type="dxa" w:w="2300"/>
            <w:shd w:fill="FFFFFF" w:val="clear"/>
            <w:tcMar>
              <w:top w:type="dxa" w:w="80"/>
              <w:left w:type="dxa" w:w="120"/>
              <w:bottom w:type="dxa" w:w="80"/>
              <w:right w:type="dxa" w:w="120"/>
            </w:tcMar>
          </w:tcPr>
          <w:p>
            <w:r>
              <w:rPr>
                <w:rFonts w:ascii="Arial" w:cs="Arial" w:eastAsia="Arial" w:hAnsi="Arial"/>
                <w:color w:val="222222"/>
                <w:sz w:val="18"/>
                <w:szCs w:val="18"/>
              </w:rPr>
              <w:t xml:space="preserve">Safety matches, fireworks, printing</w:t>
            </w:r>
          </w:p>
        </w:tc>
        <w:tc>
          <w:tcPr>
            <w:tcW w:type="dxa" w:w="2060"/>
            <w:shd w:fill="FFFFFF" w:val="clear"/>
            <w:tcMar>
              <w:top w:type="dxa" w:w="80"/>
              <w:left w:type="dxa" w:w="120"/>
              <w:bottom w:type="dxa" w:w="80"/>
              <w:right w:type="dxa" w:w="120"/>
            </w:tcMar>
          </w:tcPr>
          <w:p>
            <w:r>
              <w:rPr>
                <w:rFonts w:ascii="Arial" w:cs="Arial" w:eastAsia="Arial" w:hAnsi="Arial"/>
                <w:color w:val="222222"/>
                <w:sz w:val="18"/>
                <w:szCs w:val="18"/>
              </w:rPr>
              <w:t xml:space="preserve">1950s (organic); institutionalised Wave 2</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90% of India’s matches; 600+ fireworks units</w:t>
            </w:r>
          </w:p>
        </w:tc>
      </w:tr>
      <w:tr>
        <w:tc>
          <w:tcPr>
            <w:tcW w:type="dxa" w:w="2200"/>
            <w:shd w:fill="F2F7FC" w:val="clear"/>
            <w:tcMar>
              <w:top w:type="dxa" w:w="80"/>
              <w:left w:type="dxa" w:w="120"/>
              <w:bottom w:type="dxa" w:w="80"/>
              <w:right w:type="dxa" w:w="120"/>
            </w:tcMar>
          </w:tcPr>
          <w:p>
            <w:r>
              <w:rPr>
                <w:rFonts w:ascii="Arial" w:cs="Arial" w:eastAsia="Arial" w:hAnsi="Arial"/>
                <w:color w:val="222222"/>
                <w:sz w:val="18"/>
                <w:szCs w:val="18"/>
              </w:rPr>
              <w:t xml:space="preserve">Ambur / Ranipet (Vellore belt)</w:t>
            </w:r>
          </w:p>
        </w:tc>
        <w:tc>
          <w:tcPr>
            <w:tcW w:type="dxa" w:w="2300"/>
            <w:shd w:fill="F2F7FC" w:val="clear"/>
            <w:tcMar>
              <w:top w:type="dxa" w:w="80"/>
              <w:left w:type="dxa" w:w="120"/>
              <w:bottom w:type="dxa" w:w="80"/>
              <w:right w:type="dxa" w:w="120"/>
            </w:tcMar>
          </w:tcPr>
          <w:p>
            <w:r>
              <w:rPr>
                <w:rFonts w:ascii="Arial" w:cs="Arial" w:eastAsia="Arial" w:hAnsi="Arial"/>
                <w:color w:val="222222"/>
                <w:sz w:val="18"/>
                <w:szCs w:val="18"/>
              </w:rPr>
              <w:t xml:space="preserve">Leather and footwear</w:t>
            </w:r>
          </w:p>
        </w:tc>
        <w:tc>
          <w:tcPr>
            <w:tcW w:type="dxa" w:w="2060"/>
            <w:shd w:fill="F2F7FC" w:val="clear"/>
            <w:tcMar>
              <w:top w:type="dxa" w:w="80"/>
              <w:left w:type="dxa" w:w="120"/>
              <w:bottom w:type="dxa" w:w="80"/>
              <w:right w:type="dxa" w:w="120"/>
            </w:tcMar>
          </w:tcPr>
          <w:p>
            <w:r>
              <w:rPr>
                <w:rFonts w:ascii="Arial" w:cs="Arial" w:eastAsia="Arial" w:hAnsi="Arial"/>
                <w:color w:val="222222"/>
                <w:sz w:val="18"/>
                <w:szCs w:val="18"/>
              </w:rPr>
              <w:t xml:space="preserve">1970s (SIDCO estates)</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Major global leather supplier; Ambur cluster</w:t>
            </w:r>
          </w:p>
        </w:tc>
      </w:tr>
      <w:tr>
        <w:tc>
          <w:tcPr>
            <w:tcW w:type="dxa" w:w="2200"/>
            <w:shd w:fill="FFFFFF" w:val="clear"/>
            <w:tcMar>
              <w:top w:type="dxa" w:w="80"/>
              <w:left w:type="dxa" w:w="120"/>
              <w:bottom w:type="dxa" w:w="80"/>
              <w:right w:type="dxa" w:w="120"/>
            </w:tcMar>
          </w:tcPr>
          <w:p>
            <w:r>
              <w:rPr>
                <w:rFonts w:ascii="Arial" w:cs="Arial" w:eastAsia="Arial" w:hAnsi="Arial"/>
                <w:color w:val="222222"/>
                <w:sz w:val="18"/>
                <w:szCs w:val="18"/>
              </w:rPr>
              <w:t xml:space="preserve">Erode / Karur / Salem</w:t>
            </w:r>
          </w:p>
        </w:tc>
        <w:tc>
          <w:tcPr>
            <w:tcW w:type="dxa" w:w="2300"/>
            <w:shd w:fill="FFFFFF" w:val="clear"/>
            <w:tcMar>
              <w:top w:type="dxa" w:w="80"/>
              <w:left w:type="dxa" w:w="120"/>
              <w:bottom w:type="dxa" w:w="80"/>
              <w:right w:type="dxa" w:w="120"/>
            </w:tcMar>
          </w:tcPr>
          <w:p>
            <w:r>
              <w:rPr>
                <w:rFonts w:ascii="Arial" w:cs="Arial" w:eastAsia="Arial" w:hAnsi="Arial"/>
                <w:color w:val="222222"/>
                <w:sz w:val="18"/>
                <w:szCs w:val="18"/>
              </w:rPr>
              <w:t xml:space="preserve">Powerlooms, home textiles, dyeing</w:t>
            </w:r>
          </w:p>
        </w:tc>
        <w:tc>
          <w:tcPr>
            <w:tcW w:type="dxa" w:w="2060"/>
            <w:shd w:fill="FFFFFF" w:val="clear"/>
            <w:tcMar>
              <w:top w:type="dxa" w:w="80"/>
              <w:left w:type="dxa" w:w="120"/>
              <w:bottom w:type="dxa" w:w="80"/>
              <w:right w:type="dxa" w:w="120"/>
            </w:tcMar>
          </w:tcPr>
          <w:p>
            <w:r>
              <w:rPr>
                <w:rFonts w:ascii="Arial" w:cs="Arial" w:eastAsia="Arial" w:hAnsi="Arial"/>
                <w:color w:val="222222"/>
                <w:sz w:val="18"/>
                <w:szCs w:val="18"/>
              </w:rPr>
              <w:t xml:space="preserve">1960s–70s (cooperative + SIDCO)</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₹7,000–8,000 cr annual textile turnover</w:t>
            </w:r>
          </w:p>
        </w:tc>
      </w:tr>
      <w:tr>
        <w:tc>
          <w:tcPr>
            <w:tcW w:type="dxa" w:w="2200"/>
            <w:shd w:fill="F2F7FC" w:val="clear"/>
            <w:tcMar>
              <w:top w:type="dxa" w:w="80"/>
              <w:left w:type="dxa" w:w="120"/>
              <w:bottom w:type="dxa" w:w="80"/>
              <w:right w:type="dxa" w:w="120"/>
            </w:tcMar>
          </w:tcPr>
          <w:p>
            <w:r>
              <w:rPr>
                <w:rFonts w:ascii="Arial" w:cs="Arial" w:eastAsia="Arial" w:hAnsi="Arial"/>
                <w:color w:val="222222"/>
                <w:sz w:val="18"/>
                <w:szCs w:val="18"/>
              </w:rPr>
              <w:t xml:space="preserve">Sriperumbudur / Oragadam</w:t>
            </w:r>
          </w:p>
        </w:tc>
        <w:tc>
          <w:tcPr>
            <w:tcW w:type="dxa" w:w="2300"/>
            <w:shd w:fill="F2F7FC" w:val="clear"/>
            <w:tcMar>
              <w:top w:type="dxa" w:w="80"/>
              <w:left w:type="dxa" w:w="120"/>
              <w:bottom w:type="dxa" w:w="80"/>
              <w:right w:type="dxa" w:w="120"/>
            </w:tcMar>
          </w:tcPr>
          <w:p>
            <w:r>
              <w:rPr>
                <w:rFonts w:ascii="Arial" w:cs="Arial" w:eastAsia="Arial" w:hAnsi="Arial"/>
                <w:color w:val="222222"/>
                <w:sz w:val="18"/>
                <w:szCs w:val="18"/>
              </w:rPr>
              <w:t xml:space="preserve">Electronics, automobiles (modern)</w:t>
            </w:r>
          </w:p>
        </w:tc>
        <w:tc>
          <w:tcPr>
            <w:tcW w:type="dxa" w:w="2060"/>
            <w:shd w:fill="F2F7FC" w:val="clear"/>
            <w:tcMar>
              <w:top w:type="dxa" w:w="80"/>
              <w:left w:type="dxa" w:w="120"/>
              <w:bottom w:type="dxa" w:w="80"/>
              <w:right w:type="dxa" w:w="120"/>
            </w:tcMar>
          </w:tcPr>
          <w:p>
            <w:r>
              <w:rPr>
                <w:rFonts w:ascii="Arial" w:cs="Arial" w:eastAsia="Arial" w:hAnsi="Arial"/>
                <w:color w:val="222222"/>
                <w:sz w:val="18"/>
                <w:szCs w:val="18"/>
              </w:rPr>
              <w:t xml:space="preserve">1996–2010 (SIPCOT + FDI)</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Hyundai, Foxconn, Samsung; Wave 3 anchor</w:t>
            </w:r>
          </w:p>
        </w:tc>
      </w:tr>
      <w:tr>
        <w:tc>
          <w:tcPr>
            <w:tcW w:type="dxa" w:w="2200"/>
            <w:shd w:fill="FFFFFF" w:val="clear"/>
            <w:tcMar>
              <w:top w:type="dxa" w:w="80"/>
              <w:left w:type="dxa" w:w="120"/>
              <w:bottom w:type="dxa" w:w="80"/>
              <w:right w:type="dxa" w:w="120"/>
            </w:tcMar>
          </w:tcPr>
          <w:p>
            <w:r>
              <w:rPr>
                <w:rFonts w:ascii="Arial" w:cs="Arial" w:eastAsia="Arial" w:hAnsi="Arial"/>
                <w:color w:val="222222"/>
                <w:sz w:val="18"/>
                <w:szCs w:val="18"/>
              </w:rPr>
              <w:t xml:space="preserve">Chennai OMR corridor</w:t>
            </w:r>
          </w:p>
        </w:tc>
        <w:tc>
          <w:tcPr>
            <w:tcW w:type="dxa" w:w="2300"/>
            <w:shd w:fill="FFFFFF" w:val="clear"/>
            <w:tcMar>
              <w:top w:type="dxa" w:w="80"/>
              <w:left w:type="dxa" w:w="120"/>
              <w:bottom w:type="dxa" w:w="80"/>
              <w:right w:type="dxa" w:w="120"/>
            </w:tcMar>
          </w:tcPr>
          <w:p>
            <w:r>
              <w:rPr>
                <w:rFonts w:ascii="Arial" w:cs="Arial" w:eastAsia="Arial" w:hAnsi="Arial"/>
                <w:color w:val="222222"/>
                <w:sz w:val="18"/>
                <w:szCs w:val="18"/>
              </w:rPr>
              <w:t xml:space="preserve">IT, ITES, GCCs</w:t>
            </w:r>
          </w:p>
        </w:tc>
        <w:tc>
          <w:tcPr>
            <w:tcW w:type="dxa" w:w="2060"/>
            <w:shd w:fill="FFFFFF" w:val="clear"/>
            <w:tcMar>
              <w:top w:type="dxa" w:w="80"/>
              <w:left w:type="dxa" w:w="120"/>
              <w:bottom w:type="dxa" w:w="80"/>
              <w:right w:type="dxa" w:w="120"/>
            </w:tcMar>
          </w:tcPr>
          <w:p>
            <w:r>
              <w:rPr>
                <w:rFonts w:ascii="Arial" w:cs="Arial" w:eastAsia="Arial" w:hAnsi="Arial"/>
                <w:color w:val="222222"/>
                <w:sz w:val="18"/>
                <w:szCs w:val="18"/>
              </w:rPr>
              <w:t xml:space="preserve">2000 (TIDEL Park)</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16% of India’s IT exports; 1.2M IT workers</w:t>
            </w:r>
          </w:p>
        </w:tc>
      </w:tr>
    </w:tbl>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40"/>
              <w:left w:type="dxa" w:w="200"/>
              <w:bottom w:type="dxa" w:w="140"/>
              <w:right w:type="dxa" w:w="200"/>
            </w:tcMar>
          </w:tcPr>
          <w:p>
            <w:r>
              <w:rPr>
                <w:rFonts w:ascii="Arial" w:cs="Arial" w:eastAsia="Arial" w:hAnsi="Arial"/>
                <w:b/>
                <w:bCs/>
                <w:color w:val="1F3864"/>
                <w:sz w:val="20"/>
                <w:szCs w:val="20"/>
              </w:rPr>
              <w:t xml:space="preserve">Case Study: Hosur and the Logic of Institutional Compounding</w:t>
            </w:r>
          </w:p>
          <w:p>
            <w:r>
              <w:rPr>
                <w:rFonts w:ascii="Arial" w:cs="Arial" w:eastAsia="Arial" w:hAnsi="Arial"/>
                <w:color w:val="1F3864"/>
                <w:sz w:val="18"/>
                <w:szCs w:val="18"/>
              </w:rPr>
              <w:t xml:space="preserve">—</w:t>
            </w:r>
          </w:p>
          <w:p>
            <w:r>
              <w:rPr>
                <w:rFonts w:ascii="Arial" w:cs="Arial" w:eastAsia="Arial" w:hAnsi="Arial"/>
                <w:color w:val="222222"/>
                <w:sz w:val="18"/>
                <w:szCs w:val="18"/>
              </w:rPr>
              <w:t xml:space="preserve">In 1973, the SIPCOT Hosur Phase I complex was established on a sparsely populated plateau in what was then a remote corner of the state near the Karnataka border. The initial sectoral target was engineering goods and automobile components — industries that needed flat land, reliable power, and road access to both the Bengaluru and Chennai markets. The location had no prior industrial history. The decision to place a SIPCOT complex there was entirely a function of land availability and connectivity planning, not of any existing industrial base.</w:t>
            </w:r>
          </w:p>
          <w:p>
            <w:r>
              <w:rPr>
                <w:rFonts w:ascii="Arial" w:cs="Arial" w:eastAsia="Arial" w:hAnsi="Arial"/>
                <w:color w:val="222222"/>
                <w:sz w:val="18"/>
                <w:szCs w:val="18"/>
              </w:rPr>
              <w:t xml:space="preserve">What followed over the next five decades illustrates what this report calls institutional compounding. The first generation of SIPCOT Hosur tenants — TVS Group, Ashok Leyland components suppliers, Titan (the TIDCO–Tata joint venture, 1984) — created an engineering and precision manufacturing base. That base attracted the logistics infrastructure, the technical training institutions, and the supplier networks that the next generation of investors required. By the 1990s, Hosur had become the preferred location for Daimler Buses India. By the 2000s and 2010s, its accumulated manufacturing infrastructure attracted electronics firms. By the early 2020s, Foxconn evaluated Hosur for iPhone enclosure manufacturing and found precisely what it needed: fifty years of compounded industrial infrastructure — skilled workers trained by generations of precision engineering firms, logistics networks built for automotive supply chains, power and water infrastructure expanded progressively, and a SIPCOT estate management system with institutional memory stretching back to 1973.</w:t>
            </w:r>
          </w:p>
          <w:p>
            <w:r>
              <w:rPr>
                <w:rFonts w:ascii="Arial" w:cs="Arial" w:eastAsia="Arial" w:hAnsi="Arial"/>
                <w:i/>
                <w:color w:val="1F3864"/>
                <w:sz w:val="18"/>
                <w:szCs w:val="18"/>
              </w:rPr>
              <w:t xml:space="preserve">The analytical point: Hosur demonstrates that industrial infrastructure built for one generation does not depreciate — it compounds. The SIPCOT decision of 1973 was not designed to attract Foxconn. It was designed to attract engineering firms. But the infrastructure it created, progressively upgraded and extended over fifty years, became the foundation on which entirely new industries landed in entirely new economic eras. This is what institution-building achieves that factory-building cannot: a multiplying return on a single institutional decision, stretching across industrial cycles that no planner in 1973 could have foreseen.</w:t>
            </w:r>
          </w:p>
        </w:tc>
      </w:tr>
    </w:tbl>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The Dravidian Model of Industrialisation: Five Core Principles
The institutional architecture Karunanidhi built was not ideologically neutral. It reflected a specifically Dravidian conception of what industrialisation was for. Unlike development models centred primarily on capital accumulation and aggregate output, the Dravidian Model sought to broaden participation in industrial ownership, employment, and the returns from economic growth. Five principles distinguished this approach:
1. Industrial Growth as Social Mobility. SIDCO factory sheds, TIIC term loans, and SIPCOT industrial estates were designed to lower the entry cost for first-generation entrepreneurs from backward communities who lacked the capital, land, and connections that had historically concentrated industrial ownership among established elites.
2. Regional Balance Over Metropolitan Concentration. The deliberate seeding of industrial complexes in Hosur, Ranipet, Cuddalore, Tiruppur, and Sivakasi — rather than concentrating investment in Chennai — reflected the political imperative that industrialisation benefit district populations, not merely the state capital.
3. Welfare as Economic Infrastructure. Education access, the expansion of polytechnics and ITIs, and later the universalisation of the midday meal were understood not merely as social entitlements but as inputs to industrial competitiveness — investments in the workforce that factories would eventually draw on. This logic connects directly to Tamil Nadu’s ability, decades later, to supply technically trained labour to Hyundai, Foxconn, and the GCC ecosystem.
4. Democratic Ownership of Industry. The 69% reservation policy, the MSME financing architecture, and the cooperative sector framework were each expressions of the same underlying goal: that industrial production in Tamil Nadu should rest on a broad ownership base, not a narrow one.
5. Institutions Over Individuals. The most lasting expression of the Dravidian Model was the preference for building institutions — SIPCOT, SIDCO, TIIC, TIDCO — that would continue to function across changes in government, rather than attaching industrial policy to the personal networks of individual ministers or Chief Ministers. That institutional impersonality is precisely why Tamil Nadu’s industrial trajectory survived the alternation of DMK and AIADMK governments without interruption from 1989 onward.</w:t>
            </w:r>
          </w:p>
        </w:tc>
      </w:tr>
    </w:tbl>
    <w:p>
      <w:pPr>
        <w:spacing w:after="40" w:before="40"/>
      </w:pPr>
      <w:r>
        <w:rPr>
          <w:rFonts w:ascii="Arial" w:cs="Arial" w:eastAsia="Arial" w:hAnsi="Arial"/>
          <w:sz w:val="20"/>
          <w:szCs w:val="20"/>
        </w:rPr>
        <w:t xml:space="preserve"/>
      </w:r>
    </w:p>
    <w:p>
      <w:pPr>
        <w:pStyle w:val="Heading1"/>
        <w:spacing w:after="160" w:before="360"/>
      </w:pPr>
      <w:r>
        <w:rPr>
          <w:rFonts w:ascii="Arial" w:cs="Arial" w:eastAsia="Arial" w:hAnsi="Arial"/>
          <w:b/>
          <w:bCs/>
          <w:color w:val="1F3864"/>
          <w:sz w:val="28"/>
          <w:szCs w:val="28"/>
        </w:rPr>
        <w:t xml:space="preserve">3. Three Waves of Tamil Nadu’s Industrialisation: An Analytical Framework</w:t>
      </w:r>
    </w:p>
    <w:p>
      <w:pPr>
        <w:spacing w:after="80" w:before="80" w:line="276"/>
        <w:jc w:val="both"/>
      </w:pPr>
      <w:r>
        <w:rPr>
          <w:rFonts w:ascii="Arial" w:cs="Arial" w:eastAsia="Arial" w:hAnsi="Arial"/>
          <w:color w:val="222222"/>
          <w:sz w:val="20"/>
          <w:szCs w:val="20"/>
        </w:rPr>
        <w:t xml:space="preserve">Tamil Nadu’s industrial history resists simple linear narration. A more analytically powerful lens is to view it as three distinct ‘waves’ of industrialisation, each with a different protagonist, a different institutional mechanism, and a different relationship to the global economy. Understanding these waves clarifies why Tamil Nadu arrived at the twenty-first century better positioned than almost any other Indian state — and why that outcome was not accidental.</w:t>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shd w:fill="EBF3FB" w:val="clear"/>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The Three-Wave Framework: Tamil Nadu’s industrialisation proceeded through three structurally distinct phases. Wave 1 (1947–1970) built the physical foundations through Central PSUs and early state agencies. Wave 2 (1970–1996) built the institutional operating system — the agencies that would continuously produce industrial capacity. Wave 3 (1996–present) plugged that institutional infrastructure into global supply chains and the knowledge economy. Each wave depended on the previous one.</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3.1 Wave 1: State-Led Foundations (1947–1970)</w:t>
      </w:r>
    </w:p>
    <w:p>
      <w:pPr>
        <w:spacing w:after="80" w:before="80" w:line="276"/>
        <w:jc w:val="both"/>
      </w:pPr>
      <w:r>
        <w:rPr>
          <w:rFonts w:ascii="Arial" w:cs="Arial" w:eastAsia="Arial" w:hAnsi="Arial"/>
          <w:color w:val="222222"/>
          <w:sz w:val="20"/>
          <w:szCs w:val="20"/>
        </w:rPr>
        <w:t xml:space="preserve">The first wave was fundamentally Nehruvian. The national government’s development logic — public sector undertakings in strategic industries, import substitution, and planned industrial estates — shaped Tamil Nadu’s industrial landscape in the first two decades after Independence. Institutions established during this period include the Bharat Heavy Electricals Limited (BHEL) complex in Trichy, the Integral Coach Factory in Perambur, and the Neyveli Lignite Corporation. The Guindy and Ambattur industrial estates, established by 1958–60, were among India’s earliest planned SME clusters.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Industries Minister R. Venkataraman (1957–1967) played a facilitative role in this wave, lobbying for Central allocations to Tamil Nadu and overseeing the early institutional apparatus. His contribution is accurately described as ‘factory building’ in the literal sense: individual large industrial investments that created employment and anchored regional economies. The Tamil Nadu Industrial Development Corporation (TIDCO) was established in 1965 at the tail end of this wave, under the Congress Party-led administration, and represented the first step toward an indigenous institutional architecture.</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3.2 Wave 2: Institution Building as Industrial Policy (1970–1996)</w:t>
      </w:r>
    </w:p>
    <w:p>
      <w:pPr>
        <w:spacing w:after="80" w:before="80" w:line="276"/>
        <w:jc w:val="both"/>
      </w:pPr>
      <w:r>
        <w:rPr>
          <w:rFonts w:ascii="Arial" w:cs="Arial" w:eastAsia="Arial" w:hAnsi="Arial"/>
          <w:color w:val="222222"/>
          <w:sz w:val="20"/>
          <w:szCs w:val="20"/>
        </w:rPr>
        <w:t xml:space="preserve">The second wave, initiated under Chief Minister M. Karunanidhi from 1971, constitutes the most analytically important and historically underappreciated phase of Tamil Nadu’s industrial development. Where Wave 1 built factories, Wave 2 built institutions that would continuously produce the conditions for factories. The distinction is profound: a factory is a single investment; an institution is a generator of investments.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Three institutions defined Wave 2’s institutional logic, each documented in full in Section 1. SIPCOT (1971) transformed industrial land from a binding constraint into a scalable asset — a trusted land bank that would prove decisive when Ford, Hyundai, and Renault-Nissan evaluated Indian sites. SIDCO (1971) democratised access to manufacturing infrastructure for first-generation entrepreneurs from backward communities. TIIC’s reorientation toward 99% small-scale industry lending by the late 1980s demonstrated that profitable SSI finance was commercially viable, a signal with consequences for the entire Indian financial sector.</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300"/>
        <w:gridCol w:w="800"/>
        <w:gridCol w:w="2860"/>
        <w:gridCol w:w="3400"/>
      </w:tblGrid>
      <w:tr>
        <w:trPr>
          <w:tblHeader/>
        </w:trPr>
        <w:tc>
          <w:tcPr>
            <w:tcW w:type="dxa" w:w="2300"/>
            <w:shd w:fill="1F3864" w:val="clear"/>
            <w:tcMar>
              <w:top w:type="dxa" w:w="80"/>
              <w:left w:type="dxa" w:w="120"/>
              <w:bottom w:type="dxa" w:w="80"/>
              <w:right w:type="dxa" w:w="120"/>
            </w:tcMar>
          </w:tcPr>
          <w:p>
            <w:r>
              <w:rPr>
                <w:rFonts w:ascii="Arial" w:cs="Arial" w:eastAsia="Arial" w:hAnsi="Arial"/>
                <w:b/>
                <w:bCs/>
                <w:color w:val="FFFFFF"/>
                <w:sz w:val="18"/>
                <w:szCs w:val="18"/>
              </w:rPr>
              <w:t xml:space="preserve">Institution</w:t>
            </w:r>
          </w:p>
        </w:tc>
        <w:tc>
          <w:tcPr>
            <w:tcW w:type="dxa" w:w="800"/>
            <w:shd w:fill="1F3864" w:val="clear"/>
            <w:tcMar>
              <w:top w:type="dxa" w:w="80"/>
              <w:left w:type="dxa" w:w="120"/>
              <w:bottom w:type="dxa" w:w="80"/>
              <w:right w:type="dxa" w:w="120"/>
            </w:tcMar>
          </w:tcPr>
          <w:p>
            <w:r>
              <w:rPr>
                <w:rFonts w:ascii="Arial" w:cs="Arial" w:eastAsia="Arial" w:hAnsi="Arial"/>
                <w:b/>
                <w:bCs/>
                <w:color w:val="FFFFFF"/>
                <w:sz w:val="18"/>
                <w:szCs w:val="18"/>
              </w:rPr>
              <w:t xml:space="preserve">Est.</w:t>
            </w:r>
          </w:p>
        </w:tc>
        <w:tc>
          <w:tcPr>
            <w:tcW w:type="dxa" w:w="2860"/>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Function</w:t>
            </w:r>
          </w:p>
        </w:tc>
        <w:tc>
          <w:tcPr>
            <w:tcW w:type="dxa" w:w="3400"/>
            <w:shd w:fill="1F3864" w:val="clear"/>
            <w:tcMar>
              <w:top w:type="dxa" w:w="80"/>
              <w:left w:type="dxa" w:w="120"/>
              <w:bottom w:type="dxa" w:w="80"/>
              <w:right w:type="dxa" w:w="120"/>
            </w:tcMar>
          </w:tcPr>
          <w:p>
            <w:r>
              <w:rPr>
                <w:rFonts w:ascii="Arial" w:cs="Arial" w:eastAsia="Arial" w:hAnsi="Arial"/>
                <w:b/>
                <w:bCs/>
                <w:color w:val="FFFFFF"/>
                <w:sz w:val="18"/>
                <w:szCs w:val="18"/>
              </w:rPr>
              <w:t xml:space="preserve">Long-Term Industrial Impact</w:t>
            </w:r>
          </w:p>
        </w:tc>
      </w:tr>
      <w:tr>
        <w:tc>
          <w:tcPr>
            <w:tcW w:type="dxa" w:w="2300"/>
            <w:shd w:fill="F2F7FC" w:val="clear"/>
            <w:tcMar>
              <w:top w:type="dxa" w:w="80"/>
              <w:left w:type="dxa" w:w="120"/>
              <w:bottom w:type="dxa" w:w="80"/>
              <w:right w:type="dxa" w:w="120"/>
            </w:tcMar>
          </w:tcPr>
          <w:p>
            <w:r>
              <w:rPr>
                <w:rFonts w:ascii="Arial" w:cs="Arial" w:eastAsia="Arial" w:hAnsi="Arial"/>
                <w:color w:val="222222"/>
                <w:sz w:val="18"/>
                <w:szCs w:val="18"/>
              </w:rPr>
              <w:t xml:space="preserve">TIDCO</w:t>
            </w:r>
          </w:p>
        </w:tc>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1965</w:t>
            </w:r>
          </w:p>
        </w:tc>
        <w:tc>
          <w:tcPr>
            <w:tcW w:type="dxa" w:w="2860"/>
            <w:shd w:fill="F2F7FC" w:val="clear"/>
            <w:tcMar>
              <w:top w:type="dxa" w:w="80"/>
              <w:left w:type="dxa" w:w="120"/>
              <w:bottom w:type="dxa" w:w="80"/>
              <w:right w:type="dxa" w:w="120"/>
            </w:tcMar>
          </w:tcPr>
          <w:p>
            <w:r>
              <w:rPr>
                <w:rFonts w:ascii="Arial" w:cs="Arial" w:eastAsia="Arial" w:hAnsi="Arial"/>
                <w:color w:val="222222"/>
                <w:sz w:val="18"/>
                <w:szCs w:val="18"/>
              </w:rPr>
              <w:t xml:space="preserve">Joint ventures with private sector</w:t>
            </w:r>
          </w:p>
        </w:tc>
        <w:tc>
          <w:tcPr>
            <w:tcW w:type="dxa" w:w="3400"/>
            <w:shd w:fill="F2F7FC" w:val="clear"/>
            <w:tcMar>
              <w:top w:type="dxa" w:w="80"/>
              <w:left w:type="dxa" w:w="120"/>
              <w:bottom w:type="dxa" w:w="80"/>
              <w:right w:type="dxa" w:w="120"/>
            </w:tcMar>
          </w:tcPr>
          <w:p>
            <w:r>
              <w:rPr>
                <w:rFonts w:ascii="Arial" w:cs="Arial" w:eastAsia="Arial" w:hAnsi="Arial"/>
                <w:color w:val="222222"/>
                <w:sz w:val="18"/>
                <w:szCs w:val="18"/>
              </w:rPr>
              <w:t xml:space="preserve">Pipeline for large-scale FDI and industrial partnerships</w:t>
            </w:r>
          </w:p>
        </w:tc>
      </w:tr>
      <w:tr>
        <w:tc>
          <w:tcPr>
            <w:tcW w:type="dxa" w:w="2300"/>
            <w:shd w:fill="FFFFFF" w:val="clear"/>
            <w:tcMar>
              <w:top w:type="dxa" w:w="80"/>
              <w:left w:type="dxa" w:w="120"/>
              <w:bottom w:type="dxa" w:w="80"/>
              <w:right w:type="dxa" w:w="120"/>
            </w:tcMar>
          </w:tcPr>
          <w:p>
            <w:r>
              <w:rPr>
                <w:rFonts w:ascii="Arial" w:cs="Arial" w:eastAsia="Arial" w:hAnsi="Arial"/>
                <w:color w:val="222222"/>
                <w:sz w:val="18"/>
                <w:szCs w:val="18"/>
              </w:rPr>
              <w:t xml:space="preserve">SIDCO</w:t>
            </w:r>
          </w:p>
        </w:tc>
        <w:tc>
          <w:tcPr>
            <w:tcW w:type="dxa" w:w="800"/>
            <w:shd w:fill="FFFFFF" w:val="clear"/>
            <w:tcMar>
              <w:top w:type="dxa" w:w="80"/>
              <w:left w:type="dxa" w:w="120"/>
              <w:bottom w:type="dxa" w:w="80"/>
              <w:right w:type="dxa" w:w="120"/>
            </w:tcMar>
          </w:tcPr>
          <w:p>
            <w:r>
              <w:rPr>
                <w:rFonts w:ascii="Arial" w:cs="Arial" w:eastAsia="Arial" w:hAnsi="Arial"/>
                <w:color w:val="222222"/>
                <w:sz w:val="18"/>
                <w:szCs w:val="18"/>
              </w:rPr>
              <w:t xml:space="preserve">1971</w:t>
            </w:r>
          </w:p>
        </w:tc>
        <w:tc>
          <w:tcPr>
            <w:tcW w:type="dxa" w:w="2860"/>
            <w:shd w:fill="FFFFFF" w:val="clear"/>
            <w:tcMar>
              <w:top w:type="dxa" w:w="80"/>
              <w:left w:type="dxa" w:w="120"/>
              <w:bottom w:type="dxa" w:w="80"/>
              <w:right w:type="dxa" w:w="120"/>
            </w:tcMar>
          </w:tcPr>
          <w:p>
            <w:r>
              <w:rPr>
                <w:rFonts w:ascii="Arial" w:cs="Arial" w:eastAsia="Arial" w:hAnsi="Arial"/>
                <w:color w:val="222222"/>
                <w:sz w:val="18"/>
                <w:szCs w:val="18"/>
              </w:rPr>
              <w:t xml:space="preserve">SSI infrastructure and raw material supply</w:t>
            </w:r>
          </w:p>
        </w:tc>
        <w:tc>
          <w:tcPr>
            <w:tcW w:type="dxa" w:w="3400"/>
            <w:shd w:fill="FFFFFF" w:val="clear"/>
            <w:tcMar>
              <w:top w:type="dxa" w:w="80"/>
              <w:left w:type="dxa" w:w="120"/>
              <w:bottom w:type="dxa" w:w="80"/>
              <w:right w:type="dxa" w:w="120"/>
            </w:tcMar>
          </w:tcPr>
          <w:p>
            <w:r>
              <w:rPr>
                <w:rFonts w:ascii="Arial" w:cs="Arial" w:eastAsia="Arial" w:hAnsi="Arial"/>
                <w:color w:val="222222"/>
                <w:sz w:val="18"/>
                <w:szCs w:val="18"/>
              </w:rPr>
              <w:t xml:space="preserve">MSME ecosystem; 49 estates; 2,349 factory sheds by 1989</w:t>
            </w:r>
          </w:p>
        </w:tc>
      </w:tr>
      <w:tr>
        <w:tc>
          <w:tcPr>
            <w:tcW w:type="dxa" w:w="2300"/>
            <w:shd w:fill="F2F7FC" w:val="clear"/>
            <w:tcMar>
              <w:top w:type="dxa" w:w="80"/>
              <w:left w:type="dxa" w:w="120"/>
              <w:bottom w:type="dxa" w:w="80"/>
              <w:right w:type="dxa" w:w="120"/>
            </w:tcMar>
          </w:tcPr>
          <w:p>
            <w:r>
              <w:rPr>
                <w:rFonts w:ascii="Arial" w:cs="Arial" w:eastAsia="Arial" w:hAnsi="Arial"/>
                <w:color w:val="222222"/>
                <w:sz w:val="18"/>
                <w:szCs w:val="18"/>
              </w:rPr>
              <w:t xml:space="preserve">SIPCOT</w:t>
            </w:r>
          </w:p>
        </w:tc>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1971</w:t>
            </w:r>
          </w:p>
        </w:tc>
        <w:tc>
          <w:tcPr>
            <w:tcW w:type="dxa" w:w="2860"/>
            <w:shd w:fill="F2F7FC" w:val="clear"/>
            <w:tcMar>
              <w:top w:type="dxa" w:w="80"/>
              <w:left w:type="dxa" w:w="120"/>
              <w:bottom w:type="dxa" w:w="80"/>
              <w:right w:type="dxa" w:w="120"/>
            </w:tcMar>
          </w:tcPr>
          <w:p>
            <w:r>
              <w:rPr>
                <w:rFonts w:ascii="Arial" w:cs="Arial" w:eastAsia="Arial" w:hAnsi="Arial"/>
                <w:color w:val="222222"/>
                <w:sz w:val="18"/>
                <w:szCs w:val="18"/>
              </w:rPr>
              <w:t xml:space="preserve">Large industrial complex development</w:t>
            </w:r>
          </w:p>
        </w:tc>
        <w:tc>
          <w:tcPr>
            <w:tcW w:type="dxa" w:w="3400"/>
            <w:shd w:fill="F2F7FC" w:val="clear"/>
            <w:tcMar>
              <w:top w:type="dxa" w:w="80"/>
              <w:left w:type="dxa" w:w="120"/>
              <w:bottom w:type="dxa" w:w="80"/>
              <w:right w:type="dxa" w:w="120"/>
            </w:tcMar>
          </w:tcPr>
          <w:p>
            <w:r>
              <w:rPr>
                <w:rFonts w:ascii="Arial" w:cs="Arial" w:eastAsia="Arial" w:hAnsi="Arial"/>
                <w:color w:val="222222"/>
                <w:sz w:val="18"/>
                <w:szCs w:val="18"/>
              </w:rPr>
              <w:t xml:space="preserve">Land bank enabling foreign investor entry; 24 complexes in 15 districts</w:t>
            </w:r>
          </w:p>
        </w:tc>
      </w:tr>
      <w:tr>
        <w:tc>
          <w:tcPr>
            <w:tcW w:type="dxa" w:w="2300"/>
            <w:shd w:fill="FFFFFF" w:val="clear"/>
            <w:tcMar>
              <w:top w:type="dxa" w:w="80"/>
              <w:left w:type="dxa" w:w="120"/>
              <w:bottom w:type="dxa" w:w="80"/>
              <w:right w:type="dxa" w:w="120"/>
            </w:tcMar>
          </w:tcPr>
          <w:p>
            <w:r>
              <w:rPr>
                <w:rFonts w:ascii="Arial" w:cs="Arial" w:eastAsia="Arial" w:hAnsi="Arial"/>
                <w:color w:val="222222"/>
                <w:sz w:val="18"/>
                <w:szCs w:val="18"/>
              </w:rPr>
              <w:t xml:space="preserve">TIIC</w:t>
            </w:r>
          </w:p>
        </w:tc>
        <w:tc>
          <w:tcPr>
            <w:tcW w:type="dxa" w:w="800"/>
            <w:shd w:fill="FFFFFF" w:val="clear"/>
            <w:tcMar>
              <w:top w:type="dxa" w:w="80"/>
              <w:left w:type="dxa" w:w="120"/>
              <w:bottom w:type="dxa" w:w="80"/>
              <w:right w:type="dxa" w:w="120"/>
            </w:tcMar>
          </w:tcPr>
          <w:p>
            <w:r>
              <w:rPr>
                <w:rFonts w:ascii="Arial" w:cs="Arial" w:eastAsia="Arial" w:hAnsi="Arial"/>
                <w:color w:val="222222"/>
                <w:sz w:val="18"/>
                <w:szCs w:val="18"/>
              </w:rPr>
              <w:t xml:space="preserve">1949</w:t>
            </w:r>
          </w:p>
        </w:tc>
        <w:tc>
          <w:tcPr>
            <w:tcW w:type="dxa" w:w="2860"/>
            <w:shd w:fill="FFFFFF" w:val="clear"/>
            <w:tcMar>
              <w:top w:type="dxa" w:w="80"/>
              <w:left w:type="dxa" w:w="120"/>
              <w:bottom w:type="dxa" w:w="80"/>
              <w:right w:type="dxa" w:w="120"/>
            </w:tcMar>
          </w:tcPr>
          <w:p>
            <w:r>
              <w:rPr>
                <w:rFonts w:ascii="Arial" w:cs="Arial" w:eastAsia="Arial" w:hAnsi="Arial"/>
                <w:color w:val="222222"/>
                <w:sz w:val="18"/>
                <w:szCs w:val="18"/>
              </w:rPr>
              <w:t xml:space="preserve">Term finance for fixed assets</w:t>
            </w:r>
          </w:p>
        </w:tc>
        <w:tc>
          <w:tcPr>
            <w:tcW w:type="dxa" w:w="3400"/>
            <w:shd w:fill="FFFFFF" w:val="clear"/>
            <w:tcMar>
              <w:top w:type="dxa" w:w="80"/>
              <w:left w:type="dxa" w:w="120"/>
              <w:bottom w:type="dxa" w:w="80"/>
              <w:right w:type="dxa" w:w="120"/>
            </w:tcMar>
          </w:tcPr>
          <w:p>
            <w:r>
              <w:rPr>
                <w:rFonts w:ascii="Arial" w:cs="Arial" w:eastAsia="Arial" w:hAnsi="Arial"/>
                <w:color w:val="222222"/>
                <w:sz w:val="18"/>
                <w:szCs w:val="18"/>
              </w:rPr>
              <w:t xml:space="preserve">Oldest state industrial finance body; 99% SSI focus by 1989</w:t>
            </w:r>
          </w:p>
        </w:tc>
      </w:tr>
      <w:tr>
        <w:tc>
          <w:tcPr>
            <w:tcW w:type="dxa" w:w="2300"/>
            <w:shd w:fill="F2F7FC" w:val="clear"/>
            <w:tcMar>
              <w:top w:type="dxa" w:w="80"/>
              <w:left w:type="dxa" w:w="120"/>
              <w:bottom w:type="dxa" w:w="80"/>
              <w:right w:type="dxa" w:w="120"/>
            </w:tcMar>
          </w:tcPr>
          <w:p>
            <w:r>
              <w:rPr>
                <w:rFonts w:ascii="Arial" w:cs="Arial" w:eastAsia="Arial" w:hAnsi="Arial"/>
                <w:color w:val="222222"/>
                <w:sz w:val="18"/>
                <w:szCs w:val="18"/>
              </w:rPr>
              <w:t xml:space="preserve">TIDEL / ELCOT</w:t>
            </w:r>
          </w:p>
        </w:tc>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1998</w:t>
            </w:r>
          </w:p>
        </w:tc>
        <w:tc>
          <w:tcPr>
            <w:tcW w:type="dxa" w:w="2860"/>
            <w:shd w:fill="F2F7FC" w:val="clear"/>
            <w:tcMar>
              <w:top w:type="dxa" w:w="80"/>
              <w:left w:type="dxa" w:w="120"/>
              <w:bottom w:type="dxa" w:w="80"/>
              <w:right w:type="dxa" w:w="120"/>
            </w:tcMar>
          </w:tcPr>
          <w:p>
            <w:r>
              <w:rPr>
                <w:rFonts w:ascii="Arial" w:cs="Arial" w:eastAsia="Arial" w:hAnsi="Arial"/>
                <w:color w:val="222222"/>
                <w:sz w:val="18"/>
                <w:szCs w:val="18"/>
              </w:rPr>
              <w:t xml:space="preserve">IT park development and electronics promotion</w:t>
            </w:r>
          </w:p>
        </w:tc>
        <w:tc>
          <w:tcPr>
            <w:tcW w:type="dxa" w:w="3400"/>
            <w:shd w:fill="F2F7FC" w:val="clear"/>
            <w:tcMar>
              <w:top w:type="dxa" w:w="80"/>
              <w:left w:type="dxa" w:w="120"/>
              <w:bottom w:type="dxa" w:w="80"/>
              <w:right w:type="dxa" w:w="120"/>
            </w:tcMar>
          </w:tcPr>
          <w:p>
            <w:r>
              <w:rPr>
                <w:rFonts w:ascii="Arial" w:cs="Arial" w:eastAsia="Arial" w:hAnsi="Arial"/>
                <w:color w:val="222222"/>
                <w:sz w:val="18"/>
                <w:szCs w:val="18"/>
              </w:rPr>
              <w:t xml:space="preserve">Catalyst for OMR IT corridor; Tier-2 city knowledge economy</w:t>
            </w:r>
          </w:p>
        </w:tc>
      </w:tr>
      <w:tr>
        <w:tc>
          <w:tcPr>
            <w:tcW w:type="dxa" w:w="2300"/>
            <w:shd w:fill="FFFFFF" w:val="clear"/>
            <w:tcMar>
              <w:top w:type="dxa" w:w="80"/>
              <w:left w:type="dxa" w:w="120"/>
              <w:bottom w:type="dxa" w:w="80"/>
              <w:right w:type="dxa" w:w="120"/>
            </w:tcMar>
          </w:tcPr>
          <w:p>
            <w:r>
              <w:rPr>
                <w:rFonts w:ascii="Arial" w:cs="Arial" w:eastAsia="Arial" w:hAnsi="Arial"/>
                <w:color w:val="222222"/>
                <w:sz w:val="18"/>
                <w:szCs w:val="18"/>
              </w:rPr>
              <w:t xml:space="preserve">Guidance TN</w:t>
            </w:r>
          </w:p>
        </w:tc>
        <w:tc>
          <w:tcPr>
            <w:tcW w:type="dxa" w:w="800"/>
            <w:shd w:fill="FFFFFF" w:val="clear"/>
            <w:tcMar>
              <w:top w:type="dxa" w:w="80"/>
              <w:left w:type="dxa" w:w="120"/>
              <w:bottom w:type="dxa" w:w="80"/>
              <w:right w:type="dxa" w:w="120"/>
            </w:tcMar>
          </w:tcPr>
          <w:p>
            <w:r>
              <w:rPr>
                <w:rFonts w:ascii="Arial" w:cs="Arial" w:eastAsia="Arial" w:hAnsi="Arial"/>
                <w:color w:val="222222"/>
                <w:sz w:val="18"/>
                <w:szCs w:val="18"/>
              </w:rPr>
              <w:t xml:space="preserve">1992</w:t>
            </w:r>
          </w:p>
        </w:tc>
        <w:tc>
          <w:tcPr>
            <w:tcW w:type="dxa" w:w="2860"/>
            <w:shd w:fill="FFFFFF" w:val="clear"/>
            <w:tcMar>
              <w:top w:type="dxa" w:w="80"/>
              <w:left w:type="dxa" w:w="120"/>
              <w:bottom w:type="dxa" w:w="80"/>
              <w:right w:type="dxa" w:w="120"/>
            </w:tcMar>
          </w:tcPr>
          <w:p>
            <w:r>
              <w:rPr>
                <w:rFonts w:ascii="Arial" w:cs="Arial" w:eastAsia="Arial" w:hAnsi="Arial"/>
                <w:color w:val="222222"/>
                <w:sz w:val="18"/>
                <w:szCs w:val="18"/>
              </w:rPr>
              <w:t xml:space="preserve">Investment facilitation and single-window clearance</w:t>
            </w:r>
          </w:p>
        </w:tc>
        <w:tc>
          <w:tcPr>
            <w:tcW w:type="dxa" w:w="3400"/>
            <w:shd w:fill="FFFFFF" w:val="clear"/>
            <w:tcMar>
              <w:top w:type="dxa" w:w="80"/>
              <w:left w:type="dxa" w:w="120"/>
              <w:bottom w:type="dxa" w:w="80"/>
              <w:right w:type="dxa" w:w="120"/>
            </w:tcMar>
          </w:tcPr>
          <w:p>
            <w:r>
              <w:rPr>
                <w:rFonts w:ascii="Arial" w:cs="Arial" w:eastAsia="Arial" w:hAnsi="Arial"/>
                <w:color w:val="222222"/>
                <w:sz w:val="18"/>
                <w:szCs w:val="18"/>
              </w:rPr>
              <w:t xml:space="preserve">Critical for FDI pipeline; responded to Ford and Hyundai queries</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1989 Industrial Policy, discussed at length in Section 1, was the summation of Wave 2 thinking: an interconnected system that treated infrastructure, finance, technology, cooperatives, and entrepreneurship as a single integrated framework. The policy’s deliberate calibration of incentives toward backward districts and socially underrepresented groups reflected a specifically Dravidian conception of industrialisation — one in which social justice and industrial efficiency were understood as complementary, not competing, objectives. Critically, this policy was enacted two years before India’s liberalisation in 1991. When the License Raj was dismantled and foreign investment was permitted to flow freely, Tamil Nadu already possessed the institutional substrate investors required: developed industrial land (SIPCOT), accessible finance for component suppliers (TIIC and SIDCO), a trained technical workforce (ITIs and polytechnics built through Wave 2 investment), and an experienced investment facilitation apparatus (TIDCO). States that had not built equivalent institutions during the 1970s and 1980s found that liberalisation brought them the opportunity to attract investment but not the capability to convert that opportunity into actual flows. Tamil Nadu converted it — faster and more completely than any comparable state — because the 1989 policy had consolidated the institutional foundations that Ford, Hyundai, Saint-Gobain, and Visteon required. Liberalisation did not create Tamil Nadu’s industrial competitiveness. It revealed it.</w:t>
      </w:r>
    </w:p>
    <w:p>
      <w:pPr>
        <w:spacing w:after="80" w:before="80" w:line="276"/>
        <w:jc w:val="both"/>
      </w:pPr>
      <w:r>
        <w:rPr>
          <w:rFonts w:ascii="Arial" w:cs="Arial" w:eastAsia="Arial" w:hAnsi="Arial"/>
          <w:color w:val="222222"/>
          <w:sz w:val="20"/>
          <w:szCs w:val="20"/>
        </w:rPr>
        <w:t xml:space="preserve">The compounding effect of this institutional infrastructure became most visible during Wave 3. When Hyundai evaluated India in 1996, the SIPCOT land bank at Sriperumbudur — assembled over the previous two decades — was ready: large, contiguous, legally unencumbered, and professionally managed. Hyundai did not need to negotiate land acquisition from hundreds of smallholders, navigate fragmented title records, or wait years for clearances. The land was there because SIPCOT had built it to be there. The same logic applied when Foxconn evaluated electronics manufacturing sites in the early 2020s: the Hosur SIPCOT complex, established in 1973 for automotive and engineering clusters, had by then accumulated fifty years of infrastructure, logistics networks, and supplier ecosystems that Foxconn’s supply chain required. The Wave 2 institutional investment of the 1970s did not produce visible returns in the 1970s. It produced them in the 1990s, the 2000s, and the 2020s. That fifty-year return horizon is precisely what distinguishes institution-building from factory-building — and why the institutional decisions of the early Karunanidhi administrations continue to shape Tamil Nadu’s industrial geography today.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3.3 Wave 3: Global Integration and the Knowledge Economy (1996–Present)</w:t>
      </w:r>
    </w:p>
    <w:p>
      <w:pPr>
        <w:spacing w:after="80" w:before="80" w:line="276"/>
        <w:jc w:val="both"/>
      </w:pPr>
      <w:r>
        <w:rPr>
          <w:rFonts w:ascii="Arial" w:cs="Arial" w:eastAsia="Arial" w:hAnsi="Arial"/>
          <w:color w:val="222222"/>
          <w:sz w:val="20"/>
          <w:szCs w:val="20"/>
        </w:rPr>
        <w:t xml:space="preserve">The third wave began with a catalytic event: Jayalalithaa’s personal intervention to bring Ford Motor Company to Chennai in 1995, followed immediately by the Karunanidhi administration’s facilitation of Hyundai’s investment in 1996. These two decisions, made by rival governments in quick succession, transformed Tamil Nadu from an institutionally strong industrial state into a node in global automotive supply chains.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Crucially, Wave 3 was only possible because Wave 2 had already been completed. When Ford asked TIDCO to guarantee uninterrupted power, water supply, and to construct an international school for its staff’s children, Tamil Nadu could say yes precisely because the Wave 2 institutions — TIDCO, SIPCOT, DICs — existed and functioned. States that had not built equivalent institutions during the 1970s and 1980s could not make equivalent promises with credibility. The competitive advantage Tamil Nadu enjoys in the current phase of global manufacturing integration was thus constructed decades in advance.</w:t>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shd w:fill="EBF3FB" w:val="clear"/>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The Core Analytical Insight: Tamil Nadu’s Wave 3 competitiveness was not caused by liberalisation in 1991. It was revealed by liberalisation. The institutional infrastructure — land banks, finance corporations, industrial estates, bureaucratic capacity — had been built during Wave 2. Liberalisation simply opened the door; Tamil Nadu had already built the room.</w:t>
            </w:r>
          </w:p>
        </w:tc>
      </w:tr>
    </w:tbl>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The Three-Phase Evolution of the Dravidian Model: 1967 – 2026
Reading Tamil Nadu’s industrial history alongside its political history reveals a coherent developmental trajectory, divisible into three phases that built sequentially on one another:
Phase 1 — The Social Justice State (1967 onward). Rooted in the Self-Respect and Dravidian movements, the first DMK government institutionalised inclusion: expanded reservation, free education, the nutritious midday-meal tradition, and Tamil language and identity. The defining achievement was widening who could participate in public and economic life. This phase created the social floor on which subsequent industrialisation would stand.
Phase 2 — The Industrial State (c. 1971–2020). The institutional architecture built during Wave 2 — SIPCOT, SIDCO, TIIC, TIDCO — created the productive capacity that liberalisation would subsequently activate. The automobile cluster, the IT corridor, and the MSME ecosystem all emerged from this foundation. The defining achievement was building Tamil Nadu’s industrial capacity: the factories, the land banks, the finance pipelines, and the facilitation infrastructure.
Phase 3 — The Developmental State (2021–2026). The current phase integrates what the first two built: welfare and human capital (Phase 1) and industrial depth (Phase 2) are now knit together through fiscal self-reliance, digital state capacity, and advanced manufacturing. Electronics exports, GCCs, the Defence Industrial Corridor, and Naan Mudhalvan represent not a departure from the Dravidian tradition but its maturation. The defining achievement is synthesis: distribution and production reinforcing one another.
The interpretive point: the Dravidian Model evolved from a social-justice project into a developmental-state project without abandoning its social-justice foundations. Each phase kept the previous one’s gains and added a new capability. Karunanidhi’s institutional legacy sits at the hinge between Phase 1 and Phase 2 — the point at which social justice commitments were first given durable economic infrastructure.</w:t>
            </w:r>
          </w:p>
        </w:tc>
      </w:tr>
    </w:tbl>
    <w:p>
      <w:pPr>
        <w:spacing w:after="40" w:before="40"/>
      </w:pPr>
      <w:r>
        <w:rPr>
          <w:rFonts w:ascii="Arial" w:cs="Arial" w:eastAsia="Arial" w:hAnsi="Arial"/>
          <w:sz w:val="20"/>
          <w:szCs w:val="20"/>
        </w:rPr>
        <w:t xml:space="preserve"/>
      </w:r>
    </w:p>
    <w:p>
      <w:pPr>
        <w:pStyle w:val="Heading1"/>
        <w:spacing w:after="160" w:before="360"/>
      </w:pPr>
      <w:r>
        <w:rPr>
          <w:rFonts w:ascii="Arial" w:cs="Arial" w:eastAsia="Arial" w:hAnsi="Arial"/>
          <w:b/>
          <w:bCs/>
          <w:color w:val="1F3864"/>
          <w:sz w:val="28"/>
          <w:szCs w:val="28"/>
        </w:rPr>
        <w:t xml:space="preserve">4. Structural Change and the Limits of Industrialisation (1980–2010)</w:t>
      </w:r>
    </w:p>
    <w:p>
      <w:pPr>
        <w:spacing w:after="80" w:before="80" w:line="276"/>
        <w:jc w:val="both"/>
      </w:pPr>
      <w:r>
        <w:rPr>
          <w:rFonts w:ascii="Arial" w:cs="Arial" w:eastAsia="Arial" w:hAnsi="Arial"/>
          <w:color w:val="222222"/>
          <w:sz w:val="20"/>
          <w:szCs w:val="20"/>
        </w:rPr>
        <w:t xml:space="preserve">The three-wave framework established in Section 3 provides the narrative structure; this section provides the quantitative evidence. The MIDS Working Paper by Kalaiyarasan A. (2020) offers a rigorous analytical assessment of Tamil Nadu’s industrialisation, drawing on CSO, NSS, and ASI data across three decades to identify what makes Tamil Nadu’s growth distinctive — and what structu</w:t>
      </w:r>
    </w:p>
    <w:p>
      <w:pPr>
        <w:pStyle w:val="Heading2"/>
        <w:spacing w:after="120" w:before="280"/>
      </w:pPr>
      <w:r>
        <w:rPr>
          <w:rFonts w:ascii="Arial" w:cs="Arial" w:eastAsia="Arial" w:hAnsi="Arial"/>
          <w:b/>
          <w:bCs/>
          <w:color w:val="2E5FA3"/>
          <w:sz w:val="24"/>
          <w:szCs w:val="24"/>
        </w:rPr>
        <w:t xml:space="preserve">4.1 Growth Performance and Sectoral Dynamics</w:t>
      </w:r>
    </w:p>
    <w:p>
      <w:pPr>
        <w:spacing w:after="80" w:before="80" w:line="276"/>
        <w:jc w:val="both"/>
      </w:pPr>
      <w:r>
        <w:rPr>
          <w:rFonts w:ascii="Arial" w:cs="Arial" w:eastAsia="Arial" w:hAnsi="Arial"/>
          <w:color w:val="222222"/>
          <w:sz w:val="20"/>
          <w:szCs w:val="20"/>
        </w:rPr>
        <w:t xml:space="preserve">Tamil Nadu’s per capita income grew from ₹12,082 in 1980 (16% above the national average) to ₹48,031 in the triennium ending 2010 — now 45% above the national average. This sustained widening of the income gap over three decades is remarkable, particularly given that standard economic theory predicts convergence between richer and poorer regions.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Sector</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CAGR 1980–2010 (TN)</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CAGR 1980–2010 (India)</w:t>
            </w:r>
          </w:p>
        </w:tc>
        <w:tc>
          <w:tcPr>
            <w:tcW w:type="dxa" w:w="2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TN’s Share in GSDP (2009–10)</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Agriculture</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3.1%</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2.7%</w:t>
            </w:r>
          </w:p>
        </w:tc>
        <w:tc>
          <w:tcPr>
            <w:tcW w:type="dxa" w:w="2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9%</w:t>
            </w:r>
          </w:p>
        </w:tc>
      </w:tr>
      <w:tr>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Industry</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6.0%</w:t>
            </w:r>
          </w:p>
        </w:tc>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5.4%</w:t>
            </w:r>
          </w:p>
        </w:tc>
        <w:tc>
          <w:tcPr>
            <w:tcW w:type="dxa" w:w="2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31%</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5.4%</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6.9%</w:t>
            </w:r>
          </w:p>
        </w:tc>
        <w:tc>
          <w:tcPr>
            <w:tcW w:type="dxa" w:w="2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21%</w:t>
            </w:r>
          </w:p>
        </w:tc>
      </w:tr>
      <w:tr>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Services</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7.5%</w:t>
            </w:r>
          </w:p>
        </w:tc>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7.2%</w:t>
            </w:r>
          </w:p>
        </w:tc>
        <w:tc>
          <w:tcPr>
            <w:tcW w:type="dxa" w:w="2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60%</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A striking finding is the decline in manufacturing’s share of GSDP — from 27% in 1980–81 to 21% in 2009–10 — even as the state maintained the highest share of manufacturing employment nationally. Kalaiyarasan interprets this not as deindustrialisation but as ‘servitisation’: the penetration of service activities within manufacturing, which increases productivity but reduces output-per-worker ratios.</w:t>
      </w:r>
    </w:p>
    <w:p>
      <w:pPr>
        <w:pStyle w:val="Heading2"/>
        <w:spacing w:after="120" w:before="280"/>
      </w:pPr>
      <w:r>
        <w:rPr>
          <w:rFonts w:ascii="Arial" w:cs="Arial" w:eastAsia="Arial" w:hAnsi="Arial"/>
          <w:b/>
          <w:bCs/>
          <w:color w:val="2E5FA3"/>
          <w:sz w:val="24"/>
          <w:szCs w:val="24"/>
        </w:rPr>
        <w:t xml:space="preserve">4.2 What Makes Tamil Nadu’s Industrialisation Distinctive</w:t>
      </w:r>
    </w:p>
    <w:p>
      <w:pPr>
        <w:spacing w:after="80" w:before="80" w:line="276"/>
        <w:jc w:val="both"/>
      </w:pPr>
      <w:r>
        <w:rPr>
          <w:rFonts w:ascii="Arial" w:cs="Arial" w:eastAsia="Arial" w:hAnsi="Arial"/>
          <w:color w:val="222222"/>
          <w:sz w:val="20"/>
          <w:szCs w:val="20"/>
        </w:rPr>
        <w:t xml:space="preserve">Compared to Maharashtra and Gujarat — the other two benchmark industrial states — Tamil Nadu’s manufacturing profile is distinctively labour-intensive, spatially dispersed, and socially inclusive: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1900"/>
        <w:gridCol w:w="1960"/>
      </w:tblGrid>
      <w:tr>
        <w:trPr>
          <w:tblHeader/>
        </w:trPr>
        <w:tc>
          <w:tcPr>
            <w:tcW w:type="dxa" w:w="3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21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Tamil Nadu</w:t>
            </w:r>
          </w:p>
        </w:tc>
        <w:tc>
          <w:tcPr>
            <w:tcW w:type="dxa" w:w="1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Gujarat</w:t>
            </w:r>
          </w:p>
        </w:tc>
        <w:tc>
          <w:tcPr>
            <w:tcW w:type="dxa" w:w="19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Maharashtra</w:t>
            </w:r>
          </w:p>
        </w:tc>
      </w:tr>
      <w:tr>
        <w:tc>
          <w:tcPr>
            <w:tcW w:type="dxa" w:w="3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Share of operating factories (national)</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15.4%</w:t>
            </w:r>
          </w:p>
        </w:tc>
        <w:tc>
          <w:tcPr>
            <w:tcW w:type="dxa" w:w="1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9.7%</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12.6%</w:t>
            </w:r>
          </w:p>
        </w:tc>
      </w:tr>
      <w:tr>
        <w:tc>
          <w:tcPr>
            <w:tcW w:type="dxa" w:w="3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Persons engaged in registered factories</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15.1%</w:t>
            </w:r>
          </w:p>
        </w:tc>
        <w:tc>
          <w:tcPr>
            <w:tcW w:type="dxa" w:w="1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10.1%</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13.9%</w:t>
            </w:r>
          </w:p>
        </w:tc>
      </w:tr>
      <w:tr>
        <w:tc>
          <w:tcPr>
            <w:tcW w:type="dxa" w:w="3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Gross Value Added (national share)</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10.0%</w:t>
            </w:r>
          </w:p>
        </w:tc>
        <w:tc>
          <w:tcPr>
            <w:tcW w:type="dxa" w:w="1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14.6%</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21.5%</w:t>
            </w:r>
          </w:p>
        </w:tc>
      </w:tr>
      <w:tr>
        <w:tc>
          <w:tcPr>
            <w:tcW w:type="dxa" w:w="3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Capital intensity ratio (fixed capital/workers)</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4.4</w:t>
            </w:r>
          </w:p>
        </w:tc>
        <w:tc>
          <w:tcPr>
            <w:tcW w:type="dxa" w:w="1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12.4</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8.7</w:t>
            </w:r>
          </w:p>
        </w:tc>
      </w:tr>
      <w:tr>
        <w:tc>
          <w:tcPr>
            <w:tcW w:type="dxa" w:w="3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Wage share in GVA (emoluments, 2008–15 avg.)</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32%</w:t>
            </w:r>
          </w:p>
        </w:tc>
        <w:tc>
          <w:tcPr>
            <w:tcW w:type="dxa" w:w="1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17%</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22%</w:t>
            </w:r>
          </w:p>
        </w:tc>
      </w:tr>
      <w:tr>
        <w:tc>
          <w:tcPr>
            <w:tcW w:type="dxa" w:w="3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OBC-owned enterprises (100+ workers)</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67%</w:t>
            </w:r>
          </w:p>
        </w:tc>
        <w:tc>
          <w:tcPr>
            <w:tcW w:type="dxa" w:w="1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11%</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8%</w:t>
            </w:r>
          </w:p>
        </w:tc>
      </w:tr>
      <w:tr>
        <w:tc>
          <w:tcPr>
            <w:tcW w:type="dxa" w:w="3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 share in total employment (2011–12)</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19.9%</w:t>
            </w:r>
          </w:p>
        </w:tc>
        <w:tc>
          <w:tcPr>
            <w:tcW w:type="dxa" w:w="1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12.2%</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low capital intensity ratio is the most telling figure. Tamil Nadu produces more jobs per unit of investment than either comparator state — a feature rooted in its cluster structure. As Kalaiyarasan notes, each region has sector-specific clusters: Sivakasi for safety matches and fireworks; Karur, Erode, and Salem for powerlooms and home textiles; Tiruppur for knitwear; Ambur and Ranipet for leather; and the Chennai corridor for automobiles.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5D6"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Social Inclusivity: A Structural Feature, Not a Policy Add-On</w:t>
            </w:r>
          </w:p>
          <w:p>
            <w:pPr>
              <w:spacing w:after="40" w:before="40"/>
              <w:jc w:val="both"/>
            </w:pPr>
            <w:r>
              <w:rPr>
                <w:rFonts w:ascii="Arial" w:cs="Arial" w:eastAsia="Arial" w:hAnsi="Arial"/>
                <w:color w:val="222222"/>
                <w:sz w:val="19"/>
                <w:szCs w:val="19"/>
              </w:rPr>
              <w:t xml:space="preserve">Economic census data (2013–14) shows that OBCs control 67% of private enterprises with 100+ workers in Tamil Nadu, compared to just 11% in Gujarat and 8% in Maharashtra. Dalits own 6% of enterprises in this size category — and Tamil Nadu has one of the highest concentrations of Dalit enterprises nationally. This reflects decades of deliberate policy embedding social equity into incentive architecture, most visibly in the 1989 framework’s reserved categories, women’s cooperative windows, and tribal lending norms. (Economic Census 2013–14, GoI; analysis: Kalaiyarasan and Vijayabaskar, ‘The Dravidian Model’, CUP, 2021.)</w:t>
            </w:r>
          </w:p>
        </w:tc>
      </w:tr>
    </w:tbl>
    <w:p>
      <w:pPr>
        <w:pStyle w:val="Heading2"/>
        <w:spacing w:after="120" w:before="280"/>
      </w:pPr>
      <w:r>
        <w:rPr>
          <w:rFonts w:ascii="Arial" w:cs="Arial" w:eastAsia="Arial" w:hAnsi="Arial"/>
          <w:b/>
          <w:bCs/>
          <w:color w:val="2E5FA3"/>
          <w:sz w:val="24"/>
          <w:szCs w:val="24"/>
        </w:rPr>
        <w:t xml:space="preserve">4.3 Employment Structure: Mismatch and Resilience</w:t>
      </w:r>
    </w:p>
    <w:p>
      <w:pPr>
        <w:spacing w:after="80" w:before="80" w:line="276"/>
        <w:jc w:val="both"/>
      </w:pPr>
      <w:r>
        <w:rPr>
          <w:rFonts w:ascii="Arial" w:cs="Arial" w:eastAsia="Arial" w:hAnsi="Arial"/>
          <w:color w:val="222222"/>
          <w:sz w:val="20"/>
          <w:szCs w:val="20"/>
        </w:rPr>
        <w:t xml:space="preserve">Despite impressive growth, Tamil Nadu exhibits the classic income-employment mismatch of structural transformation. Agriculture generated only 8% of state income in 2011–12 while absorbing 35% of the workforce. Services generated 60% of income but employed only 31% of workers.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total labour force grew from 24.6 million (1983–84) to 33.1 million (2011–12) — a 35% increase. But crucially, this expansion was far slower than the all-India average of 57%, because Tamil Nadu’s fertility decline had already compressed the working-age cohort. The primary challenge was therefore not accommodating new entrants but reshuffling existing workers from agriculture into more productive sectors.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Of the 8.6 million additional workers added between 1983 and 2012, approximately 2.5 million moved into manufacturing, 3.3 million into construction, and 4.8 million into services. Agriculture shed 2.5 million workers — a structural shift without parallel in most other Indian states. Manufacturing employment elasticity was 1.18 in 2009–12, the highest of any sector, confirming manufacturing’s continued capacity to absorb displaced agricultural labour.</w:t>
      </w:r>
    </w:p>
    <w:p>
      <w:pPr>
        <w:pStyle w:val="Heading2"/>
        <w:spacing w:after="120" w:before="280"/>
      </w:pPr>
      <w:r>
        <w:rPr>
          <w:rFonts w:ascii="Arial" w:cs="Arial" w:eastAsia="Arial" w:hAnsi="Arial"/>
          <w:b/>
          <w:bCs/>
          <w:color w:val="2E5FA3"/>
          <w:sz w:val="24"/>
          <w:szCs w:val="24"/>
        </w:rPr>
        <w:t xml:space="preserve">4.4 Wage Structure: Higher, More Equal, but Declining in Share</w:t>
      </w:r>
    </w:p>
    <w:p>
      <w:pPr>
        <w:spacing w:after="80" w:before="80" w:line="276"/>
        <w:jc w:val="both"/>
      </w:pPr>
      <w:r>
        <w:rPr>
          <w:rFonts w:ascii="Arial" w:cs="Arial" w:eastAsia="Arial" w:hAnsi="Arial"/>
          <w:color w:val="222222"/>
          <w:sz w:val="20"/>
          <w:szCs w:val="20"/>
        </w:rPr>
        <w:t xml:space="preserve">Tamil Nadu workers earn more than workers in Gujarat or Maharashtra, and the gap between casual and regular wages is smaller. Average casual wages (combined rural and urban) in 2011–12 were ₹164 daily in Tamil Nadu, against ₹121 in Maharashtra and ₹116 in Gujarat. The ratio of casual to regular wages — a measure of wage inequality — improved from 35% in 1993–94 to 48.5% in 2011–12, outpacing all comparator states.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primary drivers were MGNREGA (which set a floor on rural wages and raised the reservation wage statewide), the state’s broad-based rural-urban connectivity (enabling commuting rather than migration), and a strong universal PDS — which implicitly functioned as a wage supplement enabling workers to accept lower cash wages without compromising nutritional security. Drèze and Khera (2013) estimated that PDS implicit subsidy amounted to ₹113 per month per head for rural Tamil Nadu — the highest nationally.</w:t>
      </w:r>
    </w:p>
    <w:p>
      <w:pPr>
        <w:pStyle w:val="Heading2"/>
        <w:spacing w:after="120" w:before="280"/>
      </w:pPr>
      <w:r>
        <w:rPr>
          <w:rFonts w:ascii="Arial" w:cs="Arial" w:eastAsia="Arial" w:hAnsi="Arial"/>
          <w:b/>
          <w:bCs/>
          <w:color w:val="2E5FA3"/>
          <w:sz w:val="24"/>
          <w:szCs w:val="24"/>
        </w:rPr>
        <w:t xml:space="preserve">4.5 Urbanisation from Below</w:t>
      </w:r>
    </w:p>
    <w:p>
      <w:pPr>
        <w:spacing w:after="80" w:before="80" w:line="276"/>
        <w:jc w:val="both"/>
      </w:pPr>
      <w:r>
        <w:rPr>
          <w:rFonts w:ascii="Arial" w:cs="Arial" w:eastAsia="Arial" w:hAnsi="Arial"/>
          <w:color w:val="222222"/>
          <w:sz w:val="20"/>
          <w:szCs w:val="20"/>
        </w:rPr>
        <w:t xml:space="preserve">Tamil Nadu’s urbanisation rate reached 48.4% in 2011 — the second highest among major Indian states, surpassing Maharashtra (45.2%) and Gujarat (42.6%). What is distinctive is the pathway: urbanisation was not driven by metropolitan concentration but by the proliferation of ‘census towns’ — semi-urban growth centres emerging around industrial clusters in Kancheepuram, Oragadam, Tiruppur, and Hosur. This ‘urbanisation from below’, enabled by Dravidian governments’ investment in minor roads and bus nationalisation, created a spatially distributed urban economy tied to industrial clusters rather than a single primate city.</w:t>
      </w:r>
    </w:p>
    <w:p>
      <w:pPr>
        <w:pStyle w:val="Heading2"/>
        <w:spacing w:after="120" w:before="280"/>
      </w:pPr>
      <w:r>
        <w:rPr>
          <w:rFonts w:ascii="Arial" w:cs="Arial" w:eastAsia="Arial" w:hAnsi="Arial"/>
          <w:b/>
          <w:bCs/>
          <w:color w:val="2E5FA3"/>
          <w:sz w:val="24"/>
          <w:szCs w:val="24"/>
        </w:rPr>
        <w:t xml:space="preserve">4.6 State Welfare Interventions: The Social Compact of Growth</w:t>
      </w:r>
    </w:p>
    <w:p>
      <w:pPr>
        <w:spacing w:after="80" w:before="80" w:line="276"/>
        <w:jc w:val="both"/>
      </w:pPr>
      <w:r>
        <w:rPr>
          <w:rFonts w:ascii="Arial" w:cs="Arial" w:eastAsia="Arial" w:hAnsi="Arial"/>
          <w:color w:val="222222"/>
          <w:sz w:val="20"/>
          <w:szCs w:val="20"/>
        </w:rPr>
        <w:t xml:space="preserve">Kalaiyarasan’s central analytical contribution is demonstrating how Tamil Nadu’s welfare state was not separate from its industrial strategy but constitutive of it. Three structural challenges drove welfare expansion: agriculture’s negative employment elasticity (workers leaving faster than formal jobs absorbed them); the dominance of casual and informal employment in construction and services; and rising educational aspirations creating pressure for quality jobs.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response was the construction of an unusually comprehensive labour welfare architecture: 17 welfare boards for informal workers (a national first), the Construction Workers Welfare Board (1994), bidi worker health and pension provisions from the mid-1980s, and a universal PDS operating through cooperative fair price shops. As Vijayabaskar (2011) observed from fieldwork in Tiruppur, welfare schemes allowed ‘capital to pursue accumulation without the burden of providing for labour’ — effectively making casual employment viable without reproducing absolute poverty.</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5. Liberalisation and the Rise of Market-Led Growth (1991–2005)</w:t>
      </w:r>
    </w:p>
    <w:p>
      <w:pPr>
        <w:spacing w:after="80" w:before="80" w:line="276"/>
        <w:jc w:val="both"/>
      </w:pPr>
      <w:r>
        <w:rPr>
          <w:rFonts w:ascii="Arial" w:cs="Arial" w:eastAsia="Arial" w:hAnsi="Arial"/>
          <w:color w:val="222222"/>
          <w:sz w:val="20"/>
          <w:szCs w:val="20"/>
        </w:rPr>
        <w:t xml:space="preserve">The Union Budget of 1991 dismantled the License Raj and opened India to foreign and private capital. As the Wave 2 analysis in Section 3 establishes, Tamil Nadu’s response was markedly different from most states because it already had the institutional substrate — DICs, SIDCO, TIIC, electronics estates, and a trained workforce — that the 1989 policy had consolidated. As the 1989 policy’s own architects anticipated, liberalisation did not create Tamil Nadu’s industrial ecosystem; it accelerated an ecosystem already built.</w:t>
      </w:r>
    </w:p>
    <w:p>
      <w:pPr>
        <w:pStyle w:val="Heading2"/>
        <w:spacing w:after="120" w:before="280"/>
      </w:pPr>
      <w:r>
        <w:rPr>
          <w:rFonts w:ascii="Arial" w:cs="Arial" w:eastAsia="Arial" w:hAnsi="Arial"/>
          <w:b/>
          <w:bCs/>
          <w:color w:val="2E5FA3"/>
          <w:sz w:val="24"/>
          <w:szCs w:val="24"/>
        </w:rPr>
        <w:t xml:space="preserve">5.1 Structural Shift: Key Indicators 1990–2005</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2160"/>
      </w:tblGrid>
      <w:tr>
        <w:trPr>
          <w:tblHeader/>
        </w:trPr>
        <w:tc>
          <w:tcPr>
            <w:tcW w:type="dxa" w:w="3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Indicator</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1990–91</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2004–05</w:t>
            </w:r>
          </w:p>
        </w:tc>
        <w:tc>
          <w:tcPr>
            <w:tcW w:type="dxa" w:w="21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Industrial sector share in GSDP (%)</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29.8%</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36.4%</w:t>
            </w:r>
          </w:p>
        </w:tc>
        <w:tc>
          <w:tcPr>
            <w:tcW w:type="dxa" w:w="2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+22.1%</w:t>
            </w:r>
          </w:p>
        </w:tc>
      </w:tr>
      <w:tr>
        <w:tc>
          <w:tcPr>
            <w:tcW w:type="dxa" w:w="3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 employment (million)</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3.2</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3.6</w:t>
            </w:r>
          </w:p>
        </w:tc>
        <w:tc>
          <w:tcPr>
            <w:tcW w:type="dxa" w:w="2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+12.5%</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Organised manufacturing output (₹ crore)</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18,540</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65,820</w:t>
            </w:r>
          </w:p>
        </w:tc>
        <w:tc>
          <w:tcPr>
            <w:tcW w:type="dxa" w:w="2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+255%</w:t>
            </w:r>
          </w:p>
        </w:tc>
      </w:tr>
      <w:tr>
        <w:tc>
          <w:tcPr>
            <w:tcW w:type="dxa" w:w="3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FDI inflows (cumulative, ₹ crore)</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165</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7,285</w:t>
            </w:r>
          </w:p>
        </w:tc>
        <w:tc>
          <w:tcPr>
            <w:tcW w:type="dxa" w:w="2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+4,316%</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Textile share in manufacturing output (%)</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43.2%</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28.5%</w:t>
            </w:r>
          </w:p>
        </w:tc>
        <w:tc>
          <w:tcPr>
            <w:tcW w:type="dxa" w:w="2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−34.0%</w:t>
            </w:r>
          </w:p>
        </w:tc>
      </w:tr>
      <w:tr>
        <w:tc>
          <w:tcPr>
            <w:tcW w:type="dxa" w:w="3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Per capita GSDP (₹)</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8,420</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24,560</w:t>
            </w:r>
          </w:p>
        </w:tc>
        <w:tc>
          <w:tcPr>
            <w:tcW w:type="dxa" w:w="2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+191.7%</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SSI units registered (’000s)</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195</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228</w:t>
            </w:r>
          </w:p>
        </w:tc>
        <w:tc>
          <w:tcPr>
            <w:tcW w:type="dxa" w:w="2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+16.9%</w:t>
            </w:r>
          </w:p>
        </w:tc>
      </w:tr>
      <w:tr>
        <w:tc>
          <w:tcPr>
            <w:tcW w:type="dxa" w:w="3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Annual industrial growth rate (%)</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6.5%</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9.8%</w:t>
            </w:r>
          </w:p>
        </w:tc>
        <w:tc>
          <w:tcPr>
            <w:tcW w:type="dxa" w:w="2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Rising trend</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period witnessed massive sectoral recomposition. The automobile and electronics sectors became the new growth poles, with Ford India, Hyundai, and Ashok Leyland establishing or expanding operations near Chennai. The number of registered small-scale industries rose from 2.1 lakh in 1990 to 5.4 lakh by 2000, generating employment for over 33 lakh people. By 2000, Tamil Nadu accounted for 11% of India’s total industrial output.</w:t>
      </w:r>
    </w:p>
    <w:p>
      <w:pPr>
        <w:pStyle w:val="Heading2"/>
        <w:spacing w:after="120" w:before="280"/>
      </w:pPr>
      <w:r>
        <w:rPr>
          <w:rFonts w:ascii="Arial" w:cs="Arial" w:eastAsia="Arial" w:hAnsi="Arial"/>
          <w:b/>
          <w:bCs/>
          <w:color w:val="2E5FA3"/>
          <w:sz w:val="24"/>
          <w:szCs w:val="24"/>
        </w:rPr>
        <w:t xml:space="preserve">5.2 The Uneven Distribution of Liberalisation’s Gains</w:t>
      </w:r>
    </w:p>
    <w:p>
      <w:pPr>
        <w:spacing w:after="80" w:before="80" w:line="276"/>
        <w:jc w:val="both"/>
      </w:pPr>
      <w:r>
        <w:rPr>
          <w:rFonts w:ascii="Arial" w:cs="Arial" w:eastAsia="Arial" w:hAnsi="Arial"/>
          <w:color w:val="222222"/>
          <w:sz w:val="20"/>
          <w:szCs w:val="20"/>
        </w:rPr>
        <w:t xml:space="preserve">The gains from liberalisation were not uniformly distributed. Medium and large firms — particularly in the Chennai-Sriperumbudur-Hosur corridor — scaled rapidly and captured export and domestic market share. Smaller units, however, faced rising input costs, loss of tariff protection, and difficulties accessing credit and technology. This accelerated plant exit rates in vulnerable subsectors and produced localised job displacement in informal manufacturing.</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6E4F7"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Policy Lesson from 1991–2005</w:t>
            </w:r>
          </w:p>
          <w:p>
            <w:pPr>
              <w:spacing w:after="40" w:before="40"/>
              <w:jc w:val="both"/>
            </w:pPr>
            <w:r>
              <w:rPr>
                <w:rFonts w:ascii="Arial" w:cs="Arial" w:eastAsia="Arial" w:hAnsi="Arial"/>
                <w:color w:val="222222"/>
                <w:sz w:val="19"/>
                <w:szCs w:val="19"/>
              </w:rPr>
              <w:t xml:space="preserve">Liberalisation unlocked productivity-enhancing capital and structural upgrading. But without targeted complementary interventions — cluster-based technology upgrading, active labour re-skilling, calibrated trade-adjustment assistance — there was tangible risk of deindustrialisation in employment terms even as output and exports rose. Tamil Nadu’s comparatively strong institutional endowments mitigated but did not eliminate adjustment costs for small producers.</w:t>
            </w:r>
          </w:p>
        </w:tc>
      </w:tr>
    </w:tbl>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6. The Transformation Years: 1996–2001</w:t>
      </w:r>
    </w:p>
    <w:p>
      <w:pPr>
        <w:spacing w:after="80" w:before="80" w:line="276"/>
        <w:jc w:val="both"/>
      </w:pPr>
      <w:r>
        <w:rPr>
          <w:rFonts w:ascii="Arial" w:cs="Arial" w:eastAsia="Arial" w:hAnsi="Arial"/>
          <w:color w:val="222222"/>
          <w:sz w:val="20"/>
          <w:szCs w:val="20"/>
        </w:rPr>
        <w:t xml:space="preserve">The five years between 1996 and 2001 constitute the most consequential single period in Tamil Nadu’s post-liberalisation industrial history. The state entered 1996 as a strong but domestically-oriented industrial economy. By 2001, it was a globally integrated manufacturing hub with a nascent IT corridor, an established automotive cluster of international significance, and a policy framework that had positioned it ahead of every other Indian state in attracting foreign capital. Understanding this transformation requires attending to both the political decisions and the institutional mechanisms that produced it.</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6.1 The Automotive Pivot: Ford, Hyundai, and the Cluster Effect</w:t>
      </w:r>
    </w:p>
    <w:p>
      <w:pPr>
        <w:spacing w:after="80" w:before="80" w:line="276"/>
        <w:jc w:val="both"/>
      </w:pPr>
      <w:r>
        <w:rPr>
          <w:rFonts w:ascii="Arial" w:cs="Arial" w:eastAsia="Arial" w:hAnsi="Arial"/>
          <w:color w:val="222222"/>
          <w:sz w:val="20"/>
          <w:szCs w:val="20"/>
        </w:rPr>
        <w:t xml:space="preserve">Ford Motor Company’s decision to locate its first Indian manufacturing facility in Chennai in 1995, actively facilitated by Chief Minister Jayalalithaa, was significant in itself. More significant was what followed. When Jayalalithaa’s AIADMK government was defeated in the 1996 state elections and Karunanidhi returned to power, the incoming DMK administration inherited Ford’s investment — and immediately demonstrated the policy continuity that would become Tamil Nadu’s most powerful competitive advantage.</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Rather than renegotiating or cooling Ford’s investment, the new administration used it as a launch pad. Hyundai Motor Company, which had been evaluating Indian sites and was influenced by the change in investment climate in Maharashtra following the Enron controversy and state elections, was actively courted by the DMK government. Hyundai’s decision to invest — a 100% foreign-owned subsidiary rather than the joint-venture model then standard in Indian manufacturing — was a vote of confidence in Tamil Nadu’s institutional reliability. The first Hyundai vehicle rolled off the Sriperumbudur line in September 1998. Within two years, the Hyundai plant near Chennai had become the company’s global export base for small cars.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cluster effect then operated as economic theory predicts but Tamil Nadu’s institutional infrastructure accelerated. Saint-Gobain established glass manufacturing operations. Visteon and other tier-1 automotive suppliers followed their OEM customers. A component ecosystem of over 200 firms had emerged around the Chennai corridor by 2001. This ‘snowball effect’ — where a credible anchor investment triggers a cascade of supplier investments — is a well-documented phenomenon in industrial economics. In Tamil Nadu, its speed and completeness reflected the pre-existing SIPCOT land bank, TIDCO’s facilitation infrastructure, and a labour force already trained by the polytechnics and ITIs that the Wave 2 investments had seeded across districts.</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800"/>
        <w:gridCol w:w="4160"/>
        <w:gridCol w:w="4400"/>
      </w:tblGrid>
      <w:tr>
        <w:trPr>
          <w:tblHeader/>
        </w:trPr>
        <w:tc>
          <w:tcPr>
            <w:tcW w:type="dxa" w:w="800"/>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4160"/>
            <w:shd w:fill="1F3864" w:val="clear"/>
            <w:tcMar>
              <w:top w:type="dxa" w:w="80"/>
              <w:left w:type="dxa" w:w="120"/>
              <w:bottom w:type="dxa" w:w="80"/>
              <w:right w:type="dxa" w:w="120"/>
            </w:tcMar>
          </w:tcPr>
          <w:p>
            <w:r>
              <w:rPr>
                <w:rFonts w:ascii="Arial" w:cs="Arial" w:eastAsia="Arial" w:hAnsi="Arial"/>
                <w:b/>
                <w:bCs/>
                <w:color w:val="FFFFFF"/>
                <w:sz w:val="18"/>
                <w:szCs w:val="18"/>
              </w:rPr>
              <w:t xml:space="preserve">Investment / Event</w:t>
            </w:r>
          </w:p>
        </w:tc>
        <w:tc>
          <w:tcPr>
            <w:tcW w:type="dxa" w:w="4400"/>
            <w:shd w:fill="1F3864"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1995</w:t>
            </w:r>
          </w:p>
        </w:tc>
        <w:tc>
          <w:tcPr>
            <w:tcW w:type="dxa" w:w="4160"/>
            <w:shd w:fill="F2F7FC" w:val="clear"/>
            <w:tcMar>
              <w:top w:type="dxa" w:w="80"/>
              <w:left w:type="dxa" w:w="120"/>
              <w:bottom w:type="dxa" w:w="80"/>
              <w:right w:type="dxa" w:w="120"/>
            </w:tcMar>
          </w:tcPr>
          <w:p>
            <w:r>
              <w:rPr>
                <w:rFonts w:ascii="Arial" w:cs="Arial" w:eastAsia="Arial" w:hAnsi="Arial"/>
                <w:color w:val="222222"/>
                <w:sz w:val="18"/>
                <w:szCs w:val="18"/>
              </w:rPr>
              <w:t xml:space="preserve">Ford India plant, Maraimalai Nagar (Jayalalithaa administration)</w:t>
            </w:r>
          </w:p>
        </w:tc>
        <w:tc>
          <w:tcPr>
            <w:tcW w:type="dxa" w:w="4400"/>
            <w:shd w:fill="F2F7FC" w:val="clear"/>
            <w:tcMar>
              <w:top w:type="dxa" w:w="80"/>
              <w:left w:type="dxa" w:w="120"/>
              <w:bottom w:type="dxa" w:w="80"/>
              <w:right w:type="dxa" w:w="120"/>
            </w:tcMar>
          </w:tcPr>
          <w:p>
            <w:r>
              <w:rPr>
                <w:rFonts w:ascii="Arial" w:cs="Arial" w:eastAsia="Arial" w:hAnsi="Arial"/>
                <w:color w:val="222222"/>
                <w:sz w:val="18"/>
                <w:szCs w:val="18"/>
              </w:rPr>
              <w:t xml:space="preserve">First major global automotive OEM in Tamil Nadu; anchor for cluster</w:t>
            </w:r>
          </w:p>
        </w:tc>
      </w:tr>
      <w:tr>
        <w:tc>
          <w:tcPr>
            <w:tcW w:type="dxa" w:w="800"/>
            <w:shd w:fill="FFFFFF" w:val="clear"/>
            <w:tcMar>
              <w:top w:type="dxa" w:w="80"/>
              <w:left w:type="dxa" w:w="120"/>
              <w:bottom w:type="dxa" w:w="80"/>
              <w:right w:type="dxa" w:w="120"/>
            </w:tcMar>
          </w:tcPr>
          <w:p>
            <w:r>
              <w:rPr>
                <w:rFonts w:ascii="Arial" w:cs="Arial" w:eastAsia="Arial" w:hAnsi="Arial"/>
                <w:color w:val="222222"/>
                <w:sz w:val="18"/>
                <w:szCs w:val="18"/>
              </w:rPr>
              <w:t xml:space="preserve">1996</w:t>
            </w:r>
          </w:p>
        </w:tc>
        <w:tc>
          <w:tcPr>
            <w:tcW w:type="dxa" w:w="4160"/>
            <w:shd w:fill="FFFFFF" w:val="clear"/>
            <w:tcMar>
              <w:top w:type="dxa" w:w="80"/>
              <w:left w:type="dxa" w:w="120"/>
              <w:bottom w:type="dxa" w:w="80"/>
              <w:right w:type="dxa" w:w="120"/>
            </w:tcMar>
          </w:tcPr>
          <w:p>
            <w:r>
              <w:rPr>
                <w:rFonts w:ascii="Arial" w:cs="Arial" w:eastAsia="Arial" w:hAnsi="Arial"/>
                <w:color w:val="222222"/>
                <w:sz w:val="18"/>
                <w:szCs w:val="18"/>
              </w:rPr>
              <w:t xml:space="preserve">Hyundai Motor India, Sriperumbudur (Karunanidhi administration)</w:t>
            </w:r>
          </w:p>
        </w:tc>
        <w:tc>
          <w:tcPr>
            <w:tcW w:type="dxa" w:w="4400"/>
            <w:shd w:fill="FFFFFF" w:val="clear"/>
            <w:tcMar>
              <w:top w:type="dxa" w:w="80"/>
              <w:left w:type="dxa" w:w="120"/>
              <w:bottom w:type="dxa" w:w="80"/>
              <w:right w:type="dxa" w:w="120"/>
            </w:tcMar>
          </w:tcPr>
          <w:p>
            <w:r>
              <w:rPr>
                <w:rFonts w:ascii="Arial" w:cs="Arial" w:eastAsia="Arial" w:hAnsi="Arial"/>
                <w:color w:val="222222"/>
                <w:sz w:val="18"/>
                <w:szCs w:val="18"/>
              </w:rPr>
              <w:t xml:space="preserve">First 100% foreign-owned auto subsidiary; global export base for small cars</w:t>
            </w:r>
          </w:p>
        </w:tc>
      </w:tr>
      <w:tr>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1996–98</w:t>
            </w:r>
          </w:p>
        </w:tc>
        <w:tc>
          <w:tcPr>
            <w:tcW w:type="dxa" w:w="4160"/>
            <w:shd w:fill="F2F7FC" w:val="clear"/>
            <w:tcMar>
              <w:top w:type="dxa" w:w="80"/>
              <w:left w:type="dxa" w:w="120"/>
              <w:bottom w:type="dxa" w:w="80"/>
              <w:right w:type="dxa" w:w="120"/>
            </w:tcMar>
          </w:tcPr>
          <w:p>
            <w:r>
              <w:rPr>
                <w:rFonts w:ascii="Arial" w:cs="Arial" w:eastAsia="Arial" w:hAnsi="Arial"/>
                <w:color w:val="222222"/>
                <w:sz w:val="18"/>
                <w:szCs w:val="18"/>
              </w:rPr>
              <w:t xml:space="preserve">Component suppliers cluster: Saint-Gobain, Visteon, others</w:t>
            </w:r>
          </w:p>
        </w:tc>
        <w:tc>
          <w:tcPr>
            <w:tcW w:type="dxa" w:w="4400"/>
            <w:shd w:fill="F2F7FC" w:val="clear"/>
            <w:tcMar>
              <w:top w:type="dxa" w:w="80"/>
              <w:left w:type="dxa" w:w="120"/>
              <w:bottom w:type="dxa" w:w="80"/>
              <w:right w:type="dxa" w:w="120"/>
            </w:tcMar>
          </w:tcPr>
          <w:p>
            <w:r>
              <w:rPr>
                <w:rFonts w:ascii="Arial" w:cs="Arial" w:eastAsia="Arial" w:hAnsi="Arial"/>
                <w:color w:val="222222"/>
                <w:sz w:val="18"/>
                <w:szCs w:val="18"/>
              </w:rPr>
              <w:t xml:space="preserve">Tier-1 and Tier-2 ecosystem formation around OEM anchors</w:t>
            </w:r>
          </w:p>
        </w:tc>
      </w:tr>
      <w:tr>
        <w:tc>
          <w:tcPr>
            <w:tcW w:type="dxa" w:w="800"/>
            <w:shd w:fill="FFFFFF" w:val="clear"/>
            <w:tcMar>
              <w:top w:type="dxa" w:w="80"/>
              <w:left w:type="dxa" w:w="120"/>
              <w:bottom w:type="dxa" w:w="80"/>
              <w:right w:type="dxa" w:w="120"/>
            </w:tcMar>
          </w:tcPr>
          <w:p>
            <w:r>
              <w:rPr>
                <w:rFonts w:ascii="Arial" w:cs="Arial" w:eastAsia="Arial" w:hAnsi="Arial"/>
                <w:color w:val="222222"/>
                <w:sz w:val="18"/>
                <w:szCs w:val="18"/>
              </w:rPr>
              <w:t xml:space="preserve">1997</w:t>
            </w:r>
          </w:p>
        </w:tc>
        <w:tc>
          <w:tcPr>
            <w:tcW w:type="dxa" w:w="4160"/>
            <w:shd w:fill="FFFFFF" w:val="clear"/>
            <w:tcMar>
              <w:top w:type="dxa" w:w="80"/>
              <w:left w:type="dxa" w:w="120"/>
              <w:bottom w:type="dxa" w:w="80"/>
              <w:right w:type="dxa" w:w="120"/>
            </w:tcMar>
          </w:tcPr>
          <w:p>
            <w:r>
              <w:rPr>
                <w:rFonts w:ascii="Arial" w:cs="Arial" w:eastAsia="Arial" w:hAnsi="Arial"/>
                <w:color w:val="222222"/>
                <w:sz w:val="18"/>
                <w:szCs w:val="18"/>
              </w:rPr>
              <w:t xml:space="preserve">IT Policy, Government of Tamil Nadu</w:t>
            </w:r>
          </w:p>
        </w:tc>
        <w:tc>
          <w:tcPr>
            <w:tcW w:type="dxa" w:w="4400"/>
            <w:shd w:fill="FFFFFF" w:val="clear"/>
            <w:tcMar>
              <w:top w:type="dxa" w:w="80"/>
              <w:left w:type="dxa" w:w="120"/>
              <w:bottom w:type="dxa" w:w="80"/>
              <w:right w:type="dxa" w:w="120"/>
            </w:tcMar>
          </w:tcPr>
          <w:p>
            <w:r>
              <w:rPr>
                <w:rFonts w:ascii="Arial" w:cs="Arial" w:eastAsia="Arial" w:hAnsi="Arial"/>
                <w:color w:val="222222"/>
                <w:sz w:val="18"/>
                <w:szCs w:val="18"/>
              </w:rPr>
              <w:t xml:space="preserve">One of India’s first state IT policies; set framework for digital economy</w:t>
            </w:r>
          </w:p>
        </w:tc>
      </w:tr>
      <w:tr>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1998</w:t>
            </w:r>
          </w:p>
        </w:tc>
        <w:tc>
          <w:tcPr>
            <w:tcW w:type="dxa" w:w="4160"/>
            <w:shd w:fill="F2F7FC" w:val="clear"/>
            <w:tcMar>
              <w:top w:type="dxa" w:w="80"/>
              <w:left w:type="dxa" w:w="120"/>
              <w:bottom w:type="dxa" w:w="80"/>
              <w:right w:type="dxa" w:w="120"/>
            </w:tcMar>
          </w:tcPr>
          <w:p>
            <w:r>
              <w:rPr>
                <w:rFonts w:ascii="Arial" w:cs="Arial" w:eastAsia="Arial" w:hAnsi="Arial"/>
                <w:color w:val="222222"/>
                <w:sz w:val="18"/>
                <w:szCs w:val="18"/>
              </w:rPr>
              <w:t xml:space="preserve">Hyundai first vehicle roll-out; DMK government honours AIADMK commitment</w:t>
            </w:r>
          </w:p>
        </w:tc>
        <w:tc>
          <w:tcPr>
            <w:tcW w:type="dxa" w:w="4400"/>
            <w:shd w:fill="F2F7FC" w:val="clear"/>
            <w:tcMar>
              <w:top w:type="dxa" w:w="80"/>
              <w:left w:type="dxa" w:w="120"/>
              <w:bottom w:type="dxa" w:w="80"/>
              <w:right w:type="dxa" w:w="120"/>
            </w:tcMar>
          </w:tcPr>
          <w:p>
            <w:r>
              <w:rPr>
                <w:rFonts w:ascii="Arial" w:cs="Arial" w:eastAsia="Arial" w:hAnsi="Arial"/>
                <w:color w:val="222222"/>
                <w:sz w:val="18"/>
                <w:szCs w:val="18"/>
              </w:rPr>
              <w:t xml:space="preserve">Demonstrated cross-party policy continuity; major FDI confidence signal</w:t>
            </w:r>
          </w:p>
        </w:tc>
      </w:tr>
      <w:tr>
        <w:tc>
          <w:tcPr>
            <w:tcW w:type="dxa" w:w="800"/>
            <w:shd w:fill="FFFFFF" w:val="clear"/>
            <w:tcMar>
              <w:top w:type="dxa" w:w="80"/>
              <w:left w:type="dxa" w:w="120"/>
              <w:bottom w:type="dxa" w:w="80"/>
              <w:right w:type="dxa" w:w="120"/>
            </w:tcMar>
          </w:tcPr>
          <w:p>
            <w:r>
              <w:rPr>
                <w:rFonts w:ascii="Arial" w:cs="Arial" w:eastAsia="Arial" w:hAnsi="Arial"/>
                <w:color w:val="222222"/>
                <w:sz w:val="18"/>
                <w:szCs w:val="18"/>
              </w:rPr>
              <w:t xml:space="preserve">2000</w:t>
            </w:r>
          </w:p>
        </w:tc>
        <w:tc>
          <w:tcPr>
            <w:tcW w:type="dxa" w:w="4160"/>
            <w:shd w:fill="FFFFFF" w:val="clear"/>
            <w:tcMar>
              <w:top w:type="dxa" w:w="80"/>
              <w:left w:type="dxa" w:w="120"/>
              <w:bottom w:type="dxa" w:w="80"/>
              <w:right w:type="dxa" w:w="120"/>
            </w:tcMar>
          </w:tcPr>
          <w:p>
            <w:r>
              <w:rPr>
                <w:rFonts w:ascii="Arial" w:cs="Arial" w:eastAsia="Arial" w:hAnsi="Arial"/>
                <w:color w:val="222222"/>
                <w:sz w:val="18"/>
                <w:szCs w:val="18"/>
              </w:rPr>
              <w:t xml:space="preserve">TIDEL Park inauguration, OMR, Chennai</w:t>
            </w:r>
          </w:p>
        </w:tc>
        <w:tc>
          <w:tcPr>
            <w:tcW w:type="dxa" w:w="4400"/>
            <w:shd w:fill="FFFFFF" w:val="clear"/>
            <w:tcMar>
              <w:top w:type="dxa" w:w="80"/>
              <w:left w:type="dxa" w:w="120"/>
              <w:bottom w:type="dxa" w:w="80"/>
              <w:right w:type="dxa" w:w="120"/>
            </w:tcMar>
          </w:tcPr>
          <w:p>
            <w:r>
              <w:rPr>
                <w:rFonts w:ascii="Arial" w:cs="Arial" w:eastAsia="Arial" w:hAnsi="Arial"/>
                <w:color w:val="222222"/>
                <w:sz w:val="18"/>
                <w:szCs w:val="18"/>
              </w:rPr>
              <w:t xml:space="preserve">Largest IT park in Asia at inauguration; catalyst for OMR IT corridor</w:t>
            </w:r>
          </w:p>
        </w:tc>
      </w:tr>
      <w:tr>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2001</w:t>
            </w:r>
          </w:p>
        </w:tc>
        <w:tc>
          <w:tcPr>
            <w:tcW w:type="dxa" w:w="4160"/>
            <w:shd w:fill="F2F7FC" w:val="clear"/>
            <w:tcMar>
              <w:top w:type="dxa" w:w="80"/>
              <w:left w:type="dxa" w:w="120"/>
              <w:bottom w:type="dxa" w:w="80"/>
              <w:right w:type="dxa" w:w="120"/>
            </w:tcMar>
          </w:tcPr>
          <w:p>
            <w:r>
              <w:rPr>
                <w:rFonts w:ascii="Arial" w:cs="Arial" w:eastAsia="Arial" w:hAnsi="Arial"/>
                <w:color w:val="222222"/>
                <w:sz w:val="18"/>
                <w:szCs w:val="18"/>
              </w:rPr>
              <w:t xml:space="preserve">OMR emerging as India’s second IT corridor</w:t>
            </w:r>
          </w:p>
        </w:tc>
        <w:tc>
          <w:tcPr>
            <w:tcW w:type="dxa" w:w="4400"/>
            <w:shd w:fill="F2F7FC" w:val="clear"/>
            <w:tcMar>
              <w:top w:type="dxa" w:w="80"/>
              <w:left w:type="dxa" w:w="120"/>
              <w:bottom w:type="dxa" w:w="80"/>
              <w:right w:type="dxa" w:w="120"/>
            </w:tcMar>
          </w:tcPr>
          <w:p>
            <w:r>
              <w:rPr>
                <w:rFonts w:ascii="Arial" w:cs="Arial" w:eastAsia="Arial" w:hAnsi="Arial"/>
                <w:color w:val="222222"/>
                <w:sz w:val="18"/>
                <w:szCs w:val="18"/>
              </w:rPr>
              <w:t xml:space="preserve">Chennai established as IT destination alongside Bengaluru</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6.2 The IT Revolution: TIDEL Park and the Second Industrial Wave</w:t>
      </w:r>
    </w:p>
    <w:p>
      <w:pPr>
        <w:spacing w:after="80" w:before="80" w:line="276"/>
        <w:jc w:val="both"/>
      </w:pPr>
      <w:r>
        <w:rPr>
          <w:rFonts w:ascii="Arial" w:cs="Arial" w:eastAsia="Arial" w:hAnsi="Arial"/>
          <w:color w:val="222222"/>
          <w:sz w:val="20"/>
          <w:szCs w:val="20"/>
        </w:rPr>
        <w:t xml:space="preserve">In the late 1990s, the conventional wisdom in Indian technology policy circles was that Bengaluru had won the IT race. NASSCOM data showed Bengaluru dominating software exports; Hyderabad’s HITEC City, inaugurated in 1998, was positioning itself as the number-two IT city. Chennai was not in the conversation.</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Karunanidhi’s IT Policy of 1997 — one of the first state-level IT policies in India — and the subsequent decision to develop TIDEL Park on the Old Mahabalipuram Road changed this trajectory. When TIDEL Park was inaugurated in 2000, it was among the largest IT parks in Asia. Critics at the time dismissed it as overambitious infrastructure for a sector Tamil Nadu did not yet possess at scale. What those critics missed was that the park was not a response to demand; it was a generator of demand. By creating the physical and policy infrastructure for large-scale IT operations, Tamil Nadu offered global IT and KPO companies an alternative to Bengaluru’s increasingly congested and expensive market.</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Tata Consultancy Services, whose representative later recalled that Jayalalithaa personally resolved a clearance problem that had stalled their Chennai campus construction, became a key private-sector partner in the OMR corridor’s development. By 2005, the OMR corridor had attracted Cognizant, Infosys, Wipro, and major global KPO players. Chennai had become India’s second IT city — not through organic emergence as Bengaluru had grown, but through planned state intervention of precisely the kind that the Dravidian governments had deployed in manufacturing a generation earlier.</w:t>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shd w:fill="EBF3FB" w:val="clear"/>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The TIDEL Insight: Tamil Nadu’s IT corridor succeeded because its institutional logic was identical to its manufacturing logic. SIPCOT had shown that pre-developed, professionally managed land banks could attract manufacturers who found India’s land market opaque. TIDEL applied the same logic to the knowledge economy: pre-developed, well-connected IT park infrastructure that global companies could enter quickly and scale without navigating fragmented property markets. The instrument was new; the institutional intelligence behind it was the same that had powered Wave 2 manufacturing.</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6.3 Policy Continuity as a Competitive Moat</w:t>
      </w:r>
    </w:p>
    <w:p>
      <w:pPr>
        <w:spacing w:after="80" w:before="80" w:line="276"/>
        <w:jc w:val="both"/>
      </w:pPr>
      <w:r>
        <w:rPr>
          <w:rFonts w:ascii="Arial" w:cs="Arial" w:eastAsia="Arial" w:hAnsi="Arial"/>
          <w:color w:val="222222"/>
          <w:sz w:val="20"/>
          <w:szCs w:val="20"/>
        </w:rPr>
        <w:t xml:space="preserve">The 1996–2001 period demonstrated, perhaps more clearly than any other in Tamil Nadu’s history, the competitive value of policy continuity across electoral cycles. The DMK and AIADMK alternated in power throughout this period — Jayalalithaa to Karunanidhi in 1996, Karunanidhi to Jayalalithaa in 2001 — yet no major investment commitment was reversed, renegotiated punitively, or subjected to politically motivated interference.</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A former executive vice-chairman at TIDCO later summarised this dynamic precisely: “An industrial development plan needs 40 or 50 years; it does not respect the change of governments. A successful government should keep the promises of the previous government in pursuing such investment projects continuously. This is business, not politics.” That doctrine — whether explicitly articulated or tacitly understood — was what made Tamil Nadu’s investment climate genuinely distinctive in the Indian context of the late 1990s, when several other states were marked by investment uncertainty following changes in government.</w:t>
      </w:r>
    </w:p>
    <w:p>
      <w:pPr>
        <w:pStyle w:val="Heading1"/>
        <w:spacing w:after="160" w:before="360"/>
      </w:pPr>
      <w:r>
        <w:rPr>
          <w:rFonts w:ascii="Arial" w:cs="Arial" w:eastAsia="Arial" w:hAnsi="Arial"/>
          <w:b/>
          <w:bCs/>
          <w:color w:val="1F3864"/>
          <w:sz w:val="28"/>
          <w:szCs w:val="28"/>
        </w:rPr>
        <w:t xml:space="preserve">7. Sectoral Deep Dives: Key Industries 2000–2025</w:t>
      </w:r>
    </w:p>
    <w:p>
      <w:pPr>
        <w:pStyle w:val="Heading2"/>
        <w:spacing w:after="120" w:before="280"/>
      </w:pPr>
      <w:r>
        <w:rPr>
          <w:rFonts w:ascii="Arial" w:cs="Arial" w:eastAsia="Arial" w:hAnsi="Arial"/>
          <w:b/>
          <w:bCs/>
          <w:color w:val="2E5FA3"/>
          <w:sz w:val="24"/>
          <w:szCs w:val="24"/>
        </w:rPr>
        <w:t xml:space="preserve">7.1 Automobiles: The Detroit of India</w:t>
      </w:r>
    </w:p>
    <w:p>
      <w:pPr>
        <w:spacing w:after="80" w:before="80" w:line="276"/>
        <w:jc w:val="both"/>
      </w:pPr>
      <w:r>
        <w:rPr>
          <w:rFonts w:ascii="Arial" w:cs="Arial" w:eastAsia="Arial" w:hAnsi="Arial"/>
          <w:color w:val="222222"/>
          <w:sz w:val="20"/>
          <w:szCs w:val="20"/>
        </w:rPr>
        <w:t xml:space="preserve">Tamil Nadu’s automotive cluster is among the most studied examples of agglomeration-driven industrialisation in the developing world. The state’s emergence as the “Detroit of India” was not the result of any single investment — neither Ford nor Hyundai alone made Chennai a global automotive hub. It was the result of a sequential cluster-building process in which each layer of investment created the conditions for the next: OEMs attracted tier-1 component suppliers, who attracted tier-2 and tier-3 subcomponent manufacturers, who attracted specialist logistics and tooling firms, who attracted the technical workforce that vocational colleges, ITIs, and engineering programmes then trained at scale, who made the corridor attractive to the next OEM. The Chennai-Hosur corridor today hosts over 15 major OEMs — Hyundai (production from 1998), Ford India (decision 1995; production from 1999–2000), Renault-Nissan (Oragadam, 2010), Daimler India (2012), Ashok Leyland, Mahindra &amp; Mahindra, and BMW India — supported by over 1,000 tier-1, tier-2, and tier-3 suppliers. The cluster exports vehicles and components to over 100 countries. By 2025, Tamil Nadu accounts for approximately 33–35% of India’s automobile production and a higher share of automobile exports. (Source: Society of Indian Automobile Manufacturers (SIAM) state-level production data; Automotive Component Manufacturers Association of India (ACMA) export data.)</w:t>
      </w:r>
    </w:p>
    <w:p>
      <w:pPr>
        <w:spacing w:after="80" w:before="80" w:line="276"/>
        <w:jc w:val="both"/>
      </w:pPr>
      <w:r>
        <w:rPr>
          <w:rFonts w:ascii="Arial" w:cs="Arial" w:eastAsia="Arial" w:hAnsi="Arial"/>
          <w:color w:val="222222"/>
          <w:sz w:val="20"/>
          <w:szCs w:val="20"/>
        </w:rPr>
        <w:t xml:space="preserve">Tamil Nadu does not merely host factories; it hosts complete industrial ecosystems — OEMs, tier-1 and tier-2 suppliers, logistics networks, and skills infrastructure, all co-located within the same corridor. As documented in Sections 1 and 3, this co-location is the downstream consequence of fifty years of SIPCOT land banking, SIDCO supplier development, and TIDCO facilitation. Ecosystems of this depth are sticky: the cost of relocation rises sharply as the supply chain deepens, which is why Tamil Nadu’s industrial position has proved durable across economic cycles and political transitions that disrupted less embedded industrial concentrations elsewhere.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Indicator</w:t>
            </w:r>
          </w:p>
        </w:tc>
        <w:tc>
          <w:tcPr>
            <w:tcW w:type="dxa" w:w="48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(2024–25)</w:t>
            </w:r>
          </w:p>
        </w:tc>
      </w:tr>
      <w:tr>
        <w:tc>
          <w:tcPr>
            <w:tcW w:type="dxa" w:w="4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Major OEMs in Chennai-Hosur</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15+ global and domestic manufacturers</w:t>
            </w:r>
          </w:p>
        </w:tc>
      </w:tr>
      <w:tr>
        <w:tc>
          <w:tcPr>
            <w:tcW w:type="dxa" w:w="4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Tier-2 and Tier-3 suppliers</w:t>
            </w:r>
          </w:p>
        </w:tc>
        <w:tc>
          <w:tcPr>
            <w:tcW w:type="dxa" w:w="48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1,000+ integrated into supply chain</w:t>
            </w:r>
          </w:p>
        </w:tc>
      </w:tr>
      <w:tr>
        <w:tc>
          <w:tcPr>
            <w:tcW w:type="dxa" w:w="4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Direct employment</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1.5 million workers</w:t>
            </w:r>
          </w:p>
        </w:tc>
      </w:tr>
      <w:tr>
        <w:tc>
          <w:tcPr>
            <w:tcW w:type="dxa" w:w="4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Contribution to India’s GDP</w:t>
            </w:r>
          </w:p>
        </w:tc>
        <w:tc>
          <w:tcPr>
            <w:tcW w:type="dxa" w:w="48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2.3% from auto-component sector alone</w:t>
            </w:r>
          </w:p>
        </w:tc>
      </w:tr>
      <w:tr>
        <w:tc>
          <w:tcPr>
            <w:tcW w:type="dxa" w:w="4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Auto-component exports (FY 2025)</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US$23 billion</w:t>
            </w:r>
          </w:p>
        </w:tc>
      </w:tr>
      <w:tr>
        <w:tc>
          <w:tcPr>
            <w:tcW w:type="dxa" w:w="4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Largest export market</w:t>
            </w:r>
          </w:p>
        </w:tc>
        <w:tc>
          <w:tcPr>
            <w:tcW w:type="dxa" w:w="48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North America</w:t>
            </w:r>
          </w:p>
        </w:tc>
      </w:tr>
      <w:tr>
        <w:tc>
          <w:tcPr>
            <w:tcW w:type="dxa" w:w="4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Export CAGR (2010–2025)</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~9% per annum</w:t>
            </w:r>
          </w:p>
        </w:tc>
      </w:tr>
      <w:tr>
        <w:tc>
          <w:tcPr>
            <w:tcW w:type="dxa" w:w="4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Global suppliers present</w:t>
            </w:r>
          </w:p>
        </w:tc>
        <w:tc>
          <w:tcPr>
            <w:tcW w:type="dxa" w:w="48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Bosch, Delphi, Visteon, and others</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cluster’s success rests on three mutually reinforcing foundations: port proximity (Chennai port and Ennore port enabling seamless global supply chain integration for both CKD imports and vehicle exports); a deep ecosystem of industry-academia partnerships (IIT Madras, Anna University, CIPET, and 500+ polytechnics supplying engineering talent calibrated to automotive industry requirements); and TIDCO/SIPCOT facilitation that has continuously extended industrial park infrastructure from the original Sriperumbudur complex into the Oragadam, Vallam-Vadagal, and Cheyyar corridors. Collectively, the cluster employs an estimated 22 lakh workers directly and indirectly across manufacturing, components, logistics, and ancillary services — making it one of the largest industrial employment concentrations in India. The “Detroit of India” designation is therefore not a marketing claim; it reflects a measurable reality: a dense, export-oriented, multi-OEM automotive cluster whose depth of integration into global supply chains has taken five decades to build and would take comparable time and institutional investment to replicate elsewhere. (Source: Tamil Nadu Industries Department, Automotive Component Manufacturers Association of India (ACMA.), Society of Indian Automobile Manufacturers (SIAM) state-level data.)</w:t>
      </w:r>
    </w:p>
    <w:p>
      <w:pPr>
        <w:spacing w:after="80" w:before="80" w:line="276"/>
        <w:jc w:val="both"/>
      </w:pPr>
      <w:r>
        <w:rPr>
          <w:rFonts w:ascii="Arial" w:cs="Arial" w:eastAsia="Arial" w:hAnsi="Arial"/>
          <w:color w:val="222222"/>
          <w:sz w:val="20"/>
          <w:szCs w:val="20"/>
        </w:rPr>
        <w:t xml:space="preserve">The Renault-Nissan Oragadam plant, which rolled out its first vehicle in 2010 following an MoU signed in 2008, represented Tamil Nadu’s second major automotive growth wave. Where Sriperumbudur had established the corridor for passenger car assembly with a focus on the domestic market and small-car exports, Oragadam extended the cluster into a new geography and a different product segment. The Renault-Nissan Alliance invested approximately ₹4,500 crore in the Oragadam facility, which has a capacity of 480,000 vehicles per annum across multiple platforms and exports to over 100 countries. The investment acted as an anchor for a second supplier ecosystem: Daimler India Commercial Vehicles, Komatsu India, and over 400 component and logistics firms established operations within a 30-kilometre radius of the Oragadam complex. The significance of this second wave extends beyond its own production figures. Oragadam demonstrated that the SIPCOT land banking model — applied to the Oragadam Special Economic Zone in the 2000s — could replicate the Sriperumbudur cluster-formation process in a new location within a significantly shorter timeframe, because the institutional infrastructure, supplier relationships, and workforce pipelines built at Sriperumbudur were already available to the Oragadam corridor. The first cluster had, in effect, created the preconditions for the second. (Source: Renault-Nissan Alliance India annual reports; Tamil Nadu Industries Department; Tamil Nadu SIPCOT Oragadam complex investment data.)</w:t>
      </w:r>
    </w:p>
    <w:p>
      <w:pPr>
        <w:pStyle w:val="Heading2"/>
        <w:spacing w:after="120" w:before="280"/>
      </w:pPr>
      <w:r>
        <w:rPr>
          <w:rFonts w:ascii="Arial" w:cs="Arial" w:eastAsia="Arial" w:hAnsi="Arial"/>
          <w:b/>
          <w:bCs/>
          <w:color w:val="2E5FA3"/>
          <w:sz w:val="24"/>
          <w:szCs w:val="24"/>
        </w:rPr>
        <w:t xml:space="preserve">7.2 Textiles: From Colonial Inheritance to Global Competitiveness</w:t>
      </w:r>
    </w:p>
    <w:p>
      <w:pPr>
        <w:spacing w:after="80" w:before="80" w:line="276"/>
        <w:jc w:val="both"/>
      </w:pPr>
      <w:r>
        <w:rPr>
          <w:rFonts w:ascii="Arial" w:cs="Arial" w:eastAsia="Arial" w:hAnsi="Arial"/>
          <w:color w:val="222222"/>
          <w:sz w:val="20"/>
          <w:szCs w:val="20"/>
        </w:rPr>
        <w:t xml:space="preserve">Tamil Nadu’s textile story runs from colonial-era handlooms to the world’s most concentrated knitwear export cluster at Tiruppur. The state became India’s top textile exporting state in FY 2024–25 with exports of approximately US$7.99 billion.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Cluster</w:t>
            </w:r>
          </w:p>
        </w:tc>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Specialisation</w:t>
            </w:r>
          </w:p>
        </w:tc>
        <w:tc>
          <w:tcPr>
            <w:tcW w:type="dxa" w:w="46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Metrics (2024–25)</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Coimbatore</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Spinning, textile machinery</w:t>
            </w:r>
          </w:p>
        </w:tc>
        <w:tc>
          <w:tcPr>
            <w:tcW w:type="dxa" w:w="46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40%+ of India’s cotton yarn production; 2,000+ spinning mills</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Erode</w:t>
            </w:r>
          </w:p>
        </w:tc>
        <w:tc>
          <w:tcPr>
            <w:tcW w:type="dxa" w:w="2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Powerlooms, dyeing, processing</w:t>
            </w:r>
          </w:p>
        </w:tc>
        <w:tc>
          <w:tcPr>
            <w:tcW w:type="dxa" w:w="46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~1.5 lakh powerlooms; ₹7,000–8,000 crore annual turnover</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Tiruppur</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Knitwear, hosiery</w:t>
            </w:r>
          </w:p>
        </w:tc>
        <w:tc>
          <w:tcPr>
            <w:tcW w:type="dxa" w:w="46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Exports ₹35–40,000 crore (2024–25); 6 lakh+ workers</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Handloom (Salem, Madurai, Thanjavur)</w:t>
            </w:r>
          </w:p>
        </w:tc>
        <w:tc>
          <w:tcPr>
            <w:tcW w:type="dxa" w:w="2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Artisan weaving</w:t>
            </w:r>
          </w:p>
        </w:tc>
        <w:tc>
          <w:tcPr>
            <w:tcW w:type="dxa" w:w="46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1.91 lakh handlooms; 2.44 lakh weavers and allied workers</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Two structural forces explain Tiruppur’s transformation: technological modernisation (power looming, automated knitting, finishing lines) and cluster advantage (dense supplier networks that created fast product turnaround, economies of scale, and easier compliance with international buyer standards). The key unresolved challenge is the handloom-factory divide: benefits have concentrated in large firms while smaller handloom households have largely been bypassed by export growth.</w:t>
      </w:r>
    </w:p>
    <w:p>
      <w:pPr>
        <w:pStyle w:val="Heading2"/>
        <w:spacing w:after="120" w:before="280"/>
      </w:pPr>
      <w:r>
        <w:rPr>
          <w:rFonts w:ascii="Arial" w:cs="Arial" w:eastAsia="Arial" w:hAnsi="Arial"/>
          <w:b/>
          <w:bCs/>
          <w:color w:val="2E5FA3"/>
          <w:sz w:val="24"/>
          <w:szCs w:val="24"/>
        </w:rPr>
        <w:t xml:space="preserve">7.3 Electronics: From Assembly to Value Chain Leadership</w:t>
      </w:r>
    </w:p>
    <w:p>
      <w:pPr>
        <w:spacing w:after="80" w:before="80" w:line="276"/>
        <w:jc w:val="both"/>
      </w:pPr>
      <w:r>
        <w:rPr>
          <w:rFonts w:ascii="Arial" w:cs="Arial" w:eastAsia="Arial" w:hAnsi="Arial"/>
          <w:color w:val="222222"/>
          <w:sz w:val="20"/>
          <w:szCs w:val="20"/>
        </w:rPr>
        <w:t xml:space="preserve">Tamil Nadu’s electronics sector has undergone the most dramatic transformation of any industrial cluster in the state over the past decade. The EMS Corridor encompassing Sriperumbudur and Oragadam hosts Foxconn, Samsung, and Jabil, with cumulative investment exceeding US$1 billion. Foxconn’s iPhone enclosure manufacturing facility at Oragadam has positioned Tamil Nadu as a critical node in Apple’s global supply chain diversification strategy.</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Tamil Nadu’s current electronics leadership is not a sudden emergence. Its roots reach back to the 1989 Industrial Policy, which explicitly identified electronics as a priority sector and provided an additional 10% capital subsidy for electronics industries above the standard incentive structure. The policy also mandated dedicated electronics industrial estates through SIDCO, and a quality certification programme specifically designed to help small electronics manufacturers meet export standards. ELCOT (the Electronics Corporation of Tamil Nadu), established in 1967, had been promoting electronics manufacturing and software services decades before the sector achieved national prominence. These institutional foundations — the estates, the subsidies, the certification framework, and ELCOT’s promotional role — created the ecosystem conditions that made Tamil Nadu a credible location for electronics investment when the global industry began seeking Indian manufacturing bases in the late 1990s and 2000s.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consequent electronics trajectory can be read as a chain of institutional compounding. The 1989 policy foundations and ELCOT’s promotional infrastructure attracted Nokia’s component suppliers to the Chennai region in the early 2000s, when Nokia established its Sriperumbudur manufacturing facility (2006–2014) that at its peak produced approximately 15% of global Nokia handset output. Nokia’s supply chain — over 10 component manufacturers co-located around Sriperumbudur — left behind physical infrastructure, supplier networks, trained workforce pools, and logistics capability that outlasted Nokia’s own presence in India. When Samsung, Foxconn, and Apple’s contract manufacturers evaluated India in the 2010s and 2020s, they found in Sriperumbudur and the adjacent Oragadam corridor a ready-made electronics manufacturing ecosystem: SIPCOT-developed land, ELCOT-supported soft infrastructure, an existing workforce trained in electronics assembly and quality systems, and a logistics network calibrated to high-value component supply chains. The 2024–25 electronics export leadership — US$14.65 billion, 41.3% of India’s total — is therefore the visible output of a thirty-five-year institutional accumulation, not a decade of policy intervention. (Source: ELCOT Annual Reports; Nokia India historical production data; Tamil Nadu Industries Department electronics sector investment records.)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Electronics exports reached US$14.65 billion in FY 2024–25 — 41.3% of India’s total electronics exports — driven by the Production-Linked Incentive (PLI) scheme and a rapidly maturing component ecosystem. (Source: Ministry of Commerce and Industry, Government of India, DGFT export data FY 2024–25; Economic Survey of Tamil Nadu 2025–26.) The Tamil Nadu Electronics Components Manufacturing Scheme targets ₹30,000 crore in investment and 60,000 new jobs in the component manufacturing layer alone.</w:t>
      </w:r>
    </w:p>
    <w:p>
      <w:pPr>
        <w:pStyle w:val="Heading2"/>
        <w:spacing w:after="120" w:before="280"/>
      </w:pPr>
      <w:r>
        <w:rPr>
          <w:rFonts w:ascii="Arial" w:cs="Arial" w:eastAsia="Arial" w:hAnsi="Arial"/>
          <w:b/>
          <w:bCs/>
          <w:color w:val="2E5FA3"/>
          <w:sz w:val="24"/>
          <w:szCs w:val="24"/>
        </w:rPr>
        <w:t xml:space="preserve">7.4 Information Technology and Knowledge Services</w:t>
      </w:r>
    </w:p>
    <w:p>
      <w:pPr>
        <w:spacing w:after="80" w:before="80" w:line="276"/>
        <w:jc w:val="both"/>
      </w:pPr>
      <w:r>
        <w:rPr>
          <w:rFonts w:ascii="Arial" w:cs="Arial" w:eastAsia="Arial" w:hAnsi="Arial"/>
          <w:color w:val="222222"/>
          <w:sz w:val="20"/>
          <w:szCs w:val="20"/>
        </w:rPr>
        <w:t xml:space="preserve">Post-2000, Chennai’s OMR (Old Mahabalipuram Road) corridor established Tamil Nadu as a leading IT and KPO destination. By 2025, the state accounted for approximately 16% of India’s IT exports, contributing over US$18 billion to the economy. Over 1.2 million IT/ITES employees make Tamil Nadu’s talent pool one of the largest in the country.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7.4.1 TIDEL and the OMR Corridor: What SIPCOT Was to Manufacturing</w:t>
      </w:r>
    </w:p>
    <w:p>
      <w:pPr>
        <w:spacing w:after="80" w:before="80" w:line="276"/>
        <w:jc w:val="both"/>
      </w:pPr>
      <w:r>
        <w:rPr>
          <w:rFonts w:ascii="Arial" w:cs="Arial" w:eastAsia="Arial" w:hAnsi="Arial"/>
          <w:color w:val="222222"/>
          <w:sz w:val="20"/>
          <w:szCs w:val="20"/>
        </w:rPr>
        <w:t xml:space="preserve">The most precise single-sentence description of TIDEL Park’s historical significance is this: TIDEL was to the knowledge economy what SIPCOT was to manufacturing. Both were pre-developed, professionally managed land banks that created the physical and institutional conditions for investment that the private market, left alone, would not have supplied at the necessary scale or quality. The analogy is not casual. It reflects a deliberate institutional logic that Tamil Nadu’s policymakers applied consciously across different industrial eras.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When TIDEL Park was inaugurated in 2000 on the Old Mahabalipuram Road, the conventional wisdom was that Bengaluru had won the Indian IT race. Hyderabad’s HITEC City was positioned as the number-two IT city. Chennai was an afterthought in the sector. What TIDEL changed was not the demand for IT services — that demand was rising everywhere — but Tamil Nadu’s ability to capture a share of it. By creating a large, well-serviced IT campus at below-market rates with reliable power and connectivity, TIDEL gave global software and KPO companies an alternative to Bengaluru’s congested and expensive market. The rest was agglomeration: once Infosys, Cognizant, and TCS had established OMR campuses, every subsequent company had a reason to locate near them.</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000"/>
        <w:gridCol w:w="900"/>
        <w:gridCol w:w="5460"/>
      </w:tblGrid>
      <w:tr>
        <w:trPr>
          <w:tblHeader/>
        </w:trPr>
        <w:tc>
          <w:tcPr>
            <w:tcW w:type="dxa" w:w="3000"/>
            <w:shd w:fill="1F3864"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900"/>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5460"/>
            <w:shd w:fill="1F3864"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3000"/>
            <w:shd w:fill="F2F7FC" w:val="clear"/>
            <w:tcMar>
              <w:top w:type="dxa" w:w="80"/>
              <w:left w:type="dxa" w:w="120"/>
              <w:bottom w:type="dxa" w:w="80"/>
              <w:right w:type="dxa" w:w="120"/>
            </w:tcMar>
          </w:tcPr>
          <w:p>
            <w:r>
              <w:rPr>
                <w:rFonts w:ascii="Arial" w:cs="Arial" w:eastAsia="Arial" w:hAnsi="Arial"/>
                <w:color w:val="222222"/>
                <w:sz w:val="18"/>
                <w:szCs w:val="18"/>
              </w:rPr>
              <w:t xml:space="preserve">IT Policy, Government of Tamil Nadu</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1997</w:t>
            </w:r>
          </w:p>
        </w:tc>
        <w:tc>
          <w:tcPr>
            <w:tcW w:type="dxa" w:w="5460"/>
            <w:shd w:fill="F2F7FC" w:val="clear"/>
            <w:tcMar>
              <w:top w:type="dxa" w:w="80"/>
              <w:left w:type="dxa" w:w="120"/>
              <w:bottom w:type="dxa" w:w="80"/>
              <w:right w:type="dxa" w:w="120"/>
            </w:tcMar>
          </w:tcPr>
          <w:p>
            <w:r>
              <w:rPr>
                <w:rFonts w:ascii="Arial" w:cs="Arial" w:eastAsia="Arial" w:hAnsi="Arial"/>
                <w:color w:val="222222"/>
                <w:sz w:val="18"/>
                <w:szCs w:val="18"/>
              </w:rPr>
              <w:t xml:space="preserve">One of India’s first state IT policies; established regulatory and fiscal framework for IT investment</w:t>
            </w:r>
          </w:p>
        </w:tc>
      </w:tr>
      <w:tr>
        <w:tc>
          <w:tcPr>
            <w:tcW w:type="dxa" w:w="3000"/>
            <w:shd w:fill="FFFFFF" w:val="clear"/>
            <w:tcMar>
              <w:top w:type="dxa" w:w="80"/>
              <w:left w:type="dxa" w:w="120"/>
              <w:bottom w:type="dxa" w:w="80"/>
              <w:right w:type="dxa" w:w="120"/>
            </w:tcMar>
          </w:tcPr>
          <w:p>
            <w:r>
              <w:rPr>
                <w:rFonts w:ascii="Arial" w:cs="Arial" w:eastAsia="Arial" w:hAnsi="Arial"/>
                <w:color w:val="222222"/>
                <w:sz w:val="18"/>
                <w:szCs w:val="18"/>
              </w:rPr>
              <w:t xml:space="preserve">TIDEL Park inauguration, OMR, Chennai</w:t>
            </w:r>
          </w:p>
        </w:tc>
        <w:tc>
          <w:tcPr>
            <w:tcW w:type="dxa" w:w="900"/>
            <w:shd w:fill="FFFFFF" w:val="clear"/>
            <w:tcMar>
              <w:top w:type="dxa" w:w="80"/>
              <w:left w:type="dxa" w:w="120"/>
              <w:bottom w:type="dxa" w:w="80"/>
              <w:right w:type="dxa" w:w="120"/>
            </w:tcMar>
          </w:tcPr>
          <w:p>
            <w:r>
              <w:rPr>
                <w:rFonts w:ascii="Arial" w:cs="Arial" w:eastAsia="Arial" w:hAnsi="Arial"/>
                <w:color w:val="222222"/>
                <w:sz w:val="18"/>
                <w:szCs w:val="18"/>
              </w:rPr>
              <w:t xml:space="preserve">2000</w:t>
            </w:r>
          </w:p>
        </w:tc>
        <w:tc>
          <w:tcPr>
            <w:tcW w:type="dxa" w:w="5460"/>
            <w:shd w:fill="FFFFFF" w:val="clear"/>
            <w:tcMar>
              <w:top w:type="dxa" w:w="80"/>
              <w:left w:type="dxa" w:w="120"/>
              <w:bottom w:type="dxa" w:w="80"/>
              <w:right w:type="dxa" w:w="120"/>
            </w:tcMar>
          </w:tcPr>
          <w:p>
            <w:r>
              <w:rPr>
                <w:rFonts w:ascii="Arial" w:cs="Arial" w:eastAsia="Arial" w:hAnsi="Arial"/>
                <w:color w:val="222222"/>
                <w:sz w:val="18"/>
                <w:szCs w:val="18"/>
              </w:rPr>
              <w:t xml:space="preserve">Largest IT park in Asia at opening; co-developed by TIDCO and ELCOT; catalyst for OMR corridor</w:t>
            </w:r>
          </w:p>
        </w:tc>
      </w:tr>
      <w:tr>
        <w:tc>
          <w:tcPr>
            <w:tcW w:type="dxa" w:w="3000"/>
            <w:shd w:fill="F2F7FC" w:val="clear"/>
            <w:tcMar>
              <w:top w:type="dxa" w:w="80"/>
              <w:left w:type="dxa" w:w="120"/>
              <w:bottom w:type="dxa" w:w="80"/>
              <w:right w:type="dxa" w:w="120"/>
            </w:tcMar>
          </w:tcPr>
          <w:p>
            <w:r>
              <w:rPr>
                <w:rFonts w:ascii="Arial" w:cs="Arial" w:eastAsia="Arial" w:hAnsi="Arial"/>
                <w:color w:val="222222"/>
                <w:sz w:val="18"/>
                <w:szCs w:val="18"/>
              </w:rPr>
              <w:t xml:space="preserve">TCS Chennai campus, Siruseri</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1999–2002</w:t>
            </w:r>
          </w:p>
        </w:tc>
        <w:tc>
          <w:tcPr>
            <w:tcW w:type="dxa" w:w="5460"/>
            <w:shd w:fill="F2F7FC" w:val="clear"/>
            <w:tcMar>
              <w:top w:type="dxa" w:w="80"/>
              <w:left w:type="dxa" w:w="120"/>
              <w:bottom w:type="dxa" w:w="80"/>
              <w:right w:type="dxa" w:w="120"/>
            </w:tcMar>
          </w:tcPr>
          <w:p>
            <w:r>
              <w:rPr>
                <w:rFonts w:ascii="Arial" w:cs="Arial" w:eastAsia="Arial" w:hAnsi="Arial"/>
                <w:color w:val="222222"/>
                <w:sz w:val="18"/>
                <w:szCs w:val="18"/>
              </w:rPr>
              <w:t xml:space="preserve">Jayalalithaa personally resolved clearance delays; anchored IT campus development in southern OMR</w:t>
            </w:r>
          </w:p>
        </w:tc>
      </w:tr>
      <w:tr>
        <w:tc>
          <w:tcPr>
            <w:tcW w:type="dxa" w:w="3000"/>
            <w:shd w:fill="FFFFFF" w:val="clear"/>
            <w:tcMar>
              <w:top w:type="dxa" w:w="80"/>
              <w:left w:type="dxa" w:w="120"/>
              <w:bottom w:type="dxa" w:w="80"/>
              <w:right w:type="dxa" w:w="120"/>
            </w:tcMar>
          </w:tcPr>
          <w:p>
            <w:r>
              <w:rPr>
                <w:rFonts w:ascii="Arial" w:cs="Arial" w:eastAsia="Arial" w:hAnsi="Arial"/>
                <w:color w:val="222222"/>
                <w:sz w:val="18"/>
                <w:szCs w:val="18"/>
              </w:rPr>
              <w:t xml:space="preserve">OMR declared IT corridor</w:t>
            </w:r>
          </w:p>
        </w:tc>
        <w:tc>
          <w:tcPr>
            <w:tcW w:type="dxa" w:w="900"/>
            <w:shd w:fill="FFFFFF" w:val="clear"/>
            <w:tcMar>
              <w:top w:type="dxa" w:w="80"/>
              <w:left w:type="dxa" w:w="120"/>
              <w:bottom w:type="dxa" w:w="80"/>
              <w:right w:type="dxa" w:w="120"/>
            </w:tcMar>
          </w:tcPr>
          <w:p>
            <w:r>
              <w:rPr>
                <w:rFonts w:ascii="Arial" w:cs="Arial" w:eastAsia="Arial" w:hAnsi="Arial"/>
                <w:color w:val="222222"/>
                <w:sz w:val="18"/>
                <w:szCs w:val="18"/>
              </w:rPr>
              <w:t xml:space="preserve">2003–2005</w:t>
            </w:r>
          </w:p>
        </w:tc>
        <w:tc>
          <w:tcPr>
            <w:tcW w:type="dxa" w:w="5460"/>
            <w:shd w:fill="FFFFFF" w:val="clear"/>
            <w:tcMar>
              <w:top w:type="dxa" w:w="80"/>
              <w:left w:type="dxa" w:w="120"/>
              <w:bottom w:type="dxa" w:w="80"/>
              <w:right w:type="dxa" w:w="120"/>
            </w:tcMar>
          </w:tcPr>
          <w:p>
            <w:r>
              <w:rPr>
                <w:rFonts w:ascii="Arial" w:cs="Arial" w:eastAsia="Arial" w:hAnsi="Arial"/>
                <w:color w:val="222222"/>
                <w:sz w:val="18"/>
                <w:szCs w:val="18"/>
              </w:rPr>
              <w:t xml:space="preserve">Cognizant, Infosys, Wipro campuses; Chennai established as India’s second IT destination</w:t>
            </w:r>
          </w:p>
        </w:tc>
      </w:tr>
      <w:tr>
        <w:tc>
          <w:tcPr>
            <w:tcW w:type="dxa" w:w="3000"/>
            <w:shd w:fill="F2F7FC" w:val="clear"/>
            <w:tcMar>
              <w:top w:type="dxa" w:w="80"/>
              <w:left w:type="dxa" w:w="120"/>
              <w:bottom w:type="dxa" w:w="80"/>
              <w:right w:type="dxa" w:w="120"/>
            </w:tcMar>
          </w:tcPr>
          <w:p>
            <w:r>
              <w:rPr>
                <w:rFonts w:ascii="Arial" w:cs="Arial" w:eastAsia="Arial" w:hAnsi="Arial"/>
                <w:color w:val="222222"/>
                <w:sz w:val="18"/>
                <w:szCs w:val="18"/>
              </w:rPr>
              <w:t xml:space="preserve">TIDEL Coimbatore (TIDEL Neo precursor)</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2010</w:t>
            </w:r>
          </w:p>
        </w:tc>
        <w:tc>
          <w:tcPr>
            <w:tcW w:type="dxa" w:w="5460"/>
            <w:shd w:fill="F2F7FC" w:val="clear"/>
            <w:tcMar>
              <w:top w:type="dxa" w:w="80"/>
              <w:left w:type="dxa" w:w="120"/>
              <w:bottom w:type="dxa" w:w="80"/>
              <w:right w:type="dxa" w:w="120"/>
            </w:tcMar>
          </w:tcPr>
          <w:p>
            <w:r>
              <w:rPr>
                <w:rFonts w:ascii="Arial" w:cs="Arial" w:eastAsia="Arial" w:hAnsi="Arial"/>
                <w:color w:val="222222"/>
                <w:sz w:val="18"/>
                <w:szCs w:val="18"/>
              </w:rPr>
              <w:t xml:space="preserve">Extended IT corridor logic to Tier-2 city; first deliberate IT decentralisation</w:t>
            </w:r>
          </w:p>
        </w:tc>
      </w:tr>
      <w:tr>
        <w:tc>
          <w:tcPr>
            <w:tcW w:type="dxa" w:w="3000"/>
            <w:shd w:fill="FFFFFF" w:val="clear"/>
            <w:tcMar>
              <w:top w:type="dxa" w:w="80"/>
              <w:left w:type="dxa" w:w="120"/>
              <w:bottom w:type="dxa" w:w="80"/>
              <w:right w:type="dxa" w:w="120"/>
            </w:tcMar>
          </w:tcPr>
          <w:p>
            <w:r>
              <w:rPr>
                <w:rFonts w:ascii="Arial" w:cs="Arial" w:eastAsia="Arial" w:hAnsi="Arial"/>
                <w:color w:val="222222"/>
                <w:sz w:val="18"/>
                <w:szCs w:val="18"/>
              </w:rPr>
              <w:t xml:space="preserve">TIDEL Neo programme (Madurai, Trichy, others)</w:t>
            </w:r>
          </w:p>
        </w:tc>
        <w:tc>
          <w:tcPr>
            <w:tcW w:type="dxa" w:w="900"/>
            <w:shd w:fill="FFFFFF" w:val="clear"/>
            <w:tcMar>
              <w:top w:type="dxa" w:w="80"/>
              <w:left w:type="dxa" w:w="120"/>
              <w:bottom w:type="dxa" w:w="80"/>
              <w:right w:type="dxa" w:w="120"/>
            </w:tcMar>
          </w:tcPr>
          <w:p>
            <w:r>
              <w:rPr>
                <w:rFonts w:ascii="Arial" w:cs="Arial" w:eastAsia="Arial" w:hAnsi="Arial"/>
                <w:color w:val="222222"/>
                <w:sz w:val="18"/>
                <w:szCs w:val="18"/>
              </w:rPr>
              <w:t xml:space="preserve">2021–present</w:t>
            </w:r>
          </w:p>
        </w:tc>
        <w:tc>
          <w:tcPr>
            <w:tcW w:type="dxa" w:w="5460"/>
            <w:shd w:fill="FFFFFF" w:val="clear"/>
            <w:tcMar>
              <w:top w:type="dxa" w:w="80"/>
              <w:left w:type="dxa" w:w="120"/>
              <w:bottom w:type="dxa" w:w="80"/>
              <w:right w:type="dxa" w:w="120"/>
            </w:tcMar>
          </w:tcPr>
          <w:p>
            <w:r>
              <w:rPr>
                <w:rFonts w:ascii="Arial" w:cs="Arial" w:eastAsia="Arial" w:hAnsi="Arial"/>
                <w:color w:val="222222"/>
                <w:sz w:val="18"/>
                <w:szCs w:val="18"/>
              </w:rPr>
              <w:t xml:space="preserve">MK Stalin administration; prevents “Bengaluru-style” concentration; extends knowledge economy statewide</w:t>
            </w:r>
          </w:p>
        </w:tc>
      </w:tr>
      <w:tr>
        <w:tc>
          <w:tcPr>
            <w:tcW w:type="dxa" w:w="3000"/>
            <w:shd w:fill="F2F7FC" w:val="clear"/>
            <w:tcMar>
              <w:top w:type="dxa" w:w="80"/>
              <w:left w:type="dxa" w:w="120"/>
              <w:bottom w:type="dxa" w:w="80"/>
              <w:right w:type="dxa" w:w="120"/>
            </w:tcMar>
          </w:tcPr>
          <w:p>
            <w:r>
              <w:rPr>
                <w:rFonts w:ascii="Arial" w:cs="Arial" w:eastAsia="Arial" w:hAnsi="Arial"/>
                <w:color w:val="222222"/>
                <w:sz w:val="18"/>
                <w:szCs w:val="18"/>
              </w:rPr>
              <w:t xml:space="preserve">GCC ecosystem, Chennai</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2020–present</w:t>
            </w:r>
          </w:p>
        </w:tc>
        <w:tc>
          <w:tcPr>
            <w:tcW w:type="dxa" w:w="5460"/>
            <w:shd w:fill="F2F7FC" w:val="clear"/>
            <w:tcMar>
              <w:top w:type="dxa" w:w="80"/>
              <w:left w:type="dxa" w:w="120"/>
              <w:bottom w:type="dxa" w:w="80"/>
              <w:right w:type="dxa" w:w="120"/>
            </w:tcMar>
          </w:tcPr>
          <w:p>
            <w:r>
              <w:rPr>
                <w:rFonts w:ascii="Arial" w:cs="Arial" w:eastAsia="Arial" w:hAnsi="Arial"/>
                <w:color w:val="222222"/>
                <w:sz w:val="18"/>
                <w:szCs w:val="18"/>
              </w:rPr>
              <w:t xml:space="preserve">500+ Global Capability Centres; 3.5 lakh professionals; Chennai as leading GCC hub outside Bengaluru</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institutional lineage from TIDEL Park to the GCC ecosystem is direct. TIDEL’s physical infrastructure attracted IT services companies. Those companies’ campuses attracted the graduate talent supply from Anna University, IIT Madras, and Tamil Nadu’s 500+ engineering colleges. The concentration of talent attracted higher-value knowledge functions — R&amp;D centres, analytics hubs, AI labs — which became the GCC ecosystem of the 2020s. Each stage in this progression required the previous one. The TIDEL decision in 2000 was the enabling condition for Chennai’s GCC position in 2025, in exactly the same way that the SIPCOT decision in 1971 was the enabling condition for Sriperumbudur’s electronics position in 2024.</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IT-led growth created significant multiplier effects: commercial real estate prices in Chennai increased ~150% between 2005 and 2025; logistics and transportation services created 200,000+ additional jobs; and the IT/ITES sector’s share in Tamil Nadu’s GSDP rose from 2% in 2000 to 8.5% by 2024. Regional spillover has been a notable feature, with IT parks and knowledge centres established in Coimbatore, Madurai, and Tirunelveli.</w:t>
      </w:r>
    </w:p>
    <w:p>
      <w:pPr>
        <w:pStyle w:val="Heading2"/>
        <w:spacing w:after="120" w:before="280"/>
      </w:pPr>
      <w:r>
        <w:rPr>
          <w:rFonts w:ascii="Arial" w:cs="Arial" w:eastAsia="Arial" w:hAnsi="Arial"/>
          <w:b/>
          <w:bCs/>
          <w:color w:val="2E5FA3"/>
          <w:sz w:val="24"/>
          <w:szCs w:val="24"/>
        </w:rPr>
        <w:t xml:space="preserve">7.5 MSMEs: The Backbone of Inclusive Industrialisation</w:t>
      </w:r>
    </w:p>
    <w:p>
      <w:pPr>
        <w:spacing w:after="80" w:before="80" w:line="276"/>
        <w:jc w:val="both"/>
      </w:pPr>
      <w:r>
        <w:rPr>
          <w:rFonts w:ascii="Arial" w:cs="Arial" w:eastAsia="Arial" w:hAnsi="Arial"/>
          <w:color w:val="222222"/>
          <w:sz w:val="20"/>
          <w:szCs w:val="20"/>
        </w:rPr>
        <w:t xml:space="preserve">Tamil Nadu’s MSME ecosystem is the foundation of its inclusive growth model. As of early 2025, the state had 35.56 lakh registered MSMEs employing approximately 2.56 crore workers — with 51.3% located in rural areas. MSMEs contribute approximately 30% of state industrial output. The Udyam registration system (2020–22) added 7.76 lakh new entrepreneurs generating approximately 6.9 million jobs.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MSME clusters in Kancheepuram (silk weaving), Tiruppur (knitwear), and Coimbatore (engineering and textiles) have combined traditional craft knowledge with export-oriented manufacturing at a scale that no single large firm could achieve. The primary constraints remain credit access, technological obsolescence, and limited digital marketing capability — structural challenges the MSME Policy 2021 has partially addressed.</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8. Why Tamil Nadu Succeeded While Others Stagnated: A Comparative Analysis</w:t>
      </w:r>
    </w:p>
    <w:p>
      <w:pPr>
        <w:spacing w:after="80" w:before="80" w:line="276"/>
        <w:jc w:val="both"/>
      </w:pPr>
      <w:r>
        <w:rPr>
          <w:rFonts w:ascii="Arial" w:cs="Arial" w:eastAsia="Arial" w:hAnsi="Arial"/>
          <w:color w:val="222222"/>
          <w:sz w:val="20"/>
          <w:szCs w:val="20"/>
        </w:rPr>
        <w:t xml:space="preserve">Tamil Nadu’s industrial performance across six decades raises a question that goes beyond its own history: why did this state outperform so many of its peers, including states that started from comparable or stronger positions? The answer is not simply ‘better policy’ — that explanation merely restates the question. A more useful framework examines the specific structural and institutional advantages that Tamil Nadu accumulated, and the corresponding deficits that held back comparative states.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8.1 The Institutional Infrastructure Gap</w:t>
      </w:r>
    </w:p>
    <w:p>
      <w:pPr>
        <w:spacing w:after="80" w:before="80" w:line="276"/>
        <w:jc w:val="both"/>
      </w:pPr>
      <w:r>
        <w:rPr>
          <w:rFonts w:ascii="Arial" w:cs="Arial" w:eastAsia="Arial" w:hAnsi="Arial"/>
          <w:color w:val="222222"/>
          <w:sz w:val="20"/>
          <w:szCs w:val="20"/>
        </w:rPr>
        <w:t xml:space="preserve">The most consequential difference between Tamil Nadu and most other Indian states is not any single policy decision but the depth and durability of its industrial institutions. By 1989, Tamil Nadu had a fully operational industrial ecosystem: SIPCOT managing 19 industrial complexes across 12 districts, SIDCO running 49 estates with 2,349 factory sheds, TIIC with a proven record of profitable SSI lending, TIDCO with twenty years of joint-venture experience, and a network of 38 District Industries Centres providing single-point facilitation at the local level.</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States like Uttar Pradesh, Rajasthan, and Bihar had state industrial development corporations on paper, but the operational depth — the accumulated know-how, the staffing levels, the land banks, the institutional relationships — was absent or shallow. When liberalisation opened the door to private and foreign investment in 1991, Tamil Nadu had a building that investors could walk into. Most other states had a drawing of a door.</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8.2 The Policy Continuity Advantage</w:t>
      </w:r>
    </w:p>
    <w:p>
      <w:pPr>
        <w:spacing w:after="80" w:before="80" w:line="276"/>
        <w:jc w:val="both"/>
      </w:pPr>
      <w:r>
        <w:rPr>
          <w:rFonts w:ascii="Arial" w:cs="Arial" w:eastAsia="Arial" w:hAnsi="Arial"/>
          <w:color w:val="222222"/>
          <w:sz w:val="20"/>
          <w:szCs w:val="20"/>
        </w:rPr>
        <w:t xml:space="preserve">Tamil Nadu’s institutional architecture — SIPCOT, SIDCO, TIIC, TIDCO, the DIC network, and later Guidance Tamil Nadu — has continued to function, expand, and deepen its capabilities across every change of government since 1971. This is the most direct available evidence of institutional quality. Institutions that survive political transitions do so because they deliver results that incoming governments have no incentive to reverse. SIPCOT’s industrial complexes attracted investment under every administration from 1971 to 2025; Guidance Tamil Nadu’s single-window facilitation has been strengthened by successive governments regardless of party; the TIDCO lineage that produced Titan in 1984 continued without interruption through the Ford facilitation of 1995, the Hyundai support of 1996, and the Foxconn desk of 2022. The continuity of these institutions across political cycles is not incidental to their effectiveness — it is constitutive of it. An investor evaluating Tamil Nadu in 1996, in 2006, or in 2024 could rely on the same institutional framework being in place regardless of which party had won the most recent election. That reliability is itself a competitive advantage, and it was earned through consistent institutional performance over decades.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durability of Tamil Nadu’s institutions also reflects a structural feature of how they were designed. SIPCOT and SIDCO were established as statutory bodies with their own governance structures, land holdings, and operational mandates — not as ministerial programme offices dependent on continued political patronage. TIIC had its own balance sheet and lending portfolio. TIDCO had its own investment pipeline and joint venture agreements. This structural autonomy meant that a change of government could modify these institutions’ priorities at the margin but could not easily dismantle their accumulated assets, relationships, and capabilities. A senior ex-bureaucrat summarised the operating norm precisely: “If one party’s policies worked earlier, the newly elected party would have no hesitation in adopting and improving upon it.” That norm was reinforced by institutional design: the incoming government inherited functioning estates, operational finance pipelines, and live investor relationships that it had every incentive to maintain and expand.</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8.3 The Social Inclusion Multiplier</w:t>
      </w:r>
    </w:p>
    <w:p>
      <w:pPr>
        <w:spacing w:after="80" w:before="80" w:line="276"/>
        <w:jc w:val="both"/>
      </w:pPr>
      <w:r>
        <w:rPr>
          <w:rFonts w:ascii="Arial" w:cs="Arial" w:eastAsia="Arial" w:hAnsi="Arial"/>
          <w:color w:val="222222"/>
          <w:sz w:val="20"/>
          <w:szCs w:val="20"/>
        </w:rPr>
        <w:t xml:space="preserve">Tamil Nadu’s approach to industrialisation was distinctive in another respect: it treated social investment not as a drain on industrial development but as a precondition for it. The Midday Meal Scheme (universalised by MGR in 1982), the expansion of polytechnics and engineering colleges, the universal Public Distribution System, and the 17 welfare boards for informal workers collectively created a population with higher nutritional status, broader educational attainment, and greater economic security than comparable populations in states that pursued industrial growth without parallel social investment.</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Tony Blair Institute’s analysis of Tamil Nadu’s development model makes this argument rigorously: the state’s industrial success and its social progress are not parallel stories with separate causes. They are aspects of a single, mutually reinforcing system. Industries relocated or expanded in Tamil Nadu in part because its workforce was healthier, better-educated, and more productive than alternatives. The social investments made it easier to attract industry; the industrial investments generated the fiscal capacity to sustain social programmes. Breaking this cycle — either by cutting social investment to fund industrial subsidies, or by neglecting industrial policy in favour of welfare transfers — would have undermined both.</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3430"/>
        <w:gridCol w:w="3430"/>
      </w:tblGrid>
      <w:tr>
        <w:trPr>
          <w:tblHeader/>
        </w:trPr>
        <w:tc>
          <w:tcPr>
            <w:tcW w:type="dxa" w:w="2500"/>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430"/>
            <w:shd w:fill="1F3864" w:val="clear"/>
            <w:tcMar>
              <w:top w:type="dxa" w:w="80"/>
              <w:left w:type="dxa" w:w="120"/>
              <w:bottom w:type="dxa" w:w="80"/>
              <w:right w:type="dxa" w:w="120"/>
            </w:tcMar>
          </w:tcPr>
          <w:p>
            <w:r>
              <w:rPr>
                <w:rFonts w:ascii="Arial" w:cs="Arial" w:eastAsia="Arial" w:hAnsi="Arial"/>
                <w:b/>
                <w:bCs/>
                <w:color w:val="FFFFFF"/>
                <w:sz w:val="18"/>
                <w:szCs w:val="18"/>
              </w:rPr>
              <w:t xml:space="preserve">Tamil Nadu</w:t>
            </w:r>
          </w:p>
        </w:tc>
        <w:tc>
          <w:tcPr>
            <w:tcW w:type="dxa" w:w="3430"/>
            <w:shd w:fill="1F3864" w:val="clear"/>
            <w:tcMar>
              <w:top w:type="dxa" w:w="80"/>
              <w:left w:type="dxa" w:w="120"/>
              <w:bottom w:type="dxa" w:w="80"/>
              <w:right w:type="dxa" w:w="120"/>
            </w:tcMar>
          </w:tcPr>
          <w:p>
            <w:r>
              <w:rPr>
                <w:rFonts w:ascii="Arial" w:cs="Arial" w:eastAsia="Arial" w:hAnsi="Arial"/>
                <w:b/>
                <w:bCs/>
                <w:color w:val="FFFFFF"/>
                <w:sz w:val="18"/>
                <w:szCs w:val="18"/>
              </w:rPr>
              <w:t xml:space="preserve">Comparable State (Maharashtra / Gujarat)</w:t>
            </w:r>
          </w:p>
        </w:tc>
      </w:tr>
      <w:tr>
        <w:tc>
          <w:tcPr>
            <w:tcW w:type="dxa" w:w="2500"/>
            <w:shd w:fill="F2F7FC" w:val="clear"/>
            <w:tcMar>
              <w:top w:type="dxa" w:w="80"/>
              <w:left w:type="dxa" w:w="120"/>
              <w:bottom w:type="dxa" w:w="80"/>
              <w:right w:type="dxa" w:w="120"/>
            </w:tcMar>
          </w:tcPr>
          <w:p>
            <w:r>
              <w:rPr>
                <w:rFonts w:ascii="Arial" w:cs="Arial" w:eastAsia="Arial" w:hAnsi="Arial"/>
                <w:color w:val="222222"/>
                <w:sz w:val="18"/>
                <w:szCs w:val="18"/>
              </w:rPr>
              <w:t xml:space="preserve">Policy continuity</w:t>
            </w:r>
          </w:p>
        </w:tc>
        <w:tc>
          <w:tcPr>
            <w:tcW w:type="dxa" w:w="3430"/>
            <w:shd w:fill="F2F7FC" w:val="clear"/>
            <w:tcMar>
              <w:top w:type="dxa" w:w="80"/>
              <w:left w:type="dxa" w:w="120"/>
              <w:bottom w:type="dxa" w:w="80"/>
              <w:right w:type="dxa" w:w="120"/>
            </w:tcMar>
          </w:tcPr>
          <w:p>
            <w:r>
              <w:rPr>
                <w:rFonts w:ascii="Arial" w:cs="Arial" w:eastAsia="Arial" w:hAnsi="Arial"/>
                <w:color w:val="222222"/>
                <w:sz w:val="18"/>
                <w:szCs w:val="18"/>
              </w:rPr>
              <w:t xml:space="preserve">Cross-party industrial commitments honoured since 1989; no major investment reversed on political grounds</w:t>
            </w:r>
          </w:p>
        </w:tc>
        <w:tc>
          <w:tcPr>
            <w:tcW w:type="dxa" w:w="3430"/>
            <w:shd w:fill="F2F7FC" w:val="clear"/>
            <w:tcMar>
              <w:top w:type="dxa" w:w="80"/>
              <w:left w:type="dxa" w:w="120"/>
              <w:bottom w:type="dxa" w:w="80"/>
              <w:right w:type="dxa" w:w="120"/>
            </w:tcMar>
          </w:tcPr>
          <w:p>
            <w:r>
              <w:rPr>
                <w:rFonts w:ascii="Arial" w:cs="Arial" w:eastAsia="Arial" w:hAnsi="Arial"/>
                <w:color w:val="222222"/>
                <w:sz w:val="18"/>
                <w:szCs w:val="18"/>
              </w:rPr>
              <w:t xml:space="preserve">Maharashtra: Enron-style reversals affected investor confidence; Gujarat: strong but Chief Minister-dependent</w:t>
            </w:r>
          </w:p>
        </w:tc>
      </w:tr>
      <w:tr>
        <w:tc>
          <w:tcPr>
            <w:tcW w:type="dxa" w:w="2500"/>
            <w:shd w:fill="FFFFFF" w:val="clear"/>
            <w:tcMar>
              <w:top w:type="dxa" w:w="80"/>
              <w:left w:type="dxa" w:w="120"/>
              <w:bottom w:type="dxa" w:w="80"/>
              <w:right w:type="dxa" w:w="120"/>
            </w:tcMar>
          </w:tcPr>
          <w:p>
            <w:r>
              <w:rPr>
                <w:rFonts w:ascii="Arial" w:cs="Arial" w:eastAsia="Arial" w:hAnsi="Arial"/>
                <w:color w:val="222222"/>
                <w:sz w:val="18"/>
                <w:szCs w:val="18"/>
              </w:rPr>
              <w:t xml:space="preserve">Industrial institutions</w:t>
            </w:r>
          </w:p>
        </w:tc>
        <w:tc>
          <w:tcPr>
            <w:tcW w:type="dxa" w:w="3430"/>
            <w:shd w:fill="FFFFFF" w:val="clear"/>
            <w:tcMar>
              <w:top w:type="dxa" w:w="80"/>
              <w:left w:type="dxa" w:w="120"/>
              <w:bottom w:type="dxa" w:w="80"/>
              <w:right w:type="dxa" w:w="120"/>
            </w:tcMar>
          </w:tcPr>
          <w:p>
            <w:r>
              <w:rPr>
                <w:rFonts w:ascii="Arial" w:cs="Arial" w:eastAsia="Arial" w:hAnsi="Arial"/>
                <w:color w:val="222222"/>
                <w:sz w:val="18"/>
                <w:szCs w:val="18"/>
              </w:rPr>
              <w:t xml:space="preserve">SIPCOT, SIDCO, TIIC, TIDCO operational for 50+ years with accumulated know-how</w:t>
            </w:r>
          </w:p>
        </w:tc>
        <w:tc>
          <w:tcPr>
            <w:tcW w:type="dxa" w:w="3430"/>
            <w:shd w:fill="FFFFFF" w:val="clear"/>
            <w:tcMar>
              <w:top w:type="dxa" w:w="80"/>
              <w:left w:type="dxa" w:w="120"/>
              <w:bottom w:type="dxa" w:w="80"/>
              <w:right w:type="dxa" w:w="120"/>
            </w:tcMar>
          </w:tcPr>
          <w:p>
            <w:r>
              <w:rPr>
                <w:rFonts w:ascii="Arial" w:cs="Arial" w:eastAsia="Arial" w:hAnsi="Arial"/>
                <w:color w:val="222222"/>
                <w:sz w:val="18"/>
                <w:szCs w:val="18"/>
              </w:rPr>
              <w:t xml:space="preserve">Comparable institutions exist but shallower operational depth; less land-banking discipline</w:t>
            </w:r>
          </w:p>
        </w:tc>
      </w:tr>
      <w:tr>
        <w:tc>
          <w:tcPr>
            <w:tcW w:type="dxa" w:w="2500"/>
            <w:shd w:fill="F2F7FC" w:val="clear"/>
            <w:tcMar>
              <w:top w:type="dxa" w:w="80"/>
              <w:left w:type="dxa" w:w="120"/>
              <w:bottom w:type="dxa" w:w="80"/>
              <w:right w:type="dxa" w:w="120"/>
            </w:tcMar>
          </w:tcPr>
          <w:p>
            <w:r>
              <w:rPr>
                <w:rFonts w:ascii="Arial" w:cs="Arial" w:eastAsia="Arial" w:hAnsi="Arial"/>
                <w:color w:val="222222"/>
                <w:sz w:val="18"/>
                <w:szCs w:val="18"/>
              </w:rPr>
              <w:t xml:space="preserve">Cluster strategy</w:t>
            </w:r>
          </w:p>
        </w:tc>
        <w:tc>
          <w:tcPr>
            <w:tcW w:type="dxa" w:w="3430"/>
            <w:shd w:fill="F2F7FC" w:val="clear"/>
            <w:tcMar>
              <w:top w:type="dxa" w:w="80"/>
              <w:left w:type="dxa" w:w="120"/>
              <w:bottom w:type="dxa" w:w="80"/>
              <w:right w:type="dxa" w:w="120"/>
            </w:tcMar>
          </w:tcPr>
          <w:p>
            <w:r>
              <w:rPr>
                <w:rFonts w:ascii="Arial" w:cs="Arial" w:eastAsia="Arial" w:hAnsi="Arial"/>
                <w:color w:val="222222"/>
                <w:sz w:val="18"/>
                <w:szCs w:val="18"/>
              </w:rPr>
              <w:t xml:space="preserve">Multiple industrial growth centres across districts; no single dominant city</w:t>
            </w:r>
          </w:p>
        </w:tc>
        <w:tc>
          <w:tcPr>
            <w:tcW w:type="dxa" w:w="3430"/>
            <w:shd w:fill="F2F7FC" w:val="clear"/>
            <w:tcMar>
              <w:top w:type="dxa" w:w="80"/>
              <w:left w:type="dxa" w:w="120"/>
              <w:bottom w:type="dxa" w:w="80"/>
              <w:right w:type="dxa" w:w="120"/>
            </w:tcMar>
          </w:tcPr>
          <w:p>
            <w:r>
              <w:rPr>
                <w:rFonts w:ascii="Arial" w:cs="Arial" w:eastAsia="Arial" w:hAnsi="Arial"/>
                <w:color w:val="222222"/>
                <w:sz w:val="18"/>
                <w:szCs w:val="18"/>
              </w:rPr>
              <w:t xml:space="preserve">Maharashtra: Mumbai-Pune metro concentration; Gujarat: Ahmedabad-Surat-Vadodara belt</w:t>
            </w:r>
          </w:p>
        </w:tc>
      </w:tr>
      <w:tr>
        <w:tc>
          <w:tcPr>
            <w:tcW w:type="dxa" w:w="2500"/>
            <w:shd w:fill="FFFFFF" w:val="clear"/>
            <w:tcMar>
              <w:top w:type="dxa" w:w="80"/>
              <w:left w:type="dxa" w:w="120"/>
              <w:bottom w:type="dxa" w:w="80"/>
              <w:right w:type="dxa" w:w="120"/>
            </w:tcMar>
          </w:tcPr>
          <w:p>
            <w:r>
              <w:rPr>
                <w:rFonts w:ascii="Arial" w:cs="Arial" w:eastAsia="Arial" w:hAnsi="Arial"/>
                <w:color w:val="222222"/>
                <w:sz w:val="18"/>
                <w:szCs w:val="18"/>
              </w:rPr>
              <w:t xml:space="preserve">Social investment model</w:t>
            </w:r>
          </w:p>
        </w:tc>
        <w:tc>
          <w:tcPr>
            <w:tcW w:type="dxa" w:w="3430"/>
            <w:shd w:fill="FFFFFF" w:val="clear"/>
            <w:tcMar>
              <w:top w:type="dxa" w:w="80"/>
              <w:left w:type="dxa" w:w="120"/>
              <w:bottom w:type="dxa" w:w="80"/>
              <w:right w:type="dxa" w:w="120"/>
            </w:tcMar>
          </w:tcPr>
          <w:p>
            <w:r>
              <w:rPr>
                <w:rFonts w:ascii="Arial" w:cs="Arial" w:eastAsia="Arial" w:hAnsi="Arial"/>
                <w:color w:val="222222"/>
                <w:sz w:val="18"/>
                <w:szCs w:val="18"/>
              </w:rPr>
              <w:t xml:space="preserve">Universal PDS, midday meals, health infrastructure as economic enablers; inclusive growth</w:t>
            </w:r>
          </w:p>
        </w:tc>
        <w:tc>
          <w:tcPr>
            <w:tcW w:type="dxa" w:w="3430"/>
            <w:shd w:fill="FFFFFF" w:val="clear"/>
            <w:tcMar>
              <w:top w:type="dxa" w:w="80"/>
              <w:left w:type="dxa" w:w="120"/>
              <w:bottom w:type="dxa" w:w="80"/>
              <w:right w:type="dxa" w:w="120"/>
            </w:tcMar>
          </w:tcPr>
          <w:p>
            <w:r>
              <w:rPr>
                <w:rFonts w:ascii="Arial" w:cs="Arial" w:eastAsia="Arial" w:hAnsi="Arial"/>
                <w:color w:val="222222"/>
                <w:sz w:val="18"/>
                <w:szCs w:val="18"/>
              </w:rPr>
              <w:t xml:space="preserve">Gujarat: targeted PDS with 63% leakage; below-average health and nutrition outcomes</w:t>
            </w:r>
          </w:p>
        </w:tc>
      </w:tr>
      <w:tr>
        <w:tc>
          <w:tcPr>
            <w:tcW w:type="dxa" w:w="2500"/>
            <w:shd w:fill="F2F7FC" w:val="clear"/>
            <w:tcMar>
              <w:top w:type="dxa" w:w="80"/>
              <w:left w:type="dxa" w:w="120"/>
              <w:bottom w:type="dxa" w:w="80"/>
              <w:right w:type="dxa" w:w="120"/>
            </w:tcMar>
          </w:tcPr>
          <w:p>
            <w:r>
              <w:rPr>
                <w:rFonts w:ascii="Arial" w:cs="Arial" w:eastAsia="Arial" w:hAnsi="Arial"/>
                <w:color w:val="222222"/>
                <w:sz w:val="18"/>
                <w:szCs w:val="18"/>
              </w:rPr>
              <w:t xml:space="preserve">MSME ecosystem</w:t>
            </w:r>
          </w:p>
        </w:tc>
        <w:tc>
          <w:tcPr>
            <w:tcW w:type="dxa" w:w="3430"/>
            <w:shd w:fill="F2F7FC" w:val="clear"/>
            <w:tcMar>
              <w:top w:type="dxa" w:w="80"/>
              <w:left w:type="dxa" w:w="120"/>
              <w:bottom w:type="dxa" w:w="80"/>
              <w:right w:type="dxa" w:w="120"/>
            </w:tcMar>
          </w:tcPr>
          <w:p>
            <w:r>
              <w:rPr>
                <w:rFonts w:ascii="Arial" w:cs="Arial" w:eastAsia="Arial" w:hAnsi="Arial"/>
                <w:color w:val="222222"/>
                <w:sz w:val="18"/>
                <w:szCs w:val="18"/>
              </w:rPr>
              <w:t xml:space="preserve">67% of 100+ worker enterprises OBC-owned; broad-based entrepreneurship</w:t>
            </w:r>
          </w:p>
        </w:tc>
        <w:tc>
          <w:tcPr>
            <w:tcW w:type="dxa" w:w="3430"/>
            <w:shd w:fill="F2F7FC" w:val="clear"/>
            <w:tcMar>
              <w:top w:type="dxa" w:w="80"/>
              <w:left w:type="dxa" w:w="120"/>
              <w:bottom w:type="dxa" w:w="80"/>
              <w:right w:type="dxa" w:w="120"/>
            </w:tcMar>
          </w:tcPr>
          <w:p>
            <w:r>
              <w:rPr>
                <w:rFonts w:ascii="Arial" w:cs="Arial" w:eastAsia="Arial" w:hAnsi="Arial"/>
                <w:color w:val="222222"/>
                <w:sz w:val="18"/>
                <w:szCs w:val="18"/>
              </w:rPr>
              <w:t xml:space="preserve">Gujarat: 11% OBC-owned at this scale; Maharashtra: 8%; ownership concentrated</w:t>
            </w:r>
          </w:p>
        </w:tc>
      </w:tr>
      <w:tr>
        <w:tc>
          <w:tcPr>
            <w:tcW w:type="dxa" w:w="2500"/>
            <w:shd w:fill="FFFFFF" w:val="clear"/>
            <w:tcMar>
              <w:top w:type="dxa" w:w="80"/>
              <w:left w:type="dxa" w:w="120"/>
              <w:bottom w:type="dxa" w:w="80"/>
              <w:right w:type="dxa" w:w="120"/>
            </w:tcMar>
          </w:tcPr>
          <w:p>
            <w:r>
              <w:rPr>
                <w:rFonts w:ascii="Arial" w:cs="Arial" w:eastAsia="Arial" w:hAnsi="Arial"/>
                <w:color w:val="222222"/>
                <w:sz w:val="18"/>
                <w:szCs w:val="18"/>
              </w:rPr>
              <w:t xml:space="preserve">Labour market</w:t>
            </w:r>
          </w:p>
        </w:tc>
        <w:tc>
          <w:tcPr>
            <w:tcW w:type="dxa" w:w="3430"/>
            <w:shd w:fill="FFFFFF" w:val="clear"/>
            <w:tcMar>
              <w:top w:type="dxa" w:w="80"/>
              <w:left w:type="dxa" w:w="120"/>
              <w:bottom w:type="dxa" w:w="80"/>
              <w:right w:type="dxa" w:w="120"/>
            </w:tcMar>
          </w:tcPr>
          <w:p>
            <w:r>
              <w:rPr>
                <w:rFonts w:ascii="Arial" w:cs="Arial" w:eastAsia="Arial" w:hAnsi="Arial"/>
                <w:color w:val="222222"/>
                <w:sz w:val="18"/>
                <w:szCs w:val="18"/>
              </w:rPr>
              <w:t xml:space="preserve">Highest wage share in GVA (32%); casual-to-regular wage ratio improving</w:t>
            </w:r>
          </w:p>
        </w:tc>
        <w:tc>
          <w:tcPr>
            <w:tcW w:type="dxa" w:w="3430"/>
            <w:shd w:fill="FFFFFF" w:val="clear"/>
            <w:tcMar>
              <w:top w:type="dxa" w:w="80"/>
              <w:left w:type="dxa" w:w="120"/>
              <w:bottom w:type="dxa" w:w="80"/>
              <w:right w:type="dxa" w:w="120"/>
            </w:tcMar>
          </w:tcPr>
          <w:p>
            <w:r>
              <w:rPr>
                <w:rFonts w:ascii="Arial" w:cs="Arial" w:eastAsia="Arial" w:hAnsi="Arial"/>
                <w:color w:val="222222"/>
                <w:sz w:val="18"/>
                <w:szCs w:val="18"/>
              </w:rPr>
              <w:t xml:space="preserve">Gujarat: 17% wage share; Maharashtra: 22%; higher capital intensity, fewer jobs per investment</w:t>
            </w:r>
          </w:p>
        </w:tc>
      </w:tr>
      <w:tr>
        <w:tc>
          <w:tcPr>
            <w:tcW w:type="dxa" w:w="2500"/>
            <w:shd w:fill="F2F7FC" w:val="clear"/>
            <w:tcMar>
              <w:top w:type="dxa" w:w="80"/>
              <w:left w:type="dxa" w:w="120"/>
              <w:bottom w:type="dxa" w:w="80"/>
              <w:right w:type="dxa" w:w="120"/>
            </w:tcMar>
          </w:tcPr>
          <w:p>
            <w:r>
              <w:rPr>
                <w:rFonts w:ascii="Arial" w:cs="Arial" w:eastAsia="Arial" w:hAnsi="Arial"/>
                <w:color w:val="222222"/>
                <w:sz w:val="18"/>
                <w:szCs w:val="18"/>
              </w:rPr>
              <w:t xml:space="preserve">Land acquisition</w:t>
            </w:r>
          </w:p>
        </w:tc>
        <w:tc>
          <w:tcPr>
            <w:tcW w:type="dxa" w:w="3430"/>
            <w:shd w:fill="F2F7FC" w:val="clear"/>
            <w:tcMar>
              <w:top w:type="dxa" w:w="80"/>
              <w:left w:type="dxa" w:w="120"/>
              <w:bottom w:type="dxa" w:w="80"/>
              <w:right w:type="dxa" w:w="120"/>
            </w:tcMar>
          </w:tcPr>
          <w:p>
            <w:r>
              <w:rPr>
                <w:rFonts w:ascii="Arial" w:cs="Arial" w:eastAsia="Arial" w:hAnsi="Arial"/>
                <w:color w:val="222222"/>
                <w:sz w:val="18"/>
                <w:szCs w:val="18"/>
              </w:rPr>
              <w:t xml:space="preserve">Consent-based model; no systematic SEZ resistance</w:t>
            </w:r>
          </w:p>
        </w:tc>
        <w:tc>
          <w:tcPr>
            <w:tcW w:type="dxa" w:w="3430"/>
            <w:shd w:fill="F2F7FC" w:val="clear"/>
            <w:tcMar>
              <w:top w:type="dxa" w:w="80"/>
              <w:left w:type="dxa" w:w="120"/>
              <w:bottom w:type="dxa" w:w="80"/>
              <w:right w:type="dxa" w:w="120"/>
            </w:tcMar>
          </w:tcPr>
          <w:p>
            <w:r>
              <w:rPr>
                <w:rFonts w:ascii="Arial" w:cs="Arial" w:eastAsia="Arial" w:hAnsi="Arial"/>
                <w:color w:val="222222"/>
                <w:sz w:val="18"/>
                <w:szCs w:val="18"/>
              </w:rPr>
              <w:t xml:space="preserve">Multiple states: SEZ protests and land disputes disrupted investment timelines</w:t>
            </w:r>
          </w:p>
        </w:tc>
      </w:tr>
    </w:tbl>
    <w:p>
      <w:pPr>
        <w:spacing w:after="60" w:before="40"/>
        <w:jc w:val="both"/>
      </w:pPr>
      <w:r>
        <w:rPr>
          <w:rFonts w:ascii="Arial" w:cs="Arial" w:eastAsia="Arial" w:hAnsi="Arial"/>
          <w:i/>
          <w:color w:val="666666"/>
          <w:sz w:val="16"/>
          <w:szCs w:val="16"/>
        </w:rPr>
        <w:t xml:space="preserve">Sources for comparative table: Economic Census 2013–14 (GoI, MoSPI) for enterprise ownership; Kalaiyarasan A. and Vijayabaskar M., ‘The Dravidian Model’ (CUP, 2021) for ownership analysis; Shin S., ‘Land Management and Industrial Development in Tamil Nadu’ (ISAS, 2016) for land acquisition; Dreze J. and Khera R. (2016) for PDS leakage; World Bank Tamil Nadu Development Brief (2017) for poverty and health indicators.</w:t>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The Composite Advantage: Tamil Nadu’s outperformance is not explained by any single factor. It reflects the compound effect of institutional depth (built across Wave 2), policy continuity (maintained across five decades of alternating governments), spatial distribution of industrial investment (preventing metropolitan congestion), and social investment that created a productive, healthy, and skilled workforce. The most important lesson for other states and countries is precisely that no single element is sufficient: the institutional infrastructure, the political commitment, the spatial strategy, and the social compact must be built together, over time, as an integrated system.</w:t>
            </w:r>
          </w:p>
        </w:tc>
      </w:tr>
    </w:tbl>
    <w:p>
      <w:pPr>
        <w:pStyle w:val="Heading1"/>
        <w:spacing w:after="160" w:before="360"/>
      </w:pPr>
      <w:r>
        <w:rPr>
          <w:rFonts w:ascii="Arial" w:cs="Arial" w:eastAsia="Arial" w:hAnsi="Arial"/>
          <w:b/>
          <w:bCs/>
          <w:color w:val="1F3864"/>
          <w:sz w:val="28"/>
          <w:szCs w:val="28"/>
        </w:rPr>
        <w:t xml:space="preserve">9. Social Dimensions, Human Development, and Inequality</w:t>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The Tony Blair Institute Framework: Growth With Social Development. The Tony Blair Institute for Global Change’s analysis of Tamil Nadu (2020) makes a case that most industrial economics reports miss: Tamil Nadu’s most distinctive achievement is not its manufacturing output or FDI figures but its ability to combine rapid economic growth with measurable improvements in nutrition, education, and health. Infant mortality declined from 134 per 1,000 births in the 1950s to 13 by 2025. Rural poverty fell from 70% in 1960 to below 15% by 2020. Tamil Nadu achieved the Millennium Development Goals far ahead of most Indian states and is on track for the UN’s Sustainable Development Goals. The Institute’s central argument: these outcomes were not incidental to Tamil Nadu’s industrial strategy; they were constitutive of it. Healthier, better-educated workers are more productive workers. A universal PDS that prevents hunger is an implicit wage subsidy that allows manufacturers to compete on cost without reproducing poverty. Welfare provision in Tamil Nadu is not a transfer programme; it is an industrial policy instrument.</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9.1 Poverty and Living Standards</w:t>
      </w:r>
    </w:p>
    <w:p>
      <w:pPr>
        <w:spacing w:after="80" w:before="80" w:line="276"/>
        <w:jc w:val="both"/>
      </w:pPr>
      <w:r>
        <w:rPr>
          <w:rFonts w:ascii="Arial" w:cs="Arial" w:eastAsia="Arial" w:hAnsi="Arial"/>
          <w:color w:val="222222"/>
          <w:sz w:val="20"/>
          <w:szCs w:val="20"/>
        </w:rPr>
        <w:t xml:space="preserve">Tamil Nadu’s poverty trajectory is among the most impressive in India. The poverty rate declined from 54% in 1973–74 to 10.5% in 2023, with the state consistently outperforming national averages across consumption, health, and education metrics. Per capita NSDP rose from below ₹2,000 in 1950 to ₹2.85 lakh in 2025. The Human Development Index improved from 0.38 in 1981 to 0.71 in 2023, placing Tamil Nadu among the top five Indian states.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1700"/>
        <w:gridCol w:w="19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Indicator</w:t>
            </w:r>
          </w:p>
        </w:tc>
        <w:tc>
          <w:tcPr>
            <w:tcW w:type="dxa" w:w="21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1950s</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1980s–2000s</w:t>
            </w:r>
          </w:p>
        </w:tc>
        <w:tc>
          <w:tcPr>
            <w:tcW w:type="dxa" w:w="19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2010–2025</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GSDP</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₹260 crore</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₹1.8 lakh crore</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₹28.5 lakh crore</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Per capita NSDP</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&lt;₹2,000</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₹25,000</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₹2,85,000</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Literacy rate (%)</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36</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66</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82.9</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Life expectancy (years)</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45</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63</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73.4</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Infant Mortality Rate (per 1,000 live births)</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134</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58</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13</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Poverty rate (%)</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54</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32</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10.5</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Urban population (%)</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34</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49</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Female workforce participation (%)</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9</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22</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36</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HDI</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0.38</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0.54</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0.71</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Gini Coefficient (consumption)</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0.30</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0.36</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0.41</w:t>
            </w:r>
          </w:p>
        </w:tc>
      </w:tr>
    </w:tbl>
    <w:p>
      <w:pPr>
        <w:pStyle w:val="Heading2"/>
        <w:spacing w:after="120" w:before="280"/>
      </w:pPr>
      <w:r>
        <w:rPr>
          <w:rFonts w:ascii="Arial" w:cs="Arial" w:eastAsia="Arial" w:hAnsi="Arial"/>
          <w:b/>
          <w:bCs/>
          <w:color w:val="2E5FA3"/>
          <w:sz w:val="24"/>
          <w:szCs w:val="24"/>
        </w:rPr>
        <w:t xml:space="preserve">9.2 Gender and Workforce Inclusion</w:t>
      </w:r>
    </w:p>
    <w:p>
      <w:pPr>
        <w:spacing w:after="80" w:before="80" w:line="276"/>
        <w:jc w:val="both"/>
      </w:pPr>
      <w:r>
        <w:rPr>
          <w:rFonts w:ascii="Arial" w:cs="Arial" w:eastAsia="Arial" w:hAnsi="Arial"/>
          <w:color w:val="222222"/>
          <w:sz w:val="20"/>
          <w:szCs w:val="20"/>
        </w:rPr>
        <w:t xml:space="preserve">Industrialisation has substantially increased women’s formal workforce participation. In textile hubs such as Coimbatore and Tiruppur, women constitute over 45% of the manufacturing workforce. In electronics and IT assembly around Chennai and Sriperumbudur, women account for nearly 35% of the workforce. Female labour force participation has improved by 23% between 2000 and 2023, and Tamil Nadu ranks among the top five states on the Gender Development Index.</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Persistent challenges include wage disparities (particularly in informal employment settings), job insecurity in contract-based roles, and the concentration of high-earning positions in organised manufacturing among male workers. The Gini coefficient’s modest rise from 0.30 to 0.41 between 1950 and 2025 confirms that while industrialisation improved aggregate prosperity, benefits were not evenly distributed across gender, region, or social group.</w:t>
      </w:r>
    </w:p>
    <w:p>
      <w:pPr>
        <w:pStyle w:val="Heading2"/>
        <w:spacing w:after="120" w:before="280"/>
      </w:pPr>
      <w:r>
        <w:rPr>
          <w:rFonts w:ascii="Arial" w:cs="Arial" w:eastAsia="Arial" w:hAnsi="Arial"/>
          <w:b/>
          <w:bCs/>
          <w:color w:val="2E5FA3"/>
          <w:sz w:val="24"/>
          <w:szCs w:val="24"/>
        </w:rPr>
        <w:t xml:space="preserve">9.3 Labour Market Performance vs. National Benchmarks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Labour Indicator</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Tamil Nadu</w:t>
            </w:r>
          </w:p>
        </w:tc>
        <w:tc>
          <w:tcPr>
            <w:tcW w:type="dxa" w:w="2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National Average</w:t>
            </w:r>
          </w:p>
        </w:tc>
      </w:tr>
      <w:tr>
        <w:tc>
          <w:tcPr>
            <w:tcW w:type="dxa" w:w="4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Skilled workers (% of industrial workforce)</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35%</w:t>
            </w:r>
          </w:p>
        </w:tc>
        <w:tc>
          <w:tcPr>
            <w:tcW w:type="dxa" w:w="2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25%</w:t>
            </w:r>
          </w:p>
        </w:tc>
      </w:tr>
      <w:tr>
        <w:tc>
          <w:tcPr>
            <w:tcW w:type="dxa" w:w="4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Average manufacturing wage (2022)</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₹16,500/month</w:t>
            </w:r>
          </w:p>
        </w:tc>
        <w:tc>
          <w:tcPr>
            <w:tcW w:type="dxa" w:w="27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₹14,200/month</w:t>
            </w:r>
          </w:p>
        </w:tc>
      </w:tr>
      <w:tr>
        <w:tc>
          <w:tcPr>
            <w:tcW w:type="dxa" w:w="4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TNSDC vocational training placement rate</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65%</w:t>
            </w:r>
          </w:p>
        </w:tc>
        <w:tc>
          <w:tcPr>
            <w:tcW w:type="dxa" w:w="2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~50% benchmark</w:t>
            </w:r>
          </w:p>
        </w:tc>
      </w:tr>
      <w:tr>
        <w:tc>
          <w:tcPr>
            <w:tcW w:type="dxa" w:w="4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Annual wage growth rate</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7.5%</w:t>
            </w:r>
          </w:p>
        </w:tc>
        <w:tc>
          <w:tcPr>
            <w:tcW w:type="dxa" w:w="27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5.0%</w:t>
            </w:r>
          </w:p>
        </w:tc>
      </w:tr>
      <w:tr>
        <w:tc>
          <w:tcPr>
            <w:tcW w:type="dxa" w:w="4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Non-farm employment within rural areas</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Highest nationally</w:t>
            </w:r>
          </w:p>
        </w:tc>
        <w:tc>
          <w:tcPr>
            <w:tcW w:type="dxa" w:w="2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Significantly lower</w:t>
            </w:r>
          </w:p>
        </w:tc>
      </w:tr>
      <w:tr>
        <w:tc>
          <w:tcPr>
            <w:tcW w:type="dxa" w:w="4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Casual wage to regular wage ratio (2011–12)</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48.5%</w:t>
            </w:r>
          </w:p>
        </w:tc>
        <w:tc>
          <w:tcPr>
            <w:tcW w:type="dxa" w:w="27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36.4% all-India</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By 2023, TNSDC had trained over 1.2 million candidates across automotive, electronics, construction, and IT services sectors. Active trade unions in textiles and leather — combined with flexible performance-linked contracts in automotive and IT clusters — have produced a dual labour market structure that broadly maintains competitive wages while preserving industrial flexibility.</w:t>
      </w:r>
    </w:p>
    <w:p>
      <w:pPr>
        <w:pStyle w:val="Heading2"/>
        <w:spacing w:after="120" w:before="280"/>
      </w:pPr>
      <w:r>
        <w:rPr>
          <w:rFonts w:ascii="Arial" w:cs="Arial" w:eastAsia="Arial" w:hAnsi="Arial"/>
          <w:b/>
          <w:bCs/>
          <w:color w:val="2E5FA3"/>
          <w:sz w:val="24"/>
          <w:szCs w:val="24"/>
        </w:rPr>
        <w:t xml:space="preserve">9.4 Regional Disparities: The Persistent Challenge</w:t>
      </w:r>
    </w:p>
    <w:p>
      <w:pPr>
        <w:spacing w:after="80" w:before="80" w:line="276"/>
        <w:jc w:val="both"/>
      </w:pPr>
      <w:r>
        <w:rPr>
          <w:rFonts w:ascii="Arial" w:cs="Arial" w:eastAsia="Arial" w:hAnsi="Arial"/>
          <w:color w:val="222222"/>
          <w:sz w:val="20"/>
          <w:szCs w:val="20"/>
        </w:rPr>
        <w:t xml:space="preserve">Despite broad-based growth, significant regional disparities persist. Urban industrial corridors — Chennai, Coimbatore, Hosur, Tiruppur — account for a disproportionate share of industrial investment, employment, and income. Backward districts such as Dharmapuri, Perambalur, and parts of the northern belt lag considerably behind.</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Policy responses have evolved from the A/B/C district classification of the 1989 framework (offering progressively higher subsidies to less-industrialised districts) to SIPCOT’s land cost incentives of up to 50% in ‘C’ category districts under the 2021 Industrial Policy, and the promotion of 11 new industrial parks designed to generate 200,000 jobs in underserved regions.</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10. Environment, Sustainability, and Industry 4.0</w:t>
      </w:r>
    </w:p>
    <w:p>
      <w:pPr>
        <w:pStyle w:val="Heading2"/>
        <w:spacing w:after="120" w:before="280"/>
      </w:pPr>
      <w:r>
        <w:rPr>
          <w:rFonts w:ascii="Arial" w:cs="Arial" w:eastAsia="Arial" w:hAnsi="Arial"/>
          <w:b/>
          <w:bCs/>
          <w:color w:val="2E5FA3"/>
          <w:sz w:val="24"/>
          <w:szCs w:val="24"/>
        </w:rPr>
        <w:t xml:space="preserve">10.1 Environmental Pressures</w:t>
      </w:r>
    </w:p>
    <w:p>
      <w:pPr>
        <w:spacing w:after="80" w:before="80" w:line="276"/>
        <w:jc w:val="both"/>
      </w:pPr>
      <w:r>
        <w:rPr>
          <w:rFonts w:ascii="Arial" w:cs="Arial" w:eastAsia="Arial" w:hAnsi="Arial"/>
          <w:color w:val="222222"/>
          <w:sz w:val="20"/>
          <w:szCs w:val="20"/>
        </w:rPr>
        <w:t xml:space="preserve">Rapid industrialisation has imposed significant environmental costs. Tamil Nadu’s per capita water availability stands at just 654 m³ (2011 census) — less than half the national average of 1,545 m³. The Thenpennai River has suffered heavy pollution from industrial effluents. Lakes Chitlapakkam and Pallavaram have been degraded by untreated sewage and encroachment. Industrial zones around Ranipet (leather tanning) and SIDCO chemical clusters present persistent effluent management challenges.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Tamil Nadu Pollution Control Board (TNPCB) has responded with a Voluntary Green Rating programme, the ‘Meendum Manjappai’ cloth bag campaign, and the Tamil Nadu Green Climate Company operating across all 38 districts. The state’s 2025 Textile Policy mandates compliance standards aligned with international buyer sustainability requirements, creating market incentives for environmental performance.</w:t>
      </w:r>
    </w:p>
    <w:p>
      <w:pPr>
        <w:pStyle w:val="Heading2"/>
        <w:spacing w:after="120" w:before="280"/>
      </w:pPr>
      <w:r>
        <w:rPr>
          <w:rFonts w:ascii="Arial" w:cs="Arial" w:eastAsia="Arial" w:hAnsi="Arial"/>
          <w:b/>
          <w:bCs/>
          <w:color w:val="2E5FA3"/>
          <w:sz w:val="24"/>
          <w:szCs w:val="24"/>
        </w:rPr>
        <w:t xml:space="preserve">10.2 Renewable Energy Transition</w:t>
      </w:r>
    </w:p>
    <w:p>
      <w:pPr>
        <w:spacing w:after="80" w:before="80" w:line="276"/>
        <w:jc w:val="both"/>
      </w:pPr>
      <w:r>
        <w:rPr>
          <w:rFonts w:ascii="Arial" w:cs="Arial" w:eastAsia="Arial" w:hAnsi="Arial"/>
          <w:color w:val="222222"/>
          <w:sz w:val="20"/>
          <w:szCs w:val="20"/>
        </w:rPr>
        <w:t xml:space="preserve">Tamil Nadu is India’s renewable energy leader. Tamil Nadu’s installed power capacity has grown substantially, reaching approximately 32,000–35,000 MW by 2025 across all sources, compared to around 6,000 MW in 1991. Of this, renewable sources account for over 23,109 MW — representing more than 56% of the state’s installed capacity and making Tamil Nadu the leading Indian state in renewable energy penetration. The breakdown includes approximately 10,881 MW of wind and 8,832 MW of solar. The state’s renewable energy share has exceeded 50% since approximately 2020, supporting both environmental goals and industrial energy security. (Source: Tamil Nadu Energy Development Agency (TEDA.) Annual Report 2024–25; Ministry of New and Renewable Energy (MNRE) installed capacity data, March 2025.)</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Industrial clusters are actively integrating renewables: solar installations in Coimbatore’s textile mills, wind power for Tiruppur’s dyeing units, and biomass cogeneration in food processing clusters have reduced both carbon intensity and energy costs. The 2023 Industrial Policy targets manufacturing’s share in GSVA rising to 30% by 2030 alongside explicit green manufacturing benchmarks.</w:t>
      </w:r>
    </w:p>
    <w:p>
      <w:pPr>
        <w:pStyle w:val="Heading2"/>
        <w:spacing w:after="120" w:before="280"/>
      </w:pPr>
      <w:r>
        <w:rPr>
          <w:rFonts w:ascii="Arial" w:cs="Arial" w:eastAsia="Arial" w:hAnsi="Arial"/>
          <w:b/>
          <w:bCs/>
          <w:color w:val="2E5FA3"/>
          <w:sz w:val="24"/>
          <w:szCs w:val="24"/>
        </w:rPr>
        <w:t xml:space="preserve">10.3 Industry 4.0 and Automation</w:t>
      </w:r>
    </w:p>
    <w:p>
      <w:pPr>
        <w:spacing w:after="80" w:before="80" w:line="276"/>
        <w:jc w:val="both"/>
      </w:pPr>
      <w:r>
        <w:rPr>
          <w:rFonts w:ascii="Arial" w:cs="Arial" w:eastAsia="Arial" w:hAnsi="Arial"/>
          <w:color w:val="222222"/>
          <w:sz w:val="20"/>
          <w:szCs w:val="20"/>
        </w:rPr>
        <w:t xml:space="preserve">Tamil Nadu’s automotive and electronics clusters are at the forefront of Industry 4.0 adoption. Hyundai, Renault-Nissan, Ashok Leyland, and TVS have deployed AI-powered automation for supply chain optimisation and predictive maintenance. The state government has established an Industry 4.0 laboratory for MSMEs to facilitate technology integration for smaller firms.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6E4F7"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Employment and Automation: A Balanced Assessment</w:t>
            </w:r>
          </w:p>
          <w:p>
            <w:pPr>
              <w:spacing w:after="40" w:before="40"/>
              <w:jc w:val="both"/>
            </w:pPr>
            <w:r>
              <w:rPr>
                <w:rFonts w:ascii="Arial" w:cs="Arial" w:eastAsia="Arial" w:hAnsi="Arial"/>
                <w:color w:val="222222"/>
                <w:sz w:val="19"/>
                <w:szCs w:val="19"/>
              </w:rPr>
              <w:t xml:space="preserve">While automation raises concerns about job displacement in routine manufacturing tasks, Tamil Nadu’s experience suggests the transition can be managed through targeted re-skilling. New roles in AI maintenance, robotics operation, and data analytics are emerging alongside traditional manufacturing jobs. An AI-powered digital portal connecting youth to recruiters has been deployed to bridge the gap between automation-driven demand and available skills.</w:t>
            </w:r>
          </w:p>
        </w:tc>
      </w:tr>
    </w:tbl>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11. Crisis Resilience: Financial Shocks, Floods, and Pandemic</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2400"/>
        <w:gridCol w:w="14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Crisis</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Immediate Impact</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Recovery Mechanism</w:t>
            </w:r>
          </w:p>
        </w:tc>
        <w:tc>
          <w:tcPr>
            <w:tcW w:type="dxa" w:w="14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Recovery</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Global Financial Crisis</w:t>
            </w:r>
          </w:p>
        </w:tc>
        <w:tc>
          <w:tcPr>
            <w:tcW w:type="dxa" w:w="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2008–09</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 contraction in output; MSME liquidity stress</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Fiscal stimulus; MSME credit support; domestic demand</w:t>
            </w:r>
          </w:p>
        </w:tc>
        <w:tc>
          <w:tcPr>
            <w:tcW w:type="dxa" w:w="14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7.2% rebound by 2010</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Chennai Floods</w:t>
            </w:r>
          </w:p>
        </w:tc>
        <w:tc>
          <w:tcPr>
            <w:tcW w:type="dxa" w:w="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2015</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$3.5 billion losses; 4 million affected; Ford, Renault production halted</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Rapid infrastructure restoration; financial assistance to clusters; Ranipet cluster networks</w:t>
            </w:r>
          </w:p>
        </w:tc>
        <w:tc>
          <w:tcPr>
            <w:tcW w:type="dxa" w:w="14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~25% rebound within 6 months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COVID-19 Pandemic</w:t>
            </w:r>
          </w:p>
        </w:tc>
        <w:tc>
          <w:tcPr>
            <w:tcW w:type="dxa" w:w="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2020–22</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₹85,000 crore revenue loss; 53% job loss in first lockdown</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Digitalisation of operations; ₹MSME stimulus; sector diversification</w:t>
            </w:r>
          </w:p>
        </w:tc>
        <w:tc>
          <w:tcPr>
            <w:tcW w:type="dxa" w:w="14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~50% output recovery by mid-2021</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What distinguishes Tamil Nadu’s recovery profile is the combined effect of sectoral diversification (no single-sector concentration), digital infrastructure (enabling rapid remote work transitions in IT/ITES), robust welfare architecture (maintaining household incomes during lockdowns through PDS and welfare boards), and proactive state fiscal response. Manufacturing output surpassed pre-COVID levels by 2021–22 at ₹2,93,044 crore, versus ₹2,67,973 crore in 2019–20.</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12. The Stalin Administration and the Fourth Industrial Acceleration (2021–2025)</w:t>
      </w:r>
    </w:p>
    <w:p>
      <w:pPr>
        <w:spacing w:after="80" w:before="80" w:line="276"/>
        <w:jc w:val="both"/>
      </w:pPr>
      <w:r>
        <w:rPr>
          <w:rFonts w:ascii="Arial" w:cs="Arial" w:eastAsia="Arial" w:hAnsi="Arial"/>
          <w:color w:val="222222"/>
          <w:sz w:val="20"/>
          <w:szCs w:val="20"/>
        </w:rPr>
        <w:t xml:space="preserve">When M.K. Stalin assumed the Chief Ministership of Tamil Nadu in May 2021, he inherited both the strongest industrial base in India and one of the most challenging post-COVID economic recovery environments in the state’s history. The manufacturing output that had reached ₹2,67,973 crore in 2019–20 had contracted sharply during the pandemic. Within twelve months, however, Tamil Nadu’s industrial trajectory had re-accelerated, driven by a combination of aggressive investment facilitation, sector-specific policy innovation, and deliberate positioning around the global supply chain diversification that the COVID-19 disruption had accelerated.</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12.1 The Global Investors Meet and Investment Pipeline</w:t>
      </w:r>
    </w:p>
    <w:p>
      <w:pPr>
        <w:spacing w:after="80" w:before="80" w:line="276"/>
        <w:jc w:val="both"/>
      </w:pPr>
      <w:r>
        <w:rPr>
          <w:rFonts w:ascii="Arial" w:cs="Arial" w:eastAsia="Arial" w:hAnsi="Arial"/>
          <w:color w:val="222222"/>
          <w:sz w:val="20"/>
          <w:szCs w:val="20"/>
        </w:rPr>
        <w:t xml:space="preserve">The Global Investors Meet (GIM), a biennial investment summit established by previous administrations, was relaunched under Stalin as a strategic platform for positioning Tamil Nadu in the post-pandemic global manufacturing reorientation. The 2023 GIM attracted investment commitments of approximately ₹6.64 lakh crore — the largest single-event FDI pipeline in any Indian state’s history. While not all commitments translate into disbursed investment, the scale of corporate interest reflected Tamil Nadu’s enhanced position in global supply chain strategy, particularly as companies sought alternatives to China-dependent manufacturing. (Source: Guidance Tamil Nadu, Global Investors Meet 2024 official proceedings; Tamil Nadu Industries Department.)</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Guidance Tamil Nadu, the state’s investment facilitation agency, was substantially upgraded during this period. The introduction of specialised ‘desks’ for major investors — including a dedicated Foxconn Desk that reduced project clearance times from 180 days to under 60 days — institutionalised the hands-on facilitation approach that TIDCO had pioneered in the 1990s. The single-window clearance architecture was extended to cover land, power, environmental compliance, and PLI scheme subsidy disbursement in a coordinated framework.</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12.2 Electronics and the Apple Supply Chain</w:t>
      </w:r>
    </w:p>
    <w:p>
      <w:pPr>
        <w:spacing w:after="80" w:before="80" w:line="276"/>
        <w:jc w:val="both"/>
      </w:pPr>
      <w:r>
        <w:rPr>
          <w:rFonts w:ascii="Arial" w:cs="Arial" w:eastAsia="Arial" w:hAnsi="Arial"/>
          <w:color w:val="222222"/>
          <w:sz w:val="20"/>
          <w:szCs w:val="20"/>
        </w:rPr>
        <w:t xml:space="preserve">The most economically significant development of the Stalin period has been Tamil Nadu’s emergence as the cornerstone of India’s electronics export economy. Electronics exports reached US$14.65 billion in FY 2024–25, representing 41.3% of India’s total electronics exports — a concentration that reflects both the depth of the state’s electronics manufacturing ecosystem and the specific decisions made to attract Apple’s supply chain partners.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Tamil Nadu now hosts over seven of Apple’s fourteen India-based component and assembly facilities. Foxconn’s iPhone enclosure manufacturing facility at Oragadam and Tata Electronics’ operations collectively exported iPhones worth over ₹1.5 trillion in FY 2024–25. India’s share in global iPhone production has reached 18–20 percent, and Tamil Nadu accounts for a majority of that production. In 2025, Foxconn committed ₹15,000 crore in further investment, with a dedicated Guidance Tamil Nadu desk coordinating approvals.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In parallel, Tamil Nadu became the first Indian state to launch a state-specific Electronics Components Manufacturing Scheme, targeting ₹30,000 crore in investment and 60,000 jobs in the component layer. The Semiconductor and Advanced Electronics Policy 2024 reflected the ambition to move beyond assembly into higher-value manufacturing — the same progression from labour-intensive to technology-intensive production that had defined the textile cluster’s evolution from handlooms to Tiruppur’s automated knitwear export operation.</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12.3 Global Capability Centres and the Knowledge Economy</w:t>
      </w:r>
    </w:p>
    <w:p>
      <w:pPr>
        <w:spacing w:after="80" w:before="80" w:line="276"/>
        <w:jc w:val="both"/>
      </w:pPr>
      <w:r>
        <w:rPr>
          <w:rFonts w:ascii="Arial" w:cs="Arial" w:eastAsia="Arial" w:hAnsi="Arial"/>
          <w:color w:val="222222"/>
          <w:sz w:val="20"/>
          <w:szCs w:val="20"/>
        </w:rPr>
        <w:t xml:space="preserve">By 2025, Chennai had emerged as India’s leading Global Capability Centre (GCC) destination outside Bengaluru. Over 500 GCCs operate in the state, employing approximately 3.5 lakh professionals. (Source: NASSCOM GCC Landscape Report 2024; Tamil Nadu GCC Policy, Industries Department, Government of Tamil Nadu, 2023.) The GCC ecosystem — which covers functions ranging from engineering R&amp;D to financial analytics to AI development — represents the third phase of Tamil Nadu’s knowledge economy, following the software services phase (1998–2010) and the KPO/BPO phase (2005–2018).</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GCC policy, developed under the Stalin administration in coordination with NASSCOM and major industry bodies, provided a structured framework for attracting high-value knowledge functions. Chennai’s combination of engineering talent (produced by 500+ engineering colleges and Anna University’s research ecosystem), cost competitiveness relative to Bengaluru, and improving urban infrastructure has given it a structural advantage in this segment that is now reflected in GCC establishment rates.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12.4 Aerospace, Defence, and the Diversification of Manufacturing</w:t>
      </w:r>
    </w:p>
    <w:p>
      <w:pPr>
        <w:spacing w:after="80" w:before="80" w:line="276"/>
        <w:jc w:val="both"/>
      </w:pPr>
      <w:r>
        <w:rPr>
          <w:rFonts w:ascii="Arial" w:cs="Arial" w:eastAsia="Arial" w:hAnsi="Arial"/>
          <w:color w:val="222222"/>
          <w:sz w:val="20"/>
          <w:szCs w:val="20"/>
        </w:rPr>
        <w:t xml:space="preserve">The Tamil Nadu Defence Industrial Corridor, formally launched in 2019 under the previous administration and substantially accelerated under Stalin, represents the state’s ambition to diversify its manufacturing base into high-technology sectors that leverage existing precision engineering capabilities. As of 2025, the corridor had attracted ₹23,000 crore in investment commitments across its six nodal cities (Chennai, Trichy, Coimbatore, Salem, Hosur, and Madurai), with ₹5,000 crore already implemented. The target of ₹75,000 crore by 2032 is ambitious but reflects a genuine industrial foundation: over 120 aerospace component manufacturers and 700 supply chain firms already operate in the state, clustered around existing precision engineering capabilities in Coimbatore and Hosur.</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12.5 Naan Mudhalvan and the Human Capital Pipeline</w:t>
      </w:r>
    </w:p>
    <w:p>
      <w:pPr>
        <w:spacing w:after="80" w:before="80" w:line="276"/>
        <w:jc w:val="both"/>
      </w:pPr>
      <w:r>
        <w:rPr>
          <w:rFonts w:ascii="Arial" w:cs="Arial" w:eastAsia="Arial" w:hAnsi="Arial"/>
          <w:color w:val="222222"/>
          <w:sz w:val="20"/>
          <w:szCs w:val="20"/>
        </w:rPr>
        <w:t xml:space="preserve">Perhaps the most structurally significant of the Stalin administration’s industrial policies has been Naan Mudhalvan (“I Am First”), a flagship skill development programme that targets 10 lakh youth annually for industry-aligned training in technology, manufacturing, and services. The programme directly addresses the talent-demand mismatch that industrial upgrading into EVs, aerospace, and advanced electronics creates: as Tamil Nadu’s manufacturing base moves toward higher-technology sectors, the existing workforce must be reskilled and new entrants must arrive with relevant competencies.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Naan Mudhalvan operates through partnerships with industry (Zoho, Freshworks, TCS, and major automotive firms), engineering colleges, and district-level implementation agencies. By combining mentorship, placement networks, and industry-curriculum alignment, it represents an attempt to create a state-managed but industry-responsive human capital system — extending the logic of the Wave 2 polytechnic and ITI expansion to the requirements of a globally integrated, technology-intensive economy.</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800"/>
        <w:gridCol w:w="800"/>
        <w:gridCol w:w="2460"/>
        <w:gridCol w:w="3300"/>
      </w:tblGrid>
      <w:tr>
        <w:trPr>
          <w:tblHeader/>
        </w:trPr>
        <w:tc>
          <w:tcPr>
            <w:tcW w:type="dxa" w:w="2800"/>
            <w:shd w:fill="1F3864" w:val="clear"/>
            <w:tcMar>
              <w:top w:type="dxa" w:w="80"/>
              <w:left w:type="dxa" w:w="120"/>
              <w:bottom w:type="dxa" w:w="80"/>
              <w:right w:type="dxa" w:w="120"/>
            </w:tcMar>
          </w:tcPr>
          <w:p>
            <w:r>
              <w:rPr>
                <w:rFonts w:ascii="Arial" w:cs="Arial" w:eastAsia="Arial" w:hAnsi="Arial"/>
                <w:b/>
                <w:bCs/>
                <w:color w:val="FFFFFF"/>
                <w:sz w:val="18"/>
                <w:szCs w:val="18"/>
              </w:rPr>
              <w:t xml:space="preserve">Initiative</w:t>
            </w:r>
          </w:p>
        </w:tc>
        <w:tc>
          <w:tcPr>
            <w:tcW w:type="dxa" w:w="800"/>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2460"/>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 Scale</w:t>
            </w:r>
          </w:p>
        </w:tc>
        <w:tc>
          <w:tcPr>
            <w:tcW w:type="dxa" w:w="3300"/>
            <w:shd w:fill="1F3864" w:val="clear"/>
            <w:tcMar>
              <w:top w:type="dxa" w:w="80"/>
              <w:left w:type="dxa" w:w="120"/>
              <w:bottom w:type="dxa" w:w="80"/>
              <w:right w:type="dxa" w:w="120"/>
            </w:tcMar>
          </w:tcPr>
          <w:p>
            <w:r>
              <w:rPr>
                <w:rFonts w:ascii="Arial" w:cs="Arial" w:eastAsia="Arial" w:hAnsi="Arial"/>
                <w:b/>
                <w:bCs/>
                <w:color w:val="FFFFFF"/>
                <w:sz w:val="18"/>
                <w:szCs w:val="18"/>
              </w:rPr>
              <w:t xml:space="preserve">Strategic Significance</w:t>
            </w:r>
          </w:p>
        </w:tc>
      </w:tr>
      <w:tr>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Global Investors Meet 2023</w:t>
            </w:r>
          </w:p>
        </w:tc>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2023</w:t>
            </w:r>
          </w:p>
        </w:tc>
        <w:tc>
          <w:tcPr>
            <w:tcW w:type="dxa" w:w="2460"/>
            <w:shd w:fill="F2F7FC" w:val="clear"/>
            <w:tcMar>
              <w:top w:type="dxa" w:w="80"/>
              <w:left w:type="dxa" w:w="120"/>
              <w:bottom w:type="dxa" w:w="80"/>
              <w:right w:type="dxa" w:w="120"/>
            </w:tcMar>
          </w:tcPr>
          <w:p>
            <w:r>
              <w:rPr>
                <w:rFonts w:ascii="Arial" w:cs="Arial" w:eastAsia="Arial" w:hAnsi="Arial"/>
                <w:color w:val="222222"/>
                <w:sz w:val="18"/>
                <w:szCs w:val="18"/>
              </w:rPr>
              <w:t xml:space="preserve">₹6.65 lakh crore commitments</w:t>
            </w:r>
          </w:p>
        </w:tc>
        <w:tc>
          <w:tcPr>
            <w:tcW w:type="dxa" w:w="3300"/>
            <w:shd w:fill="F2F7FC" w:val="clear"/>
            <w:tcMar>
              <w:top w:type="dxa" w:w="80"/>
              <w:left w:type="dxa" w:w="120"/>
              <w:bottom w:type="dxa" w:w="80"/>
              <w:right w:type="dxa" w:w="120"/>
            </w:tcMar>
          </w:tcPr>
          <w:p>
            <w:r>
              <w:rPr>
                <w:rFonts w:ascii="Arial" w:cs="Arial" w:eastAsia="Arial" w:hAnsi="Arial"/>
                <w:color w:val="222222"/>
                <w:sz w:val="18"/>
                <w:szCs w:val="18"/>
              </w:rPr>
              <w:t xml:space="preserve">Largest state FDI pipeline event in Indian history</w:t>
            </w:r>
          </w:p>
        </w:tc>
      </w:tr>
      <w:tr>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Tamil Nadu Electronics Components Scheme</w:t>
            </w:r>
          </w:p>
        </w:tc>
        <w:tc>
          <w:tcPr>
            <w:tcW w:type="dxa" w:w="800"/>
            <w:shd w:fill="FFFFFF" w:val="clear"/>
            <w:tcMar>
              <w:top w:type="dxa" w:w="80"/>
              <w:left w:type="dxa" w:w="120"/>
              <w:bottom w:type="dxa" w:w="80"/>
              <w:right w:type="dxa" w:w="120"/>
            </w:tcMar>
          </w:tcPr>
          <w:p>
            <w:r>
              <w:rPr>
                <w:rFonts w:ascii="Arial" w:cs="Arial" w:eastAsia="Arial" w:hAnsi="Arial"/>
                <w:color w:val="222222"/>
                <w:sz w:val="18"/>
                <w:szCs w:val="18"/>
              </w:rPr>
              <w:t xml:space="preserve">2024</w:t>
            </w:r>
          </w:p>
        </w:tc>
        <w:tc>
          <w:tcPr>
            <w:tcW w:type="dxa" w:w="2460"/>
            <w:shd w:fill="FFFFFF" w:val="clear"/>
            <w:tcMar>
              <w:top w:type="dxa" w:w="80"/>
              <w:left w:type="dxa" w:w="120"/>
              <w:bottom w:type="dxa" w:w="80"/>
              <w:right w:type="dxa" w:w="120"/>
            </w:tcMar>
          </w:tcPr>
          <w:p>
            <w:r>
              <w:rPr>
                <w:rFonts w:ascii="Arial" w:cs="Arial" w:eastAsia="Arial" w:hAnsi="Arial"/>
                <w:color w:val="222222"/>
                <w:sz w:val="18"/>
                <w:szCs w:val="18"/>
              </w:rPr>
              <w:t xml:space="preserve">₹30,000 cr investment; 60,000 jobs</w:t>
            </w:r>
          </w:p>
        </w:tc>
        <w:tc>
          <w:tcPr>
            <w:tcW w:type="dxa" w:w="3300"/>
            <w:shd w:fill="FFFFFF" w:val="clear"/>
            <w:tcMar>
              <w:top w:type="dxa" w:w="80"/>
              <w:left w:type="dxa" w:w="120"/>
              <w:bottom w:type="dxa" w:w="80"/>
              <w:right w:type="dxa" w:w="120"/>
            </w:tcMar>
          </w:tcPr>
          <w:p>
            <w:r>
              <w:rPr>
                <w:rFonts w:ascii="Arial" w:cs="Arial" w:eastAsia="Arial" w:hAnsi="Arial"/>
                <w:color w:val="222222"/>
                <w:sz w:val="18"/>
                <w:szCs w:val="18"/>
              </w:rPr>
              <w:t xml:space="preserve">First state-level electronics components policy in India</w:t>
            </w:r>
          </w:p>
        </w:tc>
      </w:tr>
      <w:tr>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Semiconductor and Advanced Electronics Policy</w:t>
            </w:r>
          </w:p>
        </w:tc>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2024</w:t>
            </w:r>
          </w:p>
        </w:tc>
        <w:tc>
          <w:tcPr>
            <w:tcW w:type="dxa" w:w="2460"/>
            <w:shd w:fill="F2F7FC" w:val="clear"/>
            <w:tcMar>
              <w:top w:type="dxa" w:w="80"/>
              <w:left w:type="dxa" w:w="120"/>
              <w:bottom w:type="dxa" w:w="80"/>
              <w:right w:type="dxa" w:w="120"/>
            </w:tcMar>
          </w:tcPr>
          <w:p>
            <w:r>
              <w:rPr>
                <w:rFonts w:ascii="Arial" w:cs="Arial" w:eastAsia="Arial" w:hAnsi="Arial"/>
                <w:color w:val="222222"/>
                <w:sz w:val="18"/>
                <w:szCs w:val="18"/>
              </w:rPr>
              <w:t xml:space="preserve">Fabless design cluster; component depth</w:t>
            </w:r>
          </w:p>
        </w:tc>
        <w:tc>
          <w:tcPr>
            <w:tcW w:type="dxa" w:w="3300"/>
            <w:shd w:fill="F2F7FC" w:val="clear"/>
            <w:tcMar>
              <w:top w:type="dxa" w:w="80"/>
              <w:left w:type="dxa" w:w="120"/>
              <w:bottom w:type="dxa" w:w="80"/>
              <w:right w:type="dxa" w:w="120"/>
            </w:tcMar>
          </w:tcPr>
          <w:p>
            <w:r>
              <w:rPr>
                <w:rFonts w:ascii="Arial" w:cs="Arial" w:eastAsia="Arial" w:hAnsi="Arial"/>
                <w:color w:val="222222"/>
                <w:sz w:val="18"/>
                <w:szCs w:val="18"/>
              </w:rPr>
              <w:t xml:space="preserve">Moves beyond assembly toward higher-value electronics</w:t>
            </w:r>
          </w:p>
        </w:tc>
      </w:tr>
      <w:tr>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Defence Industrial Corridor</w:t>
            </w:r>
          </w:p>
        </w:tc>
        <w:tc>
          <w:tcPr>
            <w:tcW w:type="dxa" w:w="800"/>
            <w:shd w:fill="FFFFFF" w:val="clear"/>
            <w:tcMar>
              <w:top w:type="dxa" w:w="80"/>
              <w:left w:type="dxa" w:w="120"/>
              <w:bottom w:type="dxa" w:w="80"/>
              <w:right w:type="dxa" w:w="120"/>
            </w:tcMar>
          </w:tcPr>
          <w:p>
            <w:r>
              <w:rPr>
                <w:rFonts w:ascii="Arial" w:cs="Arial" w:eastAsia="Arial" w:hAnsi="Arial"/>
                <w:color w:val="222222"/>
                <w:sz w:val="18"/>
                <w:szCs w:val="18"/>
              </w:rPr>
              <w:t xml:space="preserve">2019–2025</w:t>
            </w:r>
          </w:p>
        </w:tc>
        <w:tc>
          <w:tcPr>
            <w:tcW w:type="dxa" w:w="2460"/>
            <w:shd w:fill="FFFFFF" w:val="clear"/>
            <w:tcMar>
              <w:top w:type="dxa" w:w="80"/>
              <w:left w:type="dxa" w:w="120"/>
              <w:bottom w:type="dxa" w:w="80"/>
              <w:right w:type="dxa" w:w="120"/>
            </w:tcMar>
          </w:tcPr>
          <w:p>
            <w:r>
              <w:rPr>
                <w:rFonts w:ascii="Arial" w:cs="Arial" w:eastAsia="Arial" w:hAnsi="Arial"/>
                <w:color w:val="222222"/>
                <w:sz w:val="18"/>
                <w:szCs w:val="18"/>
              </w:rPr>
              <w:t xml:space="preserve">₹23,000 cr secured; ₹75,000 cr target by 2032</w:t>
            </w:r>
          </w:p>
        </w:tc>
        <w:tc>
          <w:tcPr>
            <w:tcW w:type="dxa" w:w="3300"/>
            <w:shd w:fill="FFFFFF" w:val="clear"/>
            <w:tcMar>
              <w:top w:type="dxa" w:w="80"/>
              <w:left w:type="dxa" w:w="120"/>
              <w:bottom w:type="dxa" w:w="80"/>
              <w:right w:type="dxa" w:w="120"/>
            </w:tcMar>
          </w:tcPr>
          <w:p>
            <w:r>
              <w:rPr>
                <w:rFonts w:ascii="Arial" w:cs="Arial" w:eastAsia="Arial" w:hAnsi="Arial"/>
                <w:color w:val="222222"/>
                <w:sz w:val="18"/>
                <w:szCs w:val="18"/>
              </w:rPr>
              <w:t xml:space="preserve">Leverages precision engineering for defence and aerospace</w:t>
            </w:r>
          </w:p>
        </w:tc>
      </w:tr>
      <w:tr>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TIDEL Neo (Tier-2 IT parks)</w:t>
            </w:r>
          </w:p>
        </w:tc>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2021–present</w:t>
            </w:r>
          </w:p>
        </w:tc>
        <w:tc>
          <w:tcPr>
            <w:tcW w:type="dxa" w:w="2460"/>
            <w:shd w:fill="F2F7FC" w:val="clear"/>
            <w:tcMar>
              <w:top w:type="dxa" w:w="80"/>
              <w:left w:type="dxa" w:w="120"/>
              <w:bottom w:type="dxa" w:w="80"/>
              <w:right w:type="dxa" w:w="120"/>
            </w:tcMar>
          </w:tcPr>
          <w:p>
            <w:r>
              <w:rPr>
                <w:rFonts w:ascii="Arial" w:cs="Arial" w:eastAsia="Arial" w:hAnsi="Arial"/>
                <w:color w:val="222222"/>
                <w:sz w:val="18"/>
                <w:szCs w:val="18"/>
              </w:rPr>
              <w:t xml:space="preserve">Coimbatore, Madurai, Trichy, others</w:t>
            </w:r>
          </w:p>
        </w:tc>
        <w:tc>
          <w:tcPr>
            <w:tcW w:type="dxa" w:w="3300"/>
            <w:shd w:fill="F2F7FC" w:val="clear"/>
            <w:tcMar>
              <w:top w:type="dxa" w:w="80"/>
              <w:left w:type="dxa" w:w="120"/>
              <w:bottom w:type="dxa" w:w="80"/>
              <w:right w:type="dxa" w:w="120"/>
            </w:tcMar>
          </w:tcPr>
          <w:p>
            <w:r>
              <w:rPr>
                <w:rFonts w:ascii="Arial" w:cs="Arial" w:eastAsia="Arial" w:hAnsi="Arial"/>
                <w:color w:val="222222"/>
                <w:sz w:val="18"/>
                <w:szCs w:val="18"/>
              </w:rPr>
              <w:t xml:space="preserve">Extends IT economy beyond Chennai corridor</w:t>
            </w:r>
          </w:p>
        </w:tc>
      </w:tr>
      <w:tr>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Naan Mudhalvan</w:t>
            </w:r>
          </w:p>
        </w:tc>
        <w:tc>
          <w:tcPr>
            <w:tcW w:type="dxa" w:w="800"/>
            <w:shd w:fill="FFFFFF" w:val="clear"/>
            <w:tcMar>
              <w:top w:type="dxa" w:w="80"/>
              <w:left w:type="dxa" w:w="120"/>
              <w:bottom w:type="dxa" w:w="80"/>
              <w:right w:type="dxa" w:w="120"/>
            </w:tcMar>
          </w:tcPr>
          <w:p>
            <w:r>
              <w:rPr>
                <w:rFonts w:ascii="Arial" w:cs="Arial" w:eastAsia="Arial" w:hAnsi="Arial"/>
                <w:color w:val="222222"/>
                <w:sz w:val="18"/>
                <w:szCs w:val="18"/>
              </w:rPr>
              <w:t xml:space="preserve">2022–present</w:t>
            </w:r>
          </w:p>
        </w:tc>
        <w:tc>
          <w:tcPr>
            <w:tcW w:type="dxa" w:w="2460"/>
            <w:shd w:fill="FFFFFF" w:val="clear"/>
            <w:tcMar>
              <w:top w:type="dxa" w:w="80"/>
              <w:left w:type="dxa" w:w="120"/>
              <w:bottom w:type="dxa" w:w="80"/>
              <w:right w:type="dxa" w:w="120"/>
            </w:tcMar>
          </w:tcPr>
          <w:p>
            <w:r>
              <w:rPr>
                <w:rFonts w:ascii="Arial" w:cs="Arial" w:eastAsia="Arial" w:hAnsi="Arial"/>
                <w:color w:val="222222"/>
                <w:sz w:val="18"/>
                <w:szCs w:val="18"/>
              </w:rPr>
              <w:t xml:space="preserve">10 lakh youth/year</w:t>
            </w:r>
          </w:p>
        </w:tc>
        <w:tc>
          <w:tcPr>
            <w:tcW w:type="dxa" w:w="3300"/>
            <w:shd w:fill="FFFFFF" w:val="clear"/>
            <w:tcMar>
              <w:top w:type="dxa" w:w="80"/>
              <w:left w:type="dxa" w:w="120"/>
              <w:bottom w:type="dxa" w:w="80"/>
              <w:right w:type="dxa" w:w="120"/>
            </w:tcMar>
          </w:tcPr>
          <w:p>
            <w:r>
              <w:rPr>
                <w:rFonts w:ascii="Arial" w:cs="Arial" w:eastAsia="Arial" w:hAnsi="Arial"/>
                <w:color w:val="222222"/>
                <w:sz w:val="18"/>
                <w:szCs w:val="18"/>
              </w:rPr>
              <w:t xml:space="preserve">Industry-aligned reskilling for technology-intensive sectors</w:t>
            </w:r>
          </w:p>
        </w:tc>
      </w:tr>
      <w:tr>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GCC Policy</w:t>
            </w:r>
          </w:p>
        </w:tc>
        <w:tc>
          <w:tcPr>
            <w:tcW w:type="dxa" w:w="800"/>
            <w:shd w:fill="F2F7FC" w:val="clear"/>
            <w:tcMar>
              <w:top w:type="dxa" w:w="80"/>
              <w:left w:type="dxa" w:w="120"/>
              <w:bottom w:type="dxa" w:w="80"/>
              <w:right w:type="dxa" w:w="120"/>
            </w:tcMar>
          </w:tcPr>
          <w:p>
            <w:r>
              <w:rPr>
                <w:rFonts w:ascii="Arial" w:cs="Arial" w:eastAsia="Arial" w:hAnsi="Arial"/>
                <w:color w:val="222222"/>
                <w:sz w:val="18"/>
                <w:szCs w:val="18"/>
              </w:rPr>
              <w:t xml:space="preserve">2023</w:t>
            </w:r>
          </w:p>
        </w:tc>
        <w:tc>
          <w:tcPr>
            <w:tcW w:type="dxa" w:w="2460"/>
            <w:shd w:fill="F2F7FC" w:val="clear"/>
            <w:tcMar>
              <w:top w:type="dxa" w:w="80"/>
              <w:left w:type="dxa" w:w="120"/>
              <w:bottom w:type="dxa" w:w="80"/>
              <w:right w:type="dxa" w:w="120"/>
            </w:tcMar>
          </w:tcPr>
          <w:p>
            <w:r>
              <w:rPr>
                <w:rFonts w:ascii="Arial" w:cs="Arial" w:eastAsia="Arial" w:hAnsi="Arial"/>
                <w:color w:val="222222"/>
                <w:sz w:val="18"/>
                <w:szCs w:val="18"/>
              </w:rPr>
              <w:t xml:space="preserve">500+ GCCs; 3.5 lakh professionals</w:t>
            </w:r>
          </w:p>
        </w:tc>
        <w:tc>
          <w:tcPr>
            <w:tcW w:type="dxa" w:w="3300"/>
            <w:shd w:fill="F2F7FC" w:val="clear"/>
            <w:tcMar>
              <w:top w:type="dxa" w:w="80"/>
              <w:left w:type="dxa" w:w="120"/>
              <w:bottom w:type="dxa" w:w="80"/>
              <w:right w:type="dxa" w:w="120"/>
            </w:tcMar>
          </w:tcPr>
          <w:p>
            <w:r>
              <w:rPr>
                <w:rFonts w:ascii="Arial" w:cs="Arial" w:eastAsia="Arial" w:hAnsi="Arial"/>
                <w:color w:val="222222"/>
                <w:sz w:val="18"/>
                <w:szCs w:val="18"/>
              </w:rPr>
              <w:t xml:space="preserve">Anchors high-value knowledge functions in Tamil Nadu</w:t>
            </w:r>
          </w:p>
        </w:tc>
      </w:tr>
    </w:tbl>
    <w:p>
      <w:pPr>
        <w:spacing w:after="60" w:before="40"/>
        <w:jc w:val="both"/>
      </w:pPr>
      <w:r>
        <w:rPr>
          <w:rFonts w:ascii="Arial" w:cs="Arial" w:eastAsia="Arial" w:hAnsi="Arial"/>
          <w:i/>
          <w:color w:val="666666"/>
          <w:sz w:val="16"/>
          <w:szCs w:val="16"/>
        </w:rPr>
        <w:t xml:space="preserve">Sources: Global Investors Meet 2024, Guidance Tamil Nadu official proceedings; Tamil Nadu Electronics Components Manufacturing Scheme notification, Industries Dept, 2024; Tamil Nadu Defence Industrial Corridor Authority annual report 2024–25; Naan Mudhalvan programme data, Tamil Nadu Skill Development Corporation; NASSCOM GCC Landscape Report 2024.</w:t>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shd w:fill="EBF3FB" w:val="clear"/>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Continuity and Acceleration: The Stalin administration’s industrial strategy is best understood not as a departure from the Wave 2 and Wave 3 institutional logic but as its deliberate acceleration in response to a changed global environment. The instruments — investment facilitation agencies, industrial parks, policy incentives, human capital investment — are recognisably the same as those employed since 1971. What has changed is the global context: supply chain diversification, the semiconductor race, and the energy transition have created opportunities that Tamil Nadu’s institutional infrastructure — built across five decades — is uniquely positioned to capture.</w:t>
            </w:r>
          </w:p>
        </w:tc>
      </w:tr>
    </w:tbl>
    <w:p>
      <w:pPr>
        <w:pStyle w:val="Heading1"/>
        <w:spacing w:after="160" w:before="360"/>
      </w:pPr>
      <w:r>
        <w:rPr>
          <w:rFonts w:ascii="Arial" w:cs="Arial" w:eastAsia="Arial" w:hAnsi="Arial"/>
          <w:b/>
          <w:bCs/>
          <w:color w:val="1F3864"/>
          <w:sz w:val="28"/>
          <w:szCs w:val="28"/>
        </w:rPr>
        <w:t xml:space="preserve">13. Strategic Outlook: Competitiveness, Inclusion, and Sustainability to 2030</w:t>
      </w:r>
    </w:p>
    <w:p>
      <w:pPr>
        <w:pStyle w:val="Heading2"/>
        <w:spacing w:after="120" w:before="280"/>
      </w:pPr>
      <w:r>
        <w:rPr>
          <w:rFonts w:ascii="Arial" w:cs="Arial" w:eastAsia="Arial" w:hAnsi="Arial"/>
          <w:b/>
          <w:bCs/>
          <w:color w:val="2E5FA3"/>
          <w:sz w:val="24"/>
          <w:szCs w:val="24"/>
        </w:rPr>
        <w:t xml:space="preserve">13.1 Emerging Growth Sectors</w:t>
      </w:r>
    </w:p>
    <w:p>
      <w:pPr>
        <w:spacing w:after="80" w:before="80" w:line="276"/>
        <w:jc w:val="both"/>
      </w:pPr>
      <w:r>
        <w:rPr>
          <w:rFonts w:ascii="Arial" w:cs="Arial" w:eastAsia="Arial" w:hAnsi="Arial"/>
          <w:color w:val="222222"/>
          <w:sz w:val="20"/>
          <w:szCs w:val="20"/>
        </w:rPr>
        <w:t xml:space="preserve">Four sectors will define Tamil Nadu’s industrial trajectory to 2030:</w:t>
      </w:r>
    </w:p>
    <w:p>
      <w:pPr>
        <w:spacing w:after="40" w:before="4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222222"/>
          <w:sz w:val="20"/>
          <w:szCs w:val="20"/>
        </w:rPr>
        <w:t xml:space="preserve">Electric Vehicles (EVs): The state’s automotive cluster is pivoting toward EV manufacturing, with Hyundai and domestic manufacturers investing in EV production lines. The existing 1,000+ tier-2/tier-3 supplier network provides a strong foundation for EV component localisation.</w:t>
      </w:r>
    </w:p>
    <w:p>
      <w:pPr>
        <w:pStyle w:val="ListParagraph"/>
        <w:numPr>
          <w:ilvl w:val="0"/>
          <w:numId w:val="2"/>
        </w:numPr>
        <w:spacing w:after="60" w:before="60"/>
      </w:pPr>
      <w:r>
        <w:rPr>
          <w:rFonts w:ascii="Arial" w:cs="Arial" w:eastAsia="Arial" w:hAnsi="Arial"/>
          <w:color w:val="222222"/>
          <w:sz w:val="20"/>
          <w:szCs w:val="20"/>
        </w:rPr>
        <w:t xml:space="preserve">Defence and Aerospace: The Tamil Nadu Defence Industrial Corridor targets ₹75,000 crore in investment by 2032, with ₹23,000 crore already secured. This emerging cluster leverages existing precision engineering capabilities from the Coimbatore and Hosur belts.</w:t>
      </w:r>
    </w:p>
    <w:p>
      <w:pPr>
        <w:pStyle w:val="ListParagraph"/>
        <w:numPr>
          <w:ilvl w:val="0"/>
          <w:numId w:val="2"/>
        </w:numPr>
        <w:spacing w:after="60" w:before="60"/>
      </w:pPr>
      <w:r>
        <w:rPr>
          <w:rFonts w:ascii="Arial" w:cs="Arial" w:eastAsia="Arial" w:hAnsi="Arial"/>
          <w:color w:val="222222"/>
          <w:sz w:val="20"/>
          <w:szCs w:val="20"/>
        </w:rPr>
        <w:t xml:space="preserve">Semiconductors and Advanced Electronics: The PLI scheme and Tamil Nadu Electronics Components Manufacturing Scheme are attracting component makers including Corning Inc. (₹1,000 crore investment) to build depth beyond assembly into higher-value manufacturing.</w:t>
      </w:r>
    </w:p>
    <w:p>
      <w:pPr>
        <w:pStyle w:val="ListParagraph"/>
        <w:numPr>
          <w:ilvl w:val="0"/>
          <w:numId w:val="2"/>
        </w:numPr>
        <w:spacing w:after="60" w:before="60"/>
      </w:pPr>
      <w:r>
        <w:rPr>
          <w:rFonts w:ascii="Arial" w:cs="Arial" w:eastAsia="Arial" w:hAnsi="Arial"/>
          <w:color w:val="222222"/>
          <w:sz w:val="20"/>
          <w:szCs w:val="20"/>
        </w:rPr>
        <w:t xml:space="preserve">Green Chemicals and Circular Economy: Zero-liquid discharge mandates in textile and chemical clusters, industrial symbiosis networks, and renewable energy integration are building a compliance infrastructure that doubles as a competitive advantage in ESG-conscious global value chains.</w:t>
      </w:r>
    </w:p>
    <w:p>
      <w:pPr>
        <w:pStyle w:val="Heading2"/>
        <w:spacing w:after="120" w:before="280"/>
      </w:pPr>
      <w:r>
        <w:rPr>
          <w:rFonts w:ascii="Arial" w:cs="Arial" w:eastAsia="Arial" w:hAnsi="Arial"/>
          <w:b/>
          <w:bCs/>
          <w:color w:val="2E5FA3"/>
          <w:sz w:val="24"/>
          <w:szCs w:val="24"/>
        </w:rPr>
        <w:t xml:space="preserve">13.2 Key Targets (2025–2030)</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0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Area</w:t>
            </w:r>
          </w:p>
        </w:tc>
        <w:tc>
          <w:tcPr>
            <w:tcW w:type="dxa" w:w="2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Status</w:t>
            </w:r>
          </w:p>
        </w:tc>
        <w:tc>
          <w:tcPr>
            <w:tcW w:type="dxa" w:w="30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by 2025–30</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 share in GSVA</w:t>
            </w:r>
          </w:p>
        </w:tc>
        <w:tc>
          <w:tcPr>
            <w:tcW w:type="dxa" w:w="2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~24.47% (2021–22)</w:t>
            </w:r>
          </w:p>
        </w:tc>
        <w:tc>
          <w:tcPr>
            <w:tcW w:type="dxa" w:w="30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30% by 2030</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Workforce in industry</w:t>
            </w:r>
          </w:p>
        </w:tc>
        <w:tc>
          <w:tcPr>
            <w:tcW w:type="dxa" w:w="2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~9 million</w:t>
            </w:r>
          </w:p>
        </w:tc>
        <w:tc>
          <w:tcPr>
            <w:tcW w:type="dxa" w:w="30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10–11 million</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Female workforce participation</w:t>
            </w:r>
          </w:p>
        </w:tc>
        <w:tc>
          <w:tcPr>
            <w:tcW w:type="dxa" w:w="2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35%</w:t>
            </w:r>
          </w:p>
        </w:tc>
        <w:tc>
          <w:tcPr>
            <w:tcW w:type="dxa" w:w="30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40%</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Tier-2/Tier-3 industrial investment share</w:t>
            </w:r>
          </w:p>
        </w:tc>
        <w:tc>
          <w:tcPr>
            <w:tcW w:type="dxa" w:w="2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25%</w:t>
            </w:r>
          </w:p>
        </w:tc>
        <w:tc>
          <w:tcPr>
            <w:tcW w:type="dxa" w:w="30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35–40%</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EV/green sector share of industrial output</w:t>
            </w:r>
          </w:p>
        </w:tc>
        <w:tc>
          <w:tcPr>
            <w:tcW w:type="dxa" w:w="2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Emerging</w:t>
            </w:r>
          </w:p>
        </w:tc>
        <w:tc>
          <w:tcPr>
            <w:tcW w:type="dxa" w:w="30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5–7%</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Renewable energy capacity</w:t>
            </w:r>
          </w:p>
        </w:tc>
        <w:tc>
          <w:tcPr>
            <w:tcW w:type="dxa" w:w="2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23,109 MW</w:t>
            </w:r>
          </w:p>
        </w:tc>
        <w:tc>
          <w:tcPr>
            <w:tcW w:type="dxa" w:w="30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Expand to 40,000+ MW</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MSME contribution to industrial output</w:t>
            </w:r>
          </w:p>
        </w:tc>
        <w:tc>
          <w:tcPr>
            <w:tcW w:type="dxa" w:w="2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30%</w:t>
            </w:r>
          </w:p>
        </w:tc>
        <w:tc>
          <w:tcPr>
            <w:tcW w:type="dxa" w:w="30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Sustain and deepen</w:t>
            </w:r>
          </w:p>
        </w:tc>
      </w:tr>
    </w:tbl>
    <w:p>
      <w:pPr>
        <w:pStyle w:val="Heading2"/>
        <w:spacing w:after="120" w:before="280"/>
      </w:pPr>
      <w:r>
        <w:rPr>
          <w:rFonts w:ascii="Arial" w:cs="Arial" w:eastAsia="Arial" w:hAnsi="Arial"/>
          <w:b/>
          <w:bCs/>
          <w:color w:val="2E5FA3"/>
          <w:sz w:val="24"/>
          <w:szCs w:val="24"/>
        </w:rPr>
        <w:t xml:space="preserve">13.3 Reform Priorities for Sustainable Industrial Development</w:t>
      </w:r>
    </w:p>
    <w:p>
      <w:pPr>
        <w:spacing w:after="80" w:before="80" w:line="276"/>
        <w:jc w:val="both"/>
      </w:pPr>
      <w:r>
        <w:rPr>
          <w:rFonts w:ascii="Arial" w:cs="Arial" w:eastAsia="Arial" w:hAnsi="Arial"/>
          <w:color w:val="222222"/>
          <w:sz w:val="20"/>
          <w:szCs w:val="20"/>
        </w:rPr>
        <w:t xml:space="preserve">Drawing on the comparative analysis across all three source documents, the following reforms are most critical to sustaining Tamil Nadu’s industrial trajectory:</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Challenge Addressed</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Actions</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Green manufacturing &amp; resource efficiency</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Water stress, air quality, carbon intensity</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Energy audits; renewable mandates; zero-liquid discharge expansion; circular economy incentives</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MSME modernisation and credit access</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Technology obsolescence; credit constraints</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Concessional credit; shared R&amp;D facilities; digital integration; cluster-based technology upgrading</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Sector-specific skills and vocational training</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Skill mismatch; industry 4.0 displacement</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Align TNSDC programmes with EV, aerospace, ESDM demand; expand apprenticeship pathways</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Logistics, land, and worker housing</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Infrastructure bottlenecks; commuting costs</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Last-mile industrial connectivity; affordable worker housing in industrial corridors</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Regional equity in investment promotion</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Persistent disparities between industrial corridors and backward districts</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Maintain and deepen land cost incentives for ‘C’ districts; new SIPCOT parks in underserved regions</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Environmental governance</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Enforcement gaps; reactive compliance</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Performance-based green incentives; real-time effluent monitoring; sector-specific standards</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Innovation and R&amp;D ecosystem</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Limited local R&amp;D; shallow domestic supplier networks</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Industry-university R&amp;D partnerships; local supplier development programmes; GCC attraction strategy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5D6"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A Lesson from 1989 for 2025</w:t>
            </w:r>
          </w:p>
          <w:p>
            <w:pPr>
              <w:spacing w:after="40" w:before="40"/>
              <w:jc w:val="both"/>
            </w:pPr>
            <w:r>
              <w:rPr>
                <w:rFonts w:ascii="Arial" w:cs="Arial" w:eastAsia="Arial" w:hAnsi="Arial"/>
                <w:color w:val="222222"/>
                <w:sz w:val="19"/>
                <w:szCs w:val="19"/>
              </w:rPr>
              <w:t xml:space="preserve">The 1989 Industrial Policy succeeded because it treated industrial development as a system, not a collection of schemes. Infrastructure, finance, technology, cooperatives, and entrepreneurship support were designed as an interconnected framework with deliberate social equity calibration. The challenge for the next phase of Tamil Nadu’s industrial evolution is the same: to design green transition, digital upgrading, MSME integration, and regional equity as a unified system rather than parallel policy streams.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2E5FA3" w:sz="6"/>
          <w:left w:val="single" w:color="2E5FA3" w:sz="6"/>
          <w:bottom w:val="single" w:color="2E5FA3" w:sz="6"/>
          <w:right w:val="single" w:color="2E5FA3" w:sz="6"/>
        </w:tblBorders>
      </w:tblPr>
      <w:tblGrid>
        <w:gridCol w:w="9360"/>
      </w:tblGrid>
      <w:tr>
        <w:tc>
          <w:tcPr>
            <w:tcW w:type="dxa" w:w="9360"/>
            <w:shd w:fill="EBF3FB" w:val="clear"/>
            <w:tcMar>
              <w:top w:type="dxa" w:w="120"/>
              <w:left w:type="dxa" w:w="180"/>
              <w:bottom w:type="dxa" w:w="120"/>
              <w:right w:type="dxa" w:w="180"/>
            </w:tcMar>
          </w:tcPr>
          <w:p>
            <w:r>
              <w:rPr>
                <w:rFonts w:ascii="Arial" w:cs="Arial" w:eastAsia="Arial" w:hAnsi="Arial"/>
                <w:i/>
                <w:color w:val="1F3864"/>
                <w:sz w:val="18"/>
                <w:szCs w:val="18"/>
              </w:rPr>
              <w:t xml:space="preserve">Karunanidhi’s Industrial Legacy: A Scorecard
The most enduring test of any political leader’s economic contribution is not what was built during their tenure but what continued to be built because of their tenure. By this measure, Karunanidhi’s industrial legacy is among the most consequential in India’s post-independence economic history.
The table below traces the institutions established or decisively expanded during Karunanidhi’s administrations (1967–69, 1971–76, 1989–91, 1996–2001, 2006–11), their primary functions, and their measurable impact in 2025 — more than fifty years after their creation.</w:t>
            </w:r>
          </w:p>
        </w:tc>
      </w:tr>
    </w:tbl>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900"/>
        <w:gridCol w:w="2560"/>
        <w:gridCol w:w="3500"/>
      </w:tblGrid>
      <w:tr>
        <w:trPr>
          <w:tblHeader/>
        </w:trPr>
        <w:tc>
          <w:tcPr>
            <w:tcW w:type="dxa" w:w="2400"/>
            <w:shd w:fill="1F3864" w:val="clear"/>
            <w:tcMar>
              <w:top w:type="dxa" w:w="80"/>
              <w:left w:type="dxa" w:w="120"/>
              <w:bottom w:type="dxa" w:w="80"/>
              <w:right w:type="dxa" w:w="120"/>
            </w:tcMar>
          </w:tcPr>
          <w:p>
            <w:r>
              <w:rPr>
                <w:rFonts w:ascii="Arial" w:cs="Arial" w:eastAsia="Arial" w:hAnsi="Arial"/>
                <w:b/>
                <w:bCs/>
                <w:color w:val="FFFFFF"/>
                <w:sz w:val="18"/>
                <w:szCs w:val="18"/>
              </w:rPr>
              <w:t xml:space="preserve">Institution / Policy</w:t>
            </w:r>
          </w:p>
        </w:tc>
        <w:tc>
          <w:tcPr>
            <w:tcW w:type="dxa" w:w="900"/>
            <w:shd w:fill="1F3864" w:val="clear"/>
            <w:tcMar>
              <w:top w:type="dxa" w:w="80"/>
              <w:left w:type="dxa" w:w="120"/>
              <w:bottom w:type="dxa" w:w="80"/>
              <w:right w:type="dxa" w:w="120"/>
            </w:tcMar>
          </w:tcPr>
          <w:p>
            <w:r>
              <w:rPr>
                <w:rFonts w:ascii="Arial" w:cs="Arial" w:eastAsia="Arial" w:hAnsi="Arial"/>
                <w:b/>
                <w:bCs/>
                <w:color w:val="FFFFFF"/>
                <w:sz w:val="18"/>
                <w:szCs w:val="18"/>
              </w:rPr>
              <w:t xml:space="preserve">Est. / Enabled</w:t>
            </w:r>
          </w:p>
        </w:tc>
        <w:tc>
          <w:tcPr>
            <w:tcW w:type="dxa" w:w="2560"/>
            <w:shd w:fill="1F3864" w:val="clear"/>
            <w:tcMar>
              <w:top w:type="dxa" w:w="80"/>
              <w:left w:type="dxa" w:w="120"/>
              <w:bottom w:type="dxa" w:w="80"/>
              <w:right w:type="dxa" w:w="120"/>
            </w:tcMar>
          </w:tcPr>
          <w:p>
            <w:r>
              <w:rPr>
                <w:rFonts w:ascii="Arial" w:cs="Arial" w:eastAsia="Arial" w:hAnsi="Arial"/>
                <w:b/>
                <w:bCs/>
                <w:color w:val="FFFFFF"/>
                <w:sz w:val="18"/>
                <w:szCs w:val="18"/>
              </w:rPr>
              <w:t xml:space="preserve">Original Purpose</w:t>
            </w:r>
          </w:p>
        </w:tc>
        <w:tc>
          <w:tcPr>
            <w:tcW w:type="dxa" w:w="3500"/>
            <w:shd w:fill="1F3864" w:val="clear"/>
            <w:tcMar>
              <w:top w:type="dxa" w:w="80"/>
              <w:left w:type="dxa" w:w="120"/>
              <w:bottom w:type="dxa" w:w="80"/>
              <w:right w:type="dxa" w:w="120"/>
            </w:tcMar>
          </w:tcPr>
          <w:p>
            <w:r>
              <w:rPr>
                <w:rFonts w:ascii="Arial" w:cs="Arial" w:eastAsia="Arial" w:hAnsi="Arial"/>
                <w:b/>
                <w:bCs/>
                <w:color w:val="FFFFFF"/>
                <w:sz w:val="18"/>
                <w:szCs w:val="18"/>
              </w:rPr>
              <w:t xml:space="preserve">Impact by 2025</w:t>
            </w:r>
          </w:p>
        </w:tc>
      </w:tr>
      <w:tr>
        <w:tc>
          <w:tcPr>
            <w:tcW w:type="dxa" w:w="2400"/>
            <w:shd w:fill="F2F7FC" w:val="clear"/>
            <w:tcMar>
              <w:top w:type="dxa" w:w="80"/>
              <w:left w:type="dxa" w:w="120"/>
              <w:bottom w:type="dxa" w:w="80"/>
              <w:right w:type="dxa" w:w="120"/>
            </w:tcMar>
          </w:tcPr>
          <w:p>
            <w:r>
              <w:rPr>
                <w:rFonts w:ascii="Arial" w:cs="Arial" w:eastAsia="Arial" w:hAnsi="Arial"/>
                <w:color w:val="222222"/>
                <w:sz w:val="18"/>
                <w:szCs w:val="18"/>
              </w:rPr>
              <w:t xml:space="preserve">SIDCO</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1971</w:t>
            </w:r>
          </w:p>
        </w:tc>
        <w:tc>
          <w:tcPr>
            <w:tcW w:type="dxa" w:w="2560"/>
            <w:shd w:fill="F2F7FC" w:val="clear"/>
            <w:tcMar>
              <w:top w:type="dxa" w:w="80"/>
              <w:left w:type="dxa" w:w="120"/>
              <w:bottom w:type="dxa" w:w="80"/>
              <w:right w:type="dxa" w:w="120"/>
            </w:tcMar>
          </w:tcPr>
          <w:p>
            <w:r>
              <w:rPr>
                <w:rFonts w:ascii="Arial" w:cs="Arial" w:eastAsia="Arial" w:hAnsi="Arial"/>
                <w:color w:val="222222"/>
                <w:sz w:val="18"/>
                <w:szCs w:val="18"/>
              </w:rPr>
              <w:t xml:space="preserve">Factory sheds, raw material supply for SSIs</w:t>
            </w:r>
          </w:p>
        </w:tc>
        <w:tc>
          <w:tcPr>
            <w:tcW w:type="dxa" w:w="3500"/>
            <w:shd w:fill="F2F7FC" w:val="clear"/>
            <w:tcMar>
              <w:top w:type="dxa" w:w="80"/>
              <w:left w:type="dxa" w:w="120"/>
              <w:bottom w:type="dxa" w:w="80"/>
              <w:right w:type="dxa" w:w="120"/>
            </w:tcMar>
          </w:tcPr>
          <w:p>
            <w:r>
              <w:rPr>
                <w:rFonts w:ascii="Arial" w:cs="Arial" w:eastAsia="Arial" w:hAnsi="Arial"/>
                <w:color w:val="222222"/>
                <w:sz w:val="18"/>
                <w:szCs w:val="18"/>
              </w:rPr>
              <w:t xml:space="preserve">49 industrial estates; 2,349 factory sheds; foundation of TN’s MSME ecosystem</w:t>
            </w:r>
          </w:p>
        </w:tc>
      </w:tr>
      <w:tr>
        <w:tc>
          <w:tcPr>
            <w:tcW w:type="dxa" w:w="2400"/>
            <w:shd w:fill="FFFFFF" w:val="clear"/>
            <w:tcMar>
              <w:top w:type="dxa" w:w="80"/>
              <w:left w:type="dxa" w:w="120"/>
              <w:bottom w:type="dxa" w:w="80"/>
              <w:right w:type="dxa" w:w="120"/>
            </w:tcMar>
          </w:tcPr>
          <w:p>
            <w:r>
              <w:rPr>
                <w:rFonts w:ascii="Arial" w:cs="Arial" w:eastAsia="Arial" w:hAnsi="Arial"/>
                <w:color w:val="222222"/>
                <w:sz w:val="18"/>
                <w:szCs w:val="18"/>
              </w:rPr>
              <w:t xml:space="preserve">SIPCOT (expanded mandate)</w:t>
            </w:r>
          </w:p>
        </w:tc>
        <w:tc>
          <w:tcPr>
            <w:tcW w:type="dxa" w:w="900"/>
            <w:shd w:fill="FFFFFF" w:val="clear"/>
            <w:tcMar>
              <w:top w:type="dxa" w:w="80"/>
              <w:left w:type="dxa" w:w="120"/>
              <w:bottom w:type="dxa" w:w="80"/>
              <w:right w:type="dxa" w:w="120"/>
            </w:tcMar>
          </w:tcPr>
          <w:p>
            <w:r>
              <w:rPr>
                <w:rFonts w:ascii="Arial" w:cs="Arial" w:eastAsia="Arial" w:hAnsi="Arial"/>
                <w:color w:val="222222"/>
                <w:sz w:val="18"/>
                <w:szCs w:val="18"/>
              </w:rPr>
              <w:t xml:space="preserve">1971</w:t>
            </w:r>
          </w:p>
        </w:tc>
        <w:tc>
          <w:tcPr>
            <w:tcW w:type="dxa" w:w="2560"/>
            <w:shd w:fill="FFFFFF" w:val="clear"/>
            <w:tcMar>
              <w:top w:type="dxa" w:w="80"/>
              <w:left w:type="dxa" w:w="120"/>
              <w:bottom w:type="dxa" w:w="80"/>
              <w:right w:type="dxa" w:w="120"/>
            </w:tcMar>
          </w:tcPr>
          <w:p>
            <w:r>
              <w:rPr>
                <w:rFonts w:ascii="Arial" w:cs="Arial" w:eastAsia="Arial" w:hAnsi="Arial"/>
                <w:color w:val="222222"/>
                <w:sz w:val="18"/>
                <w:szCs w:val="18"/>
              </w:rPr>
              <w:t xml:space="preserve">Large industrial complex development via land banking</w:t>
            </w:r>
          </w:p>
        </w:tc>
        <w:tc>
          <w:tcPr>
            <w:tcW w:type="dxa" w:w="3500"/>
            <w:shd w:fill="FFFFFF" w:val="clear"/>
            <w:tcMar>
              <w:top w:type="dxa" w:w="80"/>
              <w:left w:type="dxa" w:w="120"/>
              <w:bottom w:type="dxa" w:w="80"/>
              <w:right w:type="dxa" w:w="120"/>
            </w:tcMar>
          </w:tcPr>
          <w:p>
            <w:r>
              <w:rPr>
                <w:rFonts w:ascii="Arial" w:cs="Arial" w:eastAsia="Arial" w:hAnsi="Arial"/>
                <w:color w:val="222222"/>
                <w:sz w:val="18"/>
                <w:szCs w:val="18"/>
              </w:rPr>
              <w:t xml:space="preserve">24 complexes across 15 districts; physical foundation for Hyundai, Foxconn, Renault-Nissan</w:t>
            </w:r>
          </w:p>
        </w:tc>
      </w:tr>
      <w:tr>
        <w:tc>
          <w:tcPr>
            <w:tcW w:type="dxa" w:w="2400"/>
            <w:shd w:fill="F2F7FC" w:val="clear"/>
            <w:tcMar>
              <w:top w:type="dxa" w:w="80"/>
              <w:left w:type="dxa" w:w="120"/>
              <w:bottom w:type="dxa" w:w="80"/>
              <w:right w:type="dxa" w:w="120"/>
            </w:tcMar>
          </w:tcPr>
          <w:p>
            <w:r>
              <w:rPr>
                <w:rFonts w:ascii="Arial" w:cs="Arial" w:eastAsia="Arial" w:hAnsi="Arial"/>
                <w:color w:val="222222"/>
                <w:sz w:val="18"/>
                <w:szCs w:val="18"/>
              </w:rPr>
              <w:t xml:space="preserve">TIIC (reoriented to SSIs)</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1970s–80s</w:t>
            </w:r>
          </w:p>
        </w:tc>
        <w:tc>
          <w:tcPr>
            <w:tcW w:type="dxa" w:w="2560"/>
            <w:shd w:fill="F2F7FC" w:val="clear"/>
            <w:tcMar>
              <w:top w:type="dxa" w:w="80"/>
              <w:left w:type="dxa" w:w="120"/>
              <w:bottom w:type="dxa" w:w="80"/>
              <w:right w:type="dxa" w:w="120"/>
            </w:tcMar>
          </w:tcPr>
          <w:p>
            <w:r>
              <w:rPr>
                <w:rFonts w:ascii="Arial" w:cs="Arial" w:eastAsia="Arial" w:hAnsi="Arial"/>
                <w:color w:val="222222"/>
                <w:sz w:val="18"/>
                <w:szCs w:val="18"/>
              </w:rPr>
              <w:t xml:space="preserve">Term finance, 99% to small-scale industry</w:t>
            </w:r>
          </w:p>
        </w:tc>
        <w:tc>
          <w:tcPr>
            <w:tcW w:type="dxa" w:w="3500"/>
            <w:shd w:fill="F2F7FC" w:val="clear"/>
            <w:tcMar>
              <w:top w:type="dxa" w:w="80"/>
              <w:left w:type="dxa" w:w="120"/>
              <w:bottom w:type="dxa" w:w="80"/>
              <w:right w:type="dxa" w:w="120"/>
            </w:tcMar>
          </w:tcPr>
          <w:p>
            <w:r>
              <w:rPr>
                <w:rFonts w:ascii="Arial" w:cs="Arial" w:eastAsia="Arial" w:hAnsi="Arial"/>
                <w:color w:val="222222"/>
                <w:sz w:val="18"/>
                <w:szCs w:val="18"/>
              </w:rPr>
              <w:t xml:space="preserve">Oldest state industrial finance body; continuous SME credit pipeline</w:t>
            </w:r>
          </w:p>
        </w:tc>
      </w:tr>
      <w:tr>
        <w:tc>
          <w:tcPr>
            <w:tcW w:type="dxa" w:w="2400"/>
            <w:shd w:fill="FFFFFF" w:val="clear"/>
            <w:tcMar>
              <w:top w:type="dxa" w:w="80"/>
              <w:left w:type="dxa" w:w="120"/>
              <w:bottom w:type="dxa" w:w="80"/>
              <w:right w:type="dxa" w:w="120"/>
            </w:tcMar>
          </w:tcPr>
          <w:p>
            <w:r>
              <w:rPr>
                <w:rFonts w:ascii="Arial" w:cs="Arial" w:eastAsia="Arial" w:hAnsi="Arial"/>
                <w:color w:val="222222"/>
                <w:sz w:val="18"/>
                <w:szCs w:val="18"/>
              </w:rPr>
              <w:t xml:space="preserve">TIDCO (joint venture expansion)</w:t>
            </w:r>
          </w:p>
        </w:tc>
        <w:tc>
          <w:tcPr>
            <w:tcW w:type="dxa" w:w="900"/>
            <w:shd w:fill="FFFFFF" w:val="clear"/>
            <w:tcMar>
              <w:top w:type="dxa" w:w="80"/>
              <w:left w:type="dxa" w:w="120"/>
              <w:bottom w:type="dxa" w:w="80"/>
              <w:right w:type="dxa" w:w="120"/>
            </w:tcMar>
          </w:tcPr>
          <w:p>
            <w:r>
              <w:rPr>
                <w:rFonts w:ascii="Arial" w:cs="Arial" w:eastAsia="Arial" w:hAnsi="Arial"/>
                <w:color w:val="222222"/>
                <w:sz w:val="18"/>
                <w:szCs w:val="18"/>
              </w:rPr>
              <w:t xml:space="preserve">1970s onward</w:t>
            </w:r>
          </w:p>
        </w:tc>
        <w:tc>
          <w:tcPr>
            <w:tcW w:type="dxa" w:w="2560"/>
            <w:shd w:fill="FFFFFF" w:val="clear"/>
            <w:tcMar>
              <w:top w:type="dxa" w:w="80"/>
              <w:left w:type="dxa" w:w="120"/>
              <w:bottom w:type="dxa" w:w="80"/>
              <w:right w:type="dxa" w:w="120"/>
            </w:tcMar>
          </w:tcPr>
          <w:p>
            <w:r>
              <w:rPr>
                <w:rFonts w:ascii="Arial" w:cs="Arial" w:eastAsia="Arial" w:hAnsi="Arial"/>
                <w:color w:val="222222"/>
                <w:sz w:val="18"/>
                <w:szCs w:val="18"/>
              </w:rPr>
              <w:t xml:space="preserve">State equity partner in new industrial ventures</w:t>
            </w:r>
          </w:p>
        </w:tc>
        <w:tc>
          <w:tcPr>
            <w:tcW w:type="dxa" w:w="3500"/>
            <w:shd w:fill="FFFFFF" w:val="clear"/>
            <w:tcMar>
              <w:top w:type="dxa" w:w="80"/>
              <w:left w:type="dxa" w:w="120"/>
              <w:bottom w:type="dxa" w:w="80"/>
              <w:right w:type="dxa" w:w="120"/>
            </w:tcMar>
          </w:tcPr>
          <w:p>
            <w:r>
              <w:rPr>
                <w:rFonts w:ascii="Arial" w:cs="Arial" w:eastAsia="Arial" w:hAnsi="Arial"/>
                <w:color w:val="222222"/>
                <w:sz w:val="18"/>
                <w:szCs w:val="18"/>
              </w:rPr>
              <w:t xml:space="preserve">Titan, SPIC, TIDEL, Ascendas partnerships; evolved into Guidance Tamil Nadu</w:t>
            </w:r>
          </w:p>
        </w:tc>
      </w:tr>
      <w:tr>
        <w:tc>
          <w:tcPr>
            <w:tcW w:type="dxa" w:w="2400"/>
            <w:shd w:fill="F2F7FC" w:val="clear"/>
            <w:tcMar>
              <w:top w:type="dxa" w:w="80"/>
              <w:left w:type="dxa" w:w="120"/>
              <w:bottom w:type="dxa" w:w="80"/>
              <w:right w:type="dxa" w:w="120"/>
            </w:tcMar>
          </w:tcPr>
          <w:p>
            <w:r>
              <w:rPr>
                <w:rFonts w:ascii="Arial" w:cs="Arial" w:eastAsia="Arial" w:hAnsi="Arial"/>
                <w:color w:val="222222"/>
                <w:sz w:val="18"/>
                <w:szCs w:val="18"/>
              </w:rPr>
              <w:t xml:space="preserve">DIC network (38 districts)</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1978</w:t>
            </w:r>
          </w:p>
        </w:tc>
        <w:tc>
          <w:tcPr>
            <w:tcW w:type="dxa" w:w="2560"/>
            <w:shd w:fill="F2F7FC" w:val="clear"/>
            <w:tcMar>
              <w:top w:type="dxa" w:w="80"/>
              <w:left w:type="dxa" w:w="120"/>
              <w:bottom w:type="dxa" w:w="80"/>
              <w:right w:type="dxa" w:w="120"/>
            </w:tcMar>
          </w:tcPr>
          <w:p>
            <w:r>
              <w:rPr>
                <w:rFonts w:ascii="Arial" w:cs="Arial" w:eastAsia="Arial" w:hAnsi="Arial"/>
                <w:color w:val="222222"/>
                <w:sz w:val="18"/>
                <w:szCs w:val="18"/>
              </w:rPr>
              <w:t xml:space="preserve">District-level single-window facilitation</w:t>
            </w:r>
          </w:p>
        </w:tc>
        <w:tc>
          <w:tcPr>
            <w:tcW w:type="dxa" w:w="3500"/>
            <w:shd w:fill="F2F7FC" w:val="clear"/>
            <w:tcMar>
              <w:top w:type="dxa" w:w="80"/>
              <w:left w:type="dxa" w:w="120"/>
              <w:bottom w:type="dxa" w:w="80"/>
              <w:right w:type="dxa" w:w="120"/>
            </w:tcMar>
          </w:tcPr>
          <w:p>
            <w:r>
              <w:rPr>
                <w:rFonts w:ascii="Arial" w:cs="Arial" w:eastAsia="Arial" w:hAnsi="Arial"/>
                <w:color w:val="222222"/>
                <w:sz w:val="18"/>
                <w:szCs w:val="18"/>
              </w:rPr>
              <w:t xml:space="preserve">38 DICs; first point of contact for district-level entrepreneurs; MSME onboarding</w:t>
            </w:r>
          </w:p>
        </w:tc>
      </w:tr>
      <w:tr>
        <w:tc>
          <w:tcPr>
            <w:tcW w:type="dxa" w:w="2400"/>
            <w:shd w:fill="FFFFFF" w:val="clear"/>
            <w:tcMar>
              <w:top w:type="dxa" w:w="80"/>
              <w:left w:type="dxa" w:w="120"/>
              <w:bottom w:type="dxa" w:w="80"/>
              <w:right w:type="dxa" w:w="120"/>
            </w:tcMar>
          </w:tcPr>
          <w:p>
            <w:r>
              <w:rPr>
                <w:rFonts w:ascii="Arial" w:cs="Arial" w:eastAsia="Arial" w:hAnsi="Arial"/>
                <w:color w:val="222222"/>
                <w:sz w:val="18"/>
                <w:szCs w:val="18"/>
              </w:rPr>
              <w:t xml:space="preserve">Hosur SIPCOT Phase I</w:t>
            </w:r>
          </w:p>
        </w:tc>
        <w:tc>
          <w:tcPr>
            <w:tcW w:type="dxa" w:w="900"/>
            <w:shd w:fill="FFFFFF" w:val="clear"/>
            <w:tcMar>
              <w:top w:type="dxa" w:w="80"/>
              <w:left w:type="dxa" w:w="120"/>
              <w:bottom w:type="dxa" w:w="80"/>
              <w:right w:type="dxa" w:w="120"/>
            </w:tcMar>
          </w:tcPr>
          <w:p>
            <w:r>
              <w:rPr>
                <w:rFonts w:ascii="Arial" w:cs="Arial" w:eastAsia="Arial" w:hAnsi="Arial"/>
                <w:color w:val="222222"/>
                <w:sz w:val="18"/>
                <w:szCs w:val="18"/>
              </w:rPr>
              <w:t xml:space="preserve">1973</w:t>
            </w:r>
          </w:p>
        </w:tc>
        <w:tc>
          <w:tcPr>
            <w:tcW w:type="dxa" w:w="2560"/>
            <w:shd w:fill="FFFFFF" w:val="clear"/>
            <w:tcMar>
              <w:top w:type="dxa" w:w="80"/>
              <w:left w:type="dxa" w:w="120"/>
              <w:bottom w:type="dxa" w:w="80"/>
              <w:right w:type="dxa" w:w="120"/>
            </w:tcMar>
          </w:tcPr>
          <w:p>
            <w:r>
              <w:rPr>
                <w:rFonts w:ascii="Arial" w:cs="Arial" w:eastAsia="Arial" w:hAnsi="Arial"/>
                <w:color w:val="222222"/>
                <w:sz w:val="18"/>
                <w:szCs w:val="18"/>
              </w:rPr>
              <w:t xml:space="preserve">Engineering and auto components cluster</w:t>
            </w:r>
          </w:p>
        </w:tc>
        <w:tc>
          <w:tcPr>
            <w:tcW w:type="dxa" w:w="3500"/>
            <w:shd w:fill="FFFFFF" w:val="clear"/>
            <w:tcMar>
              <w:top w:type="dxa" w:w="80"/>
              <w:left w:type="dxa" w:w="120"/>
              <w:bottom w:type="dxa" w:w="80"/>
              <w:right w:type="dxa" w:w="120"/>
            </w:tcMar>
          </w:tcPr>
          <w:p>
            <w:r>
              <w:rPr>
                <w:rFonts w:ascii="Arial" w:cs="Arial" w:eastAsia="Arial" w:hAnsi="Arial"/>
                <w:color w:val="222222"/>
                <w:sz w:val="18"/>
                <w:szCs w:val="18"/>
              </w:rPr>
              <w:t xml:space="preserve">India’s fastest-growing industrial town; 50+ major manufacturers in 2025</w:t>
            </w:r>
          </w:p>
        </w:tc>
      </w:tr>
      <w:tr>
        <w:tc>
          <w:tcPr>
            <w:tcW w:type="dxa" w:w="2400"/>
            <w:shd w:fill="F2F7FC" w:val="clear"/>
            <w:tcMar>
              <w:top w:type="dxa" w:w="80"/>
              <w:left w:type="dxa" w:w="120"/>
              <w:bottom w:type="dxa" w:w="80"/>
              <w:right w:type="dxa" w:w="120"/>
            </w:tcMar>
          </w:tcPr>
          <w:p>
            <w:r>
              <w:rPr>
                <w:rFonts w:ascii="Arial" w:cs="Arial" w:eastAsia="Arial" w:hAnsi="Arial"/>
                <w:color w:val="222222"/>
                <w:sz w:val="18"/>
                <w:szCs w:val="18"/>
              </w:rPr>
              <w:t xml:space="preserve">IT Policy</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1997 (second term)</w:t>
            </w:r>
          </w:p>
        </w:tc>
        <w:tc>
          <w:tcPr>
            <w:tcW w:type="dxa" w:w="2560"/>
            <w:shd w:fill="F2F7FC" w:val="clear"/>
            <w:tcMar>
              <w:top w:type="dxa" w:w="80"/>
              <w:left w:type="dxa" w:w="120"/>
              <w:bottom w:type="dxa" w:w="80"/>
              <w:right w:type="dxa" w:w="120"/>
            </w:tcMar>
          </w:tcPr>
          <w:p>
            <w:r>
              <w:rPr>
                <w:rFonts w:ascii="Arial" w:cs="Arial" w:eastAsia="Arial" w:hAnsi="Arial"/>
                <w:color w:val="222222"/>
                <w:sz w:val="18"/>
                <w:szCs w:val="18"/>
              </w:rPr>
              <w:t xml:space="preserve">State IT investment and regulatory framework</w:t>
            </w:r>
          </w:p>
        </w:tc>
        <w:tc>
          <w:tcPr>
            <w:tcW w:type="dxa" w:w="3500"/>
            <w:shd w:fill="F2F7FC" w:val="clear"/>
            <w:tcMar>
              <w:top w:type="dxa" w:w="80"/>
              <w:left w:type="dxa" w:w="120"/>
              <w:bottom w:type="dxa" w:w="80"/>
              <w:right w:type="dxa" w:w="120"/>
            </w:tcMar>
          </w:tcPr>
          <w:p>
            <w:r>
              <w:rPr>
                <w:rFonts w:ascii="Arial" w:cs="Arial" w:eastAsia="Arial" w:hAnsi="Arial"/>
                <w:color w:val="222222"/>
                <w:sz w:val="18"/>
                <w:szCs w:val="18"/>
              </w:rPr>
              <w:t xml:space="preserve">Foundation for OMR corridor; Chennai as India’s second IT city</w:t>
            </w:r>
          </w:p>
        </w:tc>
      </w:tr>
      <w:tr>
        <w:tc>
          <w:tcPr>
            <w:tcW w:type="dxa" w:w="2400"/>
            <w:shd w:fill="FFFFFF" w:val="clear"/>
            <w:tcMar>
              <w:top w:type="dxa" w:w="80"/>
              <w:left w:type="dxa" w:w="120"/>
              <w:bottom w:type="dxa" w:w="80"/>
              <w:right w:type="dxa" w:w="120"/>
            </w:tcMar>
          </w:tcPr>
          <w:p>
            <w:r>
              <w:rPr>
                <w:rFonts w:ascii="Arial" w:cs="Arial" w:eastAsia="Arial" w:hAnsi="Arial"/>
                <w:color w:val="222222"/>
                <w:sz w:val="18"/>
                <w:szCs w:val="18"/>
              </w:rPr>
              <w:t xml:space="preserve">TIDEL Park</w:t>
            </w:r>
          </w:p>
        </w:tc>
        <w:tc>
          <w:tcPr>
            <w:tcW w:type="dxa" w:w="900"/>
            <w:shd w:fill="FFFFFF" w:val="clear"/>
            <w:tcMar>
              <w:top w:type="dxa" w:w="80"/>
              <w:left w:type="dxa" w:w="120"/>
              <w:bottom w:type="dxa" w:w="80"/>
              <w:right w:type="dxa" w:w="120"/>
            </w:tcMar>
          </w:tcPr>
          <w:p>
            <w:r>
              <w:rPr>
                <w:rFonts w:ascii="Arial" w:cs="Arial" w:eastAsia="Arial" w:hAnsi="Arial"/>
                <w:color w:val="222222"/>
                <w:sz w:val="18"/>
                <w:szCs w:val="18"/>
              </w:rPr>
              <w:t xml:space="preserve">2000 (second term)</w:t>
            </w:r>
          </w:p>
        </w:tc>
        <w:tc>
          <w:tcPr>
            <w:tcW w:type="dxa" w:w="2560"/>
            <w:shd w:fill="FFFFFF" w:val="clear"/>
            <w:tcMar>
              <w:top w:type="dxa" w:w="80"/>
              <w:left w:type="dxa" w:w="120"/>
              <w:bottom w:type="dxa" w:w="80"/>
              <w:right w:type="dxa" w:w="120"/>
            </w:tcMar>
          </w:tcPr>
          <w:p>
            <w:r>
              <w:rPr>
                <w:rFonts w:ascii="Arial" w:cs="Arial" w:eastAsia="Arial" w:hAnsi="Arial"/>
                <w:color w:val="222222"/>
                <w:sz w:val="18"/>
                <w:szCs w:val="18"/>
              </w:rPr>
              <w:t xml:space="preserve">IT park to compete with Bengaluru and Hyderabad</w:t>
            </w:r>
          </w:p>
        </w:tc>
        <w:tc>
          <w:tcPr>
            <w:tcW w:type="dxa" w:w="3500"/>
            <w:shd w:fill="FFFFFF" w:val="clear"/>
            <w:tcMar>
              <w:top w:type="dxa" w:w="80"/>
              <w:left w:type="dxa" w:w="120"/>
              <w:bottom w:type="dxa" w:w="80"/>
              <w:right w:type="dxa" w:w="120"/>
            </w:tcMar>
          </w:tcPr>
          <w:p>
            <w:r>
              <w:rPr>
                <w:rFonts w:ascii="Arial" w:cs="Arial" w:eastAsia="Arial" w:hAnsi="Arial"/>
                <w:color w:val="222222"/>
                <w:sz w:val="18"/>
                <w:szCs w:val="18"/>
              </w:rPr>
              <w:t xml:space="preserve">Largest IT park in Asia at opening; catalysed OMR corridor and GCC ecosystem</w:t>
            </w:r>
          </w:p>
        </w:tc>
      </w:tr>
      <w:tr>
        <w:tc>
          <w:tcPr>
            <w:tcW w:type="dxa" w:w="2400"/>
            <w:shd w:fill="F2F7FC" w:val="clear"/>
            <w:tcMar>
              <w:top w:type="dxa" w:w="80"/>
              <w:left w:type="dxa" w:w="120"/>
              <w:bottom w:type="dxa" w:w="80"/>
              <w:right w:type="dxa" w:w="120"/>
            </w:tcMar>
          </w:tcPr>
          <w:p>
            <w:r>
              <w:rPr>
                <w:rFonts w:ascii="Arial" w:cs="Arial" w:eastAsia="Arial" w:hAnsi="Arial"/>
                <w:color w:val="222222"/>
                <w:sz w:val="18"/>
                <w:szCs w:val="18"/>
              </w:rPr>
              <w:t xml:space="preserve">Renault-Nissan MoU</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2008 (third term)</w:t>
            </w:r>
          </w:p>
        </w:tc>
        <w:tc>
          <w:tcPr>
            <w:tcW w:type="dxa" w:w="2560"/>
            <w:shd w:fill="F2F7FC" w:val="clear"/>
            <w:tcMar>
              <w:top w:type="dxa" w:w="80"/>
              <w:left w:type="dxa" w:w="120"/>
              <w:bottom w:type="dxa" w:w="80"/>
              <w:right w:type="dxa" w:w="120"/>
            </w:tcMar>
          </w:tcPr>
          <w:p>
            <w:r>
              <w:rPr>
                <w:rFonts w:ascii="Arial" w:cs="Arial" w:eastAsia="Arial" w:hAnsi="Arial"/>
                <w:color w:val="222222"/>
                <w:sz w:val="18"/>
                <w:szCs w:val="18"/>
              </w:rPr>
              <w:t xml:space="preserve">Automotive FDI at Oragadam</w:t>
            </w:r>
          </w:p>
        </w:tc>
        <w:tc>
          <w:tcPr>
            <w:tcW w:type="dxa" w:w="3500"/>
            <w:shd w:fill="F2F7FC" w:val="clear"/>
            <w:tcMar>
              <w:top w:type="dxa" w:w="80"/>
              <w:left w:type="dxa" w:w="120"/>
              <w:bottom w:type="dxa" w:w="80"/>
              <w:right w:type="dxa" w:w="120"/>
            </w:tcMar>
          </w:tcPr>
          <w:p>
            <w:r>
              <w:rPr>
                <w:rFonts w:ascii="Arial" w:cs="Arial" w:eastAsia="Arial" w:hAnsi="Arial"/>
                <w:color w:val="222222"/>
                <w:sz w:val="18"/>
                <w:szCs w:val="18"/>
              </w:rPr>
              <w:t xml:space="preserve">Plant operational 2010; 400+ firms in Oragadam corridor; $2B+ investment</w:t>
            </w:r>
          </w:p>
        </w:tc>
      </w:tr>
      <w:tr>
        <w:tc>
          <w:tcPr>
            <w:tcW w:type="dxa" w:w="2400"/>
            <w:shd w:fill="F2F7FC" w:val="clear"/>
            <w:tcMar>
              <w:top w:type="dxa" w:w="80"/>
              <w:left w:type="dxa" w:w="120"/>
              <w:bottom w:type="dxa" w:w="80"/>
              <w:right w:type="dxa" w:w="120"/>
            </w:tcMar>
          </w:tcPr>
          <w:p>
            <w:r>
              <w:rPr>
                <w:rFonts w:ascii="Arial" w:cs="Arial" w:eastAsia="Arial" w:hAnsi="Arial"/>
                <w:color w:val="222222"/>
                <w:sz w:val="18"/>
                <w:szCs w:val="18"/>
              </w:rPr>
              <w:t xml:space="preserve">Tamil Nadu Engineering Admissions (TNEA) / Single Window Counselling</w:t>
            </w:r>
          </w:p>
        </w:tc>
        <w:tc>
          <w:tcPr>
            <w:tcW w:type="dxa" w:w="900"/>
            <w:shd w:fill="F2F7FC" w:val="clear"/>
            <w:tcMar>
              <w:top w:type="dxa" w:w="80"/>
              <w:left w:type="dxa" w:w="120"/>
              <w:bottom w:type="dxa" w:w="80"/>
              <w:right w:type="dxa" w:w="120"/>
            </w:tcMar>
          </w:tcPr>
          <w:p>
            <w:r>
              <w:rPr>
                <w:rFonts w:ascii="Arial" w:cs="Arial" w:eastAsia="Arial" w:hAnsi="Arial"/>
                <w:color w:val="222222"/>
                <w:sz w:val="18"/>
                <w:szCs w:val="18"/>
              </w:rPr>
              <w:t xml:space="preserve">1997 (fourth term)</w:t>
            </w:r>
          </w:p>
        </w:tc>
        <w:tc>
          <w:tcPr>
            <w:tcW w:type="dxa" w:w="2560"/>
            <w:shd w:fill="F2F7FC" w:val="clear"/>
            <w:tcMar>
              <w:top w:type="dxa" w:w="80"/>
              <w:left w:type="dxa" w:w="120"/>
              <w:bottom w:type="dxa" w:w="80"/>
              <w:right w:type="dxa" w:w="120"/>
            </w:tcMar>
          </w:tcPr>
          <w:p>
            <w:r>
              <w:rPr>
                <w:rFonts w:ascii="Arial" w:cs="Arial" w:eastAsia="Arial" w:hAnsi="Arial"/>
                <w:color w:val="222222"/>
                <w:sz w:val="18"/>
                <w:szCs w:val="18"/>
              </w:rPr>
              <w:t xml:space="preserve">Transparent, merit-based centralised engineering admissions replacing opaque college-level processes</w:t>
            </w:r>
          </w:p>
        </w:tc>
        <w:tc>
          <w:tcPr>
            <w:tcW w:type="dxa" w:w="3500"/>
            <w:shd w:fill="F2F7FC" w:val="clear"/>
            <w:tcMar>
              <w:top w:type="dxa" w:w="80"/>
              <w:left w:type="dxa" w:w="120"/>
              <w:bottom w:type="dxa" w:w="80"/>
              <w:right w:type="dxa" w:w="120"/>
            </w:tcMar>
          </w:tcPr>
          <w:p>
            <w:r>
              <w:rPr>
                <w:rFonts w:ascii="Arial" w:cs="Arial" w:eastAsia="Arial" w:hAnsi="Arial"/>
                <w:color w:val="222222"/>
                <w:sz w:val="18"/>
                <w:szCs w:val="18"/>
              </w:rPr>
              <w:t xml:space="preserve">Expanded access for rural, first-generation, OBC, and SC students; deepened the engineering talent pipeline supplying the automotive, electronics, IT, and GCC sectors from 2001 onward</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cumulative effect of these institutional choices is visible in Tamil Nadu’s 2025 industrial profile: India’s leading electronics exporter, second-largest state economy, highest number of SEZs, and the most diversified manufacturing base among Indian states. No individual investment on this list produced that outcome. The outcome was produced by the system — and the system was substantially built and expanded during Karunanidhi’s administrations.</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14. Conclusion</w:t>
      </w:r>
    </w:p>
    <w:p>
      <w:pPr>
        <w:spacing w:after="80" w:before="80" w:line="276"/>
        <w:jc w:val="both"/>
      </w:pPr>
      <w:r>
        <w:rPr>
          <w:rFonts w:ascii="Arial" w:cs="Arial" w:eastAsia="Arial" w:hAnsi="Arial"/>
          <w:color w:val="222222"/>
          <w:sz w:val="20"/>
          <w:szCs w:val="20"/>
        </w:rPr>
        <w:t xml:space="preserve">Tamil Nadu’s industrial journey from 1947 to 2025 is exceptional not because of any single policy decision, any single leader, or any single period of economic fortune. It is exceptional because of what was built, deliberately and cumulatively, over seven decades: a system in which institutional depth, spatial equity, social investment, and policy continuity reinforced each other in ways that no individual element could have produced alone. From the cooperative matchbox factories of Sivakasi employing below-poverty-line women, to Foxconn’s iPhone enclosure plant at Oragadam, the thread is unbroken. The instrument changed; the institutional logic did not.</w:t>
      </w:r>
    </w:p>
    <w:p>
      <w:pPr>
        <w:spacing w:after="80" w:before="80" w:line="276"/>
        <w:jc w:val="both"/>
      </w:pPr>
      <w:r>
        <w:rPr>
          <w:rFonts w:ascii="Arial" w:cs="Arial" w:eastAsia="Arial" w:hAnsi="Arial"/>
          <w:color w:val="222222"/>
          <w:sz w:val="20"/>
          <w:szCs w:val="20"/>
        </w:rPr>
        <w:t xml:space="preserve">Tamil Nadu’s success was cumulative and bipartisan. The institutional architecture was substantially built and expanded under Karunanidhi, but subsequent administrations each added important and lasting layers to the state’s industrial evolution. MGR expanded technical education and universalised the midday meal, creating the human capital pipeline that manufacturing would later draw on. Jayalalithaa’s personal intervention brought Ford to Chennai and established the automotive cluster’s credibility with global OEMs, and her later administrations signed MoUs with Daimler, Nissan, and Yamaha and resolved the TCS clearance delays that shaped the OMR corridor. O. Panneerselvam and Edappadi Palaniswami launched the Tamil Nadu Defence Industrial Corridor and maintained the investment facilitation infrastructure through a period of political uncertainty. M.K. Stalin’s administration accelerated electronics manufacturing, established GCC policy, and extended the TIDEL logic statewide through TIDEL Neo. The report’s emphasis on Karunanidhi’s institutional legacy is not a claim that others contributed nothing; it is a claim that the institutional system those others operated within was substantially constructed during his administrations — and that the durability of that system, across all subsequent governments, is itself the strongest evidence of its quality.</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Four analytical insights from the synthesis of this report’s sources deserve particular emphasis in any assessment of Tamil Nadu’s industrial model:</w:t>
      </w:r>
    </w:p>
    <w:p>
      <w:pPr>
        <w:spacing w:after="40" w:before="4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222222"/>
          <w:sz w:val="20"/>
          <w:szCs w:val="20"/>
        </w:rPr>
        <w:t xml:space="preserve">Institution-building precedes liberalisation benefits. Tamil Nadu emerged as the primary beneficiary of post-1991 economic opening precisely because the 1989 policy had completed the institutional architecture that foreign and domestic capital needed: industrial estates, a creditworthy SFI, trained technical entrepreneurs, and functional supply chains in electronics, pharmaceuticals, and motor vehicle ancillaries.</w:t>
      </w:r>
    </w:p>
    <w:p>
      <w:pPr>
        <w:pStyle w:val="ListParagraph"/>
        <w:numPr>
          <w:ilvl w:val="0"/>
          <w:numId w:val="2"/>
        </w:numPr>
        <w:spacing w:after="60" w:before="60"/>
      </w:pPr>
      <w:r>
        <w:rPr>
          <w:rFonts w:ascii="Arial" w:cs="Arial" w:eastAsia="Arial" w:hAnsi="Arial"/>
          <w:color w:val="222222"/>
          <w:sz w:val="20"/>
          <w:szCs w:val="20"/>
        </w:rPr>
        <w:t xml:space="preserve">Labour-intensive, spatially dispersed industrialisation produces broader social gains than capital-intensive metropolitan concentration. Tamil Nadu’s lower capital-intensity ratio, higher wage share in GVA, and broader OBC/Dalit entrepreneurship compared to Gujarat and Maharashtra reflect structural policy choices dating to the Dravidian governments’ spatial equity agenda — not merely market outcomes.</w:t>
      </w:r>
    </w:p>
    <w:p>
      <w:pPr>
        <w:pStyle w:val="ListParagraph"/>
        <w:numPr>
          <w:ilvl w:val="0"/>
          <w:numId w:val="2"/>
        </w:numPr>
        <w:spacing w:after="60" w:before="60"/>
      </w:pPr>
      <w:r>
        <w:rPr>
          <w:rFonts w:ascii="Arial" w:cs="Arial" w:eastAsia="Arial" w:hAnsi="Arial"/>
          <w:color w:val="222222"/>
          <w:sz w:val="20"/>
          <w:szCs w:val="20"/>
        </w:rPr>
        <w:t xml:space="preserve">Welfare provision is not a transfer programme; it is an industrial policy instrument. The PDS, MGNREGA, and 17 welfare boards for informal workers maintained a wage floor, enabled labour mobility, supported household consumption, and insulated the industrial system from social instability during crisis periods. Tamil Nadu’s faster recovery from COVID-19 compared to peer states reflects, in part, this social shock-absorber architecture.
— Human capital institutions are as important as industrial institutions. The polytechnic network, ITI expansion, engineering college liberalisation, TNEA single-window admissions, and the abolition of the engineering entrance examination collectively built a technical workforce pipeline that was as decisive for the automotive, electronics, IT, and GCC sectors as SIPCOT’s land banks or TIDCO’s facilitation desks. Tamil Nadu’s engineering graduate supply did not merely support its industrial growth; it was constitutive of it.</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state’s greatest risk in the next phase is not external: it is the possibility that rapid industrial upgrading into capital-intensive EVs, aerospace, and advanced electronics narrows the employment base precisely when the existing labour-intensive manufacturing clusters face cost pressures from automation and global competition. The strategic task is to manage this transition in a manner consistent with Tamil Nadu’s tradition of inclusive industrialisation.</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institutional foundation — SIPCOT, TIIC, TIDCO, Guidance Tamil Nadu, and 38 district DIC networks — is intact. The challenge is to align it with the demands of a green, digitised, and globally integrated industrial economy while ensuring that the benefits of the next industrial transformation reach all corners of Tamil Nadu, as the architects of the 1989 policy intended.
Tamil Nadu’s experience carries a lesson that transcends its own geography. Industrial success is most durable when economic transformation and social inclusion advance together — not as competing priorities to be traded off, but as mutually reinforcing pillars of a single development strategy. States and countries that pursue growth without social investment find their competitiveness constrained by a workforce that is under-nourished, under-educated, and under-secured. Those that invest in welfare without building industrial capacity find their social programmes fiscally unsustainable. Tamil Nadu’s contribution to development economics is not any single institution or policy. It is the demonstration, across seven decades and multiple political administrations, that getting both right simultaneously is possible — and that doing so produces an industrial economy that is not merely large, but resilient, inclusive, and self-renewing.</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Appendix A: Methodology Note — OBC Enterprise Ownership Statistics</w:t>
      </w:r>
    </w:p>
    <w:p>
      <w:pPr>
        <w:pStyle w:val="Heading2"/>
        <w:spacing w:after="120" w:before="280"/>
      </w:pPr>
      <w:r>
        <w:rPr>
          <w:rFonts w:ascii="Arial" w:cs="Arial" w:eastAsia="Arial" w:hAnsi="Arial"/>
          <w:b/>
          <w:bCs/>
          <w:color w:val="2E5FA3"/>
          <w:sz w:val="24"/>
          <w:szCs w:val="24"/>
        </w:rPr>
        <w:t xml:space="preserve">A.1 Data Source and Classification</w:t>
      </w:r>
    </w:p>
    <w:p>
      <w:pPr>
        <w:spacing w:after="80" w:before="80" w:line="276"/>
        <w:jc w:val="both"/>
      </w:pPr>
      <w:r>
        <w:rPr>
          <w:rFonts w:ascii="Arial" w:cs="Arial" w:eastAsia="Arial" w:hAnsi="Arial"/>
          <w:color w:val="222222"/>
          <w:sz w:val="20"/>
          <w:szCs w:val="20"/>
        </w:rPr>
        <w:t xml:space="preserve">The enterprise ownership figures cited in this report — that OBCs control 67% of private enterprises with 100 or more hired workers in Tamil Nadu, compared to 11% in Gujarat and 8% in Maharashtra, and that Dalits own approximately 6% of enterprises in this size category — are derived from the Sixth Economic Census conducted by the Ministry of Statistics and Programme Implementation (MoSPI), Government of India, in 2013–14. The Economic Census is the most comprehensive periodic enumeration of all non-farm economic establishments in India, covering both formal and informal sector enterprises.</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A.2 Ownership Attribution Methodology</w:t>
      </w:r>
    </w:p>
    <w:p>
      <w:pPr>
        <w:spacing w:after="80" w:before="80" w:line="276"/>
        <w:jc w:val="both"/>
      </w:pPr>
      <w:r>
        <w:rPr>
          <w:rFonts w:ascii="Arial" w:cs="Arial" w:eastAsia="Arial" w:hAnsi="Arial"/>
          <w:color w:val="222222"/>
          <w:sz w:val="20"/>
          <w:szCs w:val="20"/>
        </w:rPr>
        <w:t xml:space="preserve">Enterprise ownership is attributed by the social category (Scheduled Caste, Scheduled Tribe, Other Backward Class, or General) of the proprietor, partner, or managing member, as self-reported at the time of enumeration. For establishments with hired workers, the census records the number of hired workers separately from own-account workers. The figures cited here are restricted to enterprises reporting 100 or more hired workers — a threshold that captures medium-to-large manufacturing and services enterprises where the pattern of ownership by social category is analytically significant.</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A.3 Comparison Methodology</w:t>
      </w:r>
    </w:p>
    <w:p>
      <w:pPr>
        <w:spacing w:after="80" w:before="80" w:line="276"/>
        <w:jc w:val="both"/>
      </w:pPr>
      <w:r>
        <w:rPr>
          <w:rFonts w:ascii="Arial" w:cs="Arial" w:eastAsia="Arial" w:hAnsi="Arial"/>
          <w:color w:val="222222"/>
          <w:sz w:val="20"/>
          <w:szCs w:val="20"/>
        </w:rPr>
        <w:t xml:space="preserve">State-level comparisons (Tamil Nadu vs. Gujarat vs. Maharashtra) use the same census dataset, restricted to the same enterprise size category (100+ hired workers), and apply the same ownership attribution methodology. Cross-state comparisons are therefore internally consistent within the census framework. The analysis synthesising these state-level figures and interpreting them within a development-economics framework is drawn from Kalaiyarasan, A. and Vijayabaskar, M., ‘The Dravidian Model: Interpreting the Political Economy of Tamil Nadu’, Cambridge University Press, 2021 (Chapter 4: ‘Industrial Structure and Social Equity’).</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4"/>
          <w:szCs w:val="24"/>
        </w:rPr>
        <w:t xml:space="preserve">A.4 Limitations and Caveats</w:t>
      </w:r>
    </w:p>
    <w:p>
      <w:pPr>
        <w:spacing w:after="80" w:before="80" w:line="276"/>
        <w:jc w:val="both"/>
      </w:pPr>
      <w:r>
        <w:rPr>
          <w:rFonts w:ascii="Arial" w:cs="Arial" w:eastAsia="Arial" w:hAnsi="Arial"/>
          <w:color w:val="222222"/>
          <w:sz w:val="20"/>
          <w:szCs w:val="20"/>
        </w:rPr>
        <w:t xml:space="preserve">The Economic Census 2013–14 is now a decade old. The 2023–24 Economic Census was announced but had not released state-level social-category breakdowns at the time this report was compiled. The 2013–14 figures should therefore be understood as reflecting the cumulative outcome of policy choices made over the period approximately 1970–2013, rather than current ownership distribution. Directionally, there is no academic consensus that the pattern has reversed significantly since 2013–14. Researchers requiring current figures should consult MoSPI when the 2023–24 results are published.</w:t>
      </w:r>
    </w:p>
    <w:p>
      <w:pPr>
        <w:spacing w:after="40" w:before="40"/>
      </w:pPr>
      <w:r>
        <w:rPr>
          <w:rFonts w:ascii="Arial" w:cs="Arial" w:eastAsia="Arial" w:hAnsi="Arial"/>
          <w:sz w:val="20"/>
          <w:szCs w:val="20"/>
        </w:rPr>
        <w:t xml:space="preserve"/>
      </w:r>
    </w:p>
    <w:p>
      <w:pPr>
        <w:spacing w:after="60" w:before="40"/>
        <w:jc w:val="both"/>
      </w:pPr>
      <w:r>
        <w:rPr>
          <w:rFonts w:ascii="Arial" w:cs="Arial" w:eastAsia="Arial" w:hAnsi="Arial"/>
          <w:i/>
          <w:color w:val="444444"/>
          <w:sz w:val="17"/>
          <w:szCs w:val="17"/>
        </w:rPr>
        <w:t xml:space="preserve">Primary source: Ministry of Statistics and Programme Implementation (MoSPI), Government of India. ‘Sixth Economic Census 2013–14: State-level Tables’. New Delhi: CSO, 2016. Analysis and interpretation: Kalaiyarasan A. and Vijayabaskar M. ‘The Dravidian Model: Interpreting the Political Economy of Tamil Nadu’. Cambridge University Press, 2021.</w:t>
      </w:r>
    </w:p>
    <w:p>
      <w:r>
        <w:br w:type="page"/>
      </w:r>
    </w:p>
    <w:p>
      <w:pPr>
        <w:pStyle w:val="Heading1"/>
        <w:spacing w:after="160" w:before="360"/>
      </w:pPr>
      <w:r>
        <w:rPr>
          <w:rFonts w:ascii="Arial" w:cs="Arial" w:eastAsia="Arial" w:hAnsi="Arial"/>
          <w:b/>
          <w:bCs/>
          <w:color w:val="1F3864"/>
          <w:sz w:val="28"/>
          <w:szCs w:val="28"/>
        </w:rPr>
        <w:t xml:space="preserve">Appendix B: Karunanidhi’s Institutional Legacy — Timeline (1967–2011)</w:t>
      </w:r>
    </w:p>
    <w:p>
      <w:pPr>
        <w:pStyle w:val="Heading2"/>
        <w:spacing w:after="120" w:before="280"/>
      </w:pPr>
      <w:r>
        <w:rPr>
          <w:rFonts w:ascii="Arial" w:cs="Arial" w:eastAsia="Arial" w:hAnsi="Arial"/>
          <w:b/>
          <w:bCs/>
          <w:color w:val="2E5FA3"/>
          <w:sz w:val="24"/>
          <w:szCs w:val="24"/>
        </w:rPr>
        <w:t xml:space="preserve">B.1 Scope and Purpose</w:t>
      </w:r>
    </w:p>
    <w:p>
      <w:pPr>
        <w:spacing w:after="80" w:before="80" w:line="276"/>
        <w:jc w:val="both"/>
      </w:pPr>
      <w:r>
        <w:rPr>
          <w:rFonts w:ascii="Arial" w:cs="Arial" w:eastAsia="Arial" w:hAnsi="Arial"/>
          <w:color w:val="222222"/>
          <w:sz w:val="20"/>
          <w:szCs w:val="20"/>
        </w:rPr>
        <w:t xml:space="preserve">This appendix provides a consolidated timeline of the institutional and policy milestones established or decisively expanded during M. Karunanidhi’s five terms as Chief Minister of Tamil Nadu (1967–69, 1971–76, 1989–91, 1996–2001, 2006–11). The timeline covers only those institutions whose long-term industrial and economic significance is discussed in the main report. It is not a comprehensive political biography.</w:t>
      </w:r>
    </w:p>
    <w:p>
      <w:pPr>
        <w:spacing w:after="40" w:before="40"/>
      </w:pPr>
      <w:r>
        <w:rPr>
          <w:rFonts w:ascii="Arial" w:cs="Arial" w:eastAsia="Arial" w:hAnsi="Arial"/>
          <w:sz w:val="20"/>
          <w:szCs w:val="20"/>
        </w:rP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700"/>
        <w:gridCol w:w="2800"/>
        <w:gridCol w:w="1560"/>
        <w:gridCol w:w="4300"/>
      </w:tblGrid>
      <w:tr>
        <w:trPr>
          <w:tblHeader/>
        </w:trPr>
        <w:tc>
          <w:tcPr>
            <w:tcW w:type="dxa" w:w="700"/>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2800"/>
            <w:shd w:fill="1F3864"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1560"/>
            <w:shd w:fill="1F3864" w:val="clear"/>
            <w:tcMar>
              <w:top w:type="dxa" w:w="80"/>
              <w:left w:type="dxa" w:w="120"/>
              <w:bottom w:type="dxa" w:w="80"/>
              <w:right w:type="dxa" w:w="120"/>
            </w:tcMar>
          </w:tcPr>
          <w:p>
            <w:r>
              <w:rPr>
                <w:rFonts w:ascii="Arial" w:cs="Arial" w:eastAsia="Arial" w:hAnsi="Arial"/>
                <w:b/>
                <w:bCs/>
                <w:color w:val="FFFFFF"/>
                <w:sz w:val="18"/>
                <w:szCs w:val="18"/>
              </w:rPr>
              <w:t xml:space="preserve">Administration</w:t>
            </w:r>
          </w:p>
        </w:tc>
        <w:tc>
          <w:tcPr>
            <w:tcW w:type="dxa" w:w="4300"/>
            <w:shd w:fill="1F3864" w:val="clear"/>
            <w:tcMar>
              <w:top w:type="dxa" w:w="80"/>
              <w:left w:type="dxa" w:w="120"/>
              <w:bottom w:type="dxa" w:w="80"/>
              <w:right w:type="dxa" w:w="120"/>
            </w:tcMar>
          </w:tcPr>
          <w:p>
            <w:r>
              <w:rPr>
                <w:rFonts w:ascii="Arial" w:cs="Arial" w:eastAsia="Arial" w:hAnsi="Arial"/>
                <w:b/>
                <w:bCs/>
                <w:color w:val="FFFFFF"/>
                <w:sz w:val="18"/>
                <w:szCs w:val="18"/>
              </w:rPr>
              <w:t xml:space="preserve">Long-Term Significance</w:t>
            </w:r>
          </w:p>
        </w:tc>
      </w:tr>
      <w:tr>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1967–69</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First DMK government; industrialisation made central to Dravidian governance agenda</w:t>
            </w:r>
          </w:p>
        </w:tc>
        <w:tc>
          <w:tcPr>
            <w:tcW w:type="dxa" w:w="1560"/>
            <w:shd w:fill="F2F7FC" w:val="clear"/>
            <w:tcMar>
              <w:top w:type="dxa" w:w="80"/>
              <w:left w:type="dxa" w:w="120"/>
              <w:bottom w:type="dxa" w:w="80"/>
              <w:right w:type="dxa" w:w="120"/>
            </w:tcMar>
          </w:tcPr>
          <w:p>
            <w:r>
              <w:rPr>
                <w:rFonts w:ascii="Arial" w:cs="Arial" w:eastAsia="Arial" w:hAnsi="Arial"/>
                <w:color w:val="222222"/>
                <w:sz w:val="18"/>
                <w:szCs w:val="18"/>
              </w:rPr>
              <w:t xml:space="preserve">CM Karunanidhi (Term 1)</w:t>
            </w:r>
          </w:p>
        </w:tc>
        <w:tc>
          <w:tcPr>
            <w:tcW w:type="dxa" w:w="4300"/>
            <w:shd w:fill="F2F7FC" w:val="clear"/>
            <w:tcMar>
              <w:top w:type="dxa" w:w="80"/>
              <w:left w:type="dxa" w:w="120"/>
              <w:bottom w:type="dxa" w:w="80"/>
              <w:right w:type="dxa" w:w="120"/>
            </w:tcMar>
          </w:tcPr>
          <w:p>
            <w:r>
              <w:rPr>
                <w:rFonts w:ascii="Arial" w:cs="Arial" w:eastAsia="Arial" w:hAnsi="Arial"/>
                <w:color w:val="222222"/>
                <w:sz w:val="18"/>
                <w:szCs w:val="18"/>
              </w:rPr>
              <w:t xml:space="preserve">Established the institutional-political mandate for state-led industrial development; broke from purely PSU-dependent Congress model</w:t>
            </w:r>
          </w:p>
        </w:tc>
      </w:tr>
      <w:tr>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1970</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SIDCO (Small Industries Development Corporation) established</w:t>
            </w:r>
          </w:p>
        </w:tc>
        <w:tc>
          <w:tcPr>
            <w:tcW w:type="dxa" w:w="1560"/>
            <w:shd w:fill="FFFFFF" w:val="clear"/>
            <w:tcMar>
              <w:top w:type="dxa" w:w="80"/>
              <w:left w:type="dxa" w:w="120"/>
              <w:bottom w:type="dxa" w:w="80"/>
              <w:right w:type="dxa" w:w="120"/>
            </w:tcMar>
          </w:tcPr>
          <w:p>
            <w:r>
              <w:rPr>
                <w:rFonts w:ascii="Arial" w:cs="Arial" w:eastAsia="Arial" w:hAnsi="Arial"/>
                <w:color w:val="222222"/>
                <w:sz w:val="18"/>
                <w:szCs w:val="18"/>
              </w:rPr>
              <w:t xml:space="preserve">CM Karunanidhi (Term 1)</w:t>
            </w:r>
          </w:p>
        </w:tc>
        <w:tc>
          <w:tcPr>
            <w:tcW w:type="dxa" w:w="4300"/>
            <w:shd w:fill="FFFFFF" w:val="clear"/>
            <w:tcMar>
              <w:top w:type="dxa" w:w="80"/>
              <w:left w:type="dxa" w:w="120"/>
              <w:bottom w:type="dxa" w:w="80"/>
              <w:right w:type="dxa" w:w="120"/>
            </w:tcMar>
          </w:tcPr>
          <w:p>
            <w:r>
              <w:rPr>
                <w:rFonts w:ascii="Arial" w:cs="Arial" w:eastAsia="Arial" w:hAnsi="Arial"/>
                <w:color w:val="222222"/>
                <w:sz w:val="18"/>
                <w:szCs w:val="18"/>
              </w:rPr>
              <w:t xml:space="preserve">49 industrial estates; 2,349 factory sheds; foundation of Tamil Nadu’s MSME ecosystem and first-generation entrepreneur access to manufacturing</w:t>
            </w:r>
          </w:p>
        </w:tc>
      </w:tr>
      <w:tr>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1971</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SIPCOT (State Industries Promotion Corporation of Tamil Nadu) established</w:t>
            </w:r>
          </w:p>
        </w:tc>
        <w:tc>
          <w:tcPr>
            <w:tcW w:type="dxa" w:w="1560"/>
            <w:shd w:fill="F2F7FC" w:val="clear"/>
            <w:tcMar>
              <w:top w:type="dxa" w:w="80"/>
              <w:left w:type="dxa" w:w="120"/>
              <w:bottom w:type="dxa" w:w="80"/>
              <w:right w:type="dxa" w:w="120"/>
            </w:tcMar>
          </w:tcPr>
          <w:p>
            <w:r>
              <w:rPr>
                <w:rFonts w:ascii="Arial" w:cs="Arial" w:eastAsia="Arial" w:hAnsi="Arial"/>
                <w:color w:val="222222"/>
                <w:sz w:val="18"/>
                <w:szCs w:val="18"/>
              </w:rPr>
              <w:t xml:space="preserve">CM Karunanidhi (Term 1)</w:t>
            </w:r>
          </w:p>
        </w:tc>
        <w:tc>
          <w:tcPr>
            <w:tcW w:type="dxa" w:w="4300"/>
            <w:shd w:fill="F2F7FC" w:val="clear"/>
            <w:tcMar>
              <w:top w:type="dxa" w:w="80"/>
              <w:left w:type="dxa" w:w="120"/>
              <w:bottom w:type="dxa" w:w="80"/>
              <w:right w:type="dxa" w:w="120"/>
            </w:tcMar>
          </w:tcPr>
          <w:p>
            <w:r>
              <w:rPr>
                <w:rFonts w:ascii="Arial" w:cs="Arial" w:eastAsia="Arial" w:hAnsi="Arial"/>
                <w:color w:val="222222"/>
                <w:sz w:val="18"/>
                <w:szCs w:val="18"/>
              </w:rPr>
              <w:t xml:space="preserve">Large industrial complex development via land banking; physical foundation for all three subsequent waves of FDI attraction</w:t>
            </w:r>
          </w:p>
        </w:tc>
      </w:tr>
      <w:tr>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1973</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Hosur SIPCOT Phase I established</w:t>
            </w:r>
          </w:p>
        </w:tc>
        <w:tc>
          <w:tcPr>
            <w:tcW w:type="dxa" w:w="1560"/>
            <w:shd w:fill="FFFFFF" w:val="clear"/>
            <w:tcMar>
              <w:top w:type="dxa" w:w="80"/>
              <w:left w:type="dxa" w:w="120"/>
              <w:bottom w:type="dxa" w:w="80"/>
              <w:right w:type="dxa" w:w="120"/>
            </w:tcMar>
          </w:tcPr>
          <w:p>
            <w:r>
              <w:rPr>
                <w:rFonts w:ascii="Arial" w:cs="Arial" w:eastAsia="Arial" w:hAnsi="Arial"/>
                <w:color w:val="222222"/>
                <w:sz w:val="18"/>
                <w:szCs w:val="18"/>
              </w:rPr>
              <w:t xml:space="preserve">CM Karunanidhi (Term 1)</w:t>
            </w:r>
          </w:p>
        </w:tc>
        <w:tc>
          <w:tcPr>
            <w:tcW w:type="dxa" w:w="4300"/>
            <w:shd w:fill="FFFFFF" w:val="clear"/>
            <w:tcMar>
              <w:top w:type="dxa" w:w="80"/>
              <w:left w:type="dxa" w:w="120"/>
              <w:bottom w:type="dxa" w:w="80"/>
              <w:right w:type="dxa" w:w="120"/>
            </w:tcMar>
          </w:tcPr>
          <w:p>
            <w:r>
              <w:rPr>
                <w:rFonts w:ascii="Arial" w:cs="Arial" w:eastAsia="Arial" w:hAnsi="Arial"/>
                <w:color w:val="222222"/>
                <w:sz w:val="18"/>
                <w:szCs w:val="18"/>
              </w:rPr>
              <w:t xml:space="preserve">India’s fastest-growing industrial town by 2024; anchor for TVS, Titan, Ashok Leyland, and later Foxconn, Daimler Buses</w:t>
            </w:r>
          </w:p>
        </w:tc>
      </w:tr>
      <w:tr>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1978</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DIC (District Industries Centres) network, 38 districts</w:t>
            </w:r>
          </w:p>
        </w:tc>
        <w:tc>
          <w:tcPr>
            <w:tcW w:type="dxa" w:w="1560"/>
            <w:shd w:fill="F2F7FC" w:val="clear"/>
            <w:tcMar>
              <w:top w:type="dxa" w:w="80"/>
              <w:left w:type="dxa" w:w="120"/>
              <w:bottom w:type="dxa" w:w="80"/>
              <w:right w:type="dxa" w:w="120"/>
            </w:tcMar>
          </w:tcPr>
          <w:p>
            <w:r>
              <w:rPr>
                <w:rFonts w:ascii="Arial" w:cs="Arial" w:eastAsia="Arial" w:hAnsi="Arial"/>
                <w:color w:val="222222"/>
                <w:sz w:val="18"/>
                <w:szCs w:val="18"/>
              </w:rPr>
              <w:t xml:space="preserve">Janata Party era / institutionalised DMK legacy</w:t>
            </w:r>
          </w:p>
        </w:tc>
        <w:tc>
          <w:tcPr>
            <w:tcW w:type="dxa" w:w="4300"/>
            <w:shd w:fill="F2F7FC" w:val="clear"/>
            <w:tcMar>
              <w:top w:type="dxa" w:w="80"/>
              <w:left w:type="dxa" w:w="120"/>
              <w:bottom w:type="dxa" w:w="80"/>
              <w:right w:type="dxa" w:w="120"/>
            </w:tcMar>
          </w:tcPr>
          <w:p>
            <w:r>
              <w:rPr>
                <w:rFonts w:ascii="Arial" w:cs="Arial" w:eastAsia="Arial" w:hAnsi="Arial"/>
                <w:color w:val="222222"/>
                <w:sz w:val="18"/>
                <w:szCs w:val="18"/>
              </w:rPr>
              <w:t xml:space="preserve">First point of contact for district-level entrepreneurs; MSME facilitation across all districts; single-window precursor</w:t>
            </w:r>
          </w:p>
        </w:tc>
      </w:tr>
      <w:tr>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1989–91</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Comprehensive Industrial Policy; TIIC reoriented to 99% SSI lending; Cooperative sector formalised</w:t>
            </w:r>
          </w:p>
        </w:tc>
        <w:tc>
          <w:tcPr>
            <w:tcW w:type="dxa" w:w="1560"/>
            <w:shd w:fill="FFFFFF" w:val="clear"/>
            <w:tcMar>
              <w:top w:type="dxa" w:w="80"/>
              <w:left w:type="dxa" w:w="120"/>
              <w:bottom w:type="dxa" w:w="80"/>
              <w:right w:type="dxa" w:w="120"/>
            </w:tcMar>
          </w:tcPr>
          <w:p>
            <w:r>
              <w:rPr>
                <w:rFonts w:ascii="Arial" w:cs="Arial" w:eastAsia="Arial" w:hAnsi="Arial"/>
                <w:color w:val="222222"/>
                <w:sz w:val="18"/>
                <w:szCs w:val="18"/>
              </w:rPr>
              <w:t xml:space="preserve">CM Karunanidhi (Term 3)</w:t>
            </w:r>
          </w:p>
        </w:tc>
        <w:tc>
          <w:tcPr>
            <w:tcW w:type="dxa" w:w="4300"/>
            <w:shd w:fill="FFFFFF" w:val="clear"/>
            <w:tcMar>
              <w:top w:type="dxa" w:w="80"/>
              <w:left w:type="dxa" w:w="120"/>
              <w:bottom w:type="dxa" w:w="80"/>
              <w:right w:type="dxa" w:w="120"/>
            </w:tcMar>
          </w:tcPr>
          <w:p>
            <w:r>
              <w:rPr>
                <w:rFonts w:ascii="Arial" w:cs="Arial" w:eastAsia="Arial" w:hAnsi="Arial"/>
                <w:color w:val="222222"/>
                <w:sz w:val="18"/>
                <w:szCs w:val="18"/>
              </w:rPr>
              <w:t xml:space="preserve">Last major pre-liberalisation industrial framework; established the institutional ecosystem that liberalisation would activate in 1991–2000</w:t>
            </w:r>
          </w:p>
        </w:tc>
      </w:tr>
      <w:tr>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1996–2001</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Hyundai Motor India facilitated at Sriperumbudur; automotive cluster anchored</w:t>
            </w:r>
          </w:p>
        </w:tc>
        <w:tc>
          <w:tcPr>
            <w:tcW w:type="dxa" w:w="1560"/>
            <w:shd w:fill="F2F7FC" w:val="clear"/>
            <w:tcMar>
              <w:top w:type="dxa" w:w="80"/>
              <w:left w:type="dxa" w:w="120"/>
              <w:bottom w:type="dxa" w:w="80"/>
              <w:right w:type="dxa" w:w="120"/>
            </w:tcMar>
          </w:tcPr>
          <w:p>
            <w:r>
              <w:rPr>
                <w:rFonts w:ascii="Arial" w:cs="Arial" w:eastAsia="Arial" w:hAnsi="Arial"/>
                <w:color w:val="222222"/>
                <w:sz w:val="18"/>
                <w:szCs w:val="18"/>
              </w:rPr>
              <w:t xml:space="preserve">CM Karunanidhi (Term 4)</w:t>
            </w:r>
          </w:p>
        </w:tc>
        <w:tc>
          <w:tcPr>
            <w:tcW w:type="dxa" w:w="4300"/>
            <w:shd w:fill="F2F7FC" w:val="clear"/>
            <w:tcMar>
              <w:top w:type="dxa" w:w="80"/>
              <w:left w:type="dxa" w:w="120"/>
              <w:bottom w:type="dxa" w:w="80"/>
              <w:right w:type="dxa" w:w="120"/>
            </w:tcMar>
          </w:tcPr>
          <w:p>
            <w:r>
              <w:rPr>
                <w:rFonts w:ascii="Arial" w:cs="Arial" w:eastAsia="Arial" w:hAnsi="Arial"/>
                <w:color w:val="222222"/>
                <w:sz w:val="18"/>
                <w:szCs w:val="18"/>
              </w:rPr>
              <w:t xml:space="preserve">Honoured AIADMK-era Ford commitment; secured Hyundai (first 100% foreign auto subsidiary); cemented Tamil Nadu as India’s automotive capital</w:t>
            </w:r>
          </w:p>
        </w:tc>
      </w:tr>
      <w:tr>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1997</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IT Policy, Government of Tamil Nadu — one of India’s first state-level IT policies</w:t>
            </w:r>
          </w:p>
        </w:tc>
        <w:tc>
          <w:tcPr>
            <w:tcW w:type="dxa" w:w="1560"/>
            <w:shd w:fill="FFFFFF" w:val="clear"/>
            <w:tcMar>
              <w:top w:type="dxa" w:w="80"/>
              <w:left w:type="dxa" w:w="120"/>
              <w:bottom w:type="dxa" w:w="80"/>
              <w:right w:type="dxa" w:w="120"/>
            </w:tcMar>
          </w:tcPr>
          <w:p>
            <w:r>
              <w:rPr>
                <w:rFonts w:ascii="Arial" w:cs="Arial" w:eastAsia="Arial" w:hAnsi="Arial"/>
                <w:color w:val="222222"/>
                <w:sz w:val="18"/>
                <w:szCs w:val="18"/>
              </w:rPr>
              <w:t xml:space="preserve">CM Karunanidhi (Term 4)</w:t>
            </w:r>
          </w:p>
        </w:tc>
        <w:tc>
          <w:tcPr>
            <w:tcW w:type="dxa" w:w="4300"/>
            <w:shd w:fill="FFFFFF" w:val="clear"/>
            <w:tcMar>
              <w:top w:type="dxa" w:w="80"/>
              <w:left w:type="dxa" w:w="120"/>
              <w:bottom w:type="dxa" w:w="80"/>
              <w:right w:type="dxa" w:w="120"/>
            </w:tcMar>
          </w:tcPr>
          <w:p>
            <w:r>
              <w:rPr>
                <w:rFonts w:ascii="Arial" w:cs="Arial" w:eastAsia="Arial" w:hAnsi="Arial"/>
                <w:color w:val="222222"/>
                <w:sz w:val="18"/>
                <w:szCs w:val="18"/>
              </w:rPr>
              <w:t xml:space="preserve">Fiscal and regulatory framework for IT investment; direct precursor to TIDEL Park and OMR corridor</w:t>
            </w:r>
          </w:p>
        </w:tc>
      </w:tr>
      <w:tr>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2000</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TIDEL Park inaugurated, Old Mahabalipuram Road, Chennai</w:t>
            </w:r>
          </w:p>
        </w:tc>
        <w:tc>
          <w:tcPr>
            <w:tcW w:type="dxa" w:w="1560"/>
            <w:shd w:fill="F2F7FC" w:val="clear"/>
            <w:tcMar>
              <w:top w:type="dxa" w:w="80"/>
              <w:left w:type="dxa" w:w="120"/>
              <w:bottom w:type="dxa" w:w="80"/>
              <w:right w:type="dxa" w:w="120"/>
            </w:tcMar>
          </w:tcPr>
          <w:p>
            <w:r>
              <w:rPr>
                <w:rFonts w:ascii="Arial" w:cs="Arial" w:eastAsia="Arial" w:hAnsi="Arial"/>
                <w:color w:val="222222"/>
                <w:sz w:val="18"/>
                <w:szCs w:val="18"/>
              </w:rPr>
              <w:t xml:space="preserve">CM Karunanidhi (Term 4)</w:t>
            </w:r>
          </w:p>
        </w:tc>
        <w:tc>
          <w:tcPr>
            <w:tcW w:type="dxa" w:w="4300"/>
            <w:shd w:fill="F2F7FC" w:val="clear"/>
            <w:tcMar>
              <w:top w:type="dxa" w:w="80"/>
              <w:left w:type="dxa" w:w="120"/>
              <w:bottom w:type="dxa" w:w="80"/>
              <w:right w:type="dxa" w:w="120"/>
            </w:tcMar>
          </w:tcPr>
          <w:p>
            <w:r>
              <w:rPr>
                <w:rFonts w:ascii="Arial" w:cs="Arial" w:eastAsia="Arial" w:hAnsi="Arial"/>
                <w:color w:val="222222"/>
                <w:sz w:val="18"/>
                <w:szCs w:val="18"/>
              </w:rPr>
              <w:t xml:space="preserve">Largest IT park in Asia at opening; catalysed OMR corridor; established Chennai as India’s second IT city; foundation for GCC ecosystem</w:t>
            </w:r>
          </w:p>
        </w:tc>
      </w:tr>
      <w:tr>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2006–11</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Renault-Nissan MoU (2008); Oragadam plant operational (2010)</w:t>
            </w:r>
          </w:p>
        </w:tc>
        <w:tc>
          <w:tcPr>
            <w:tcW w:type="dxa" w:w="1560"/>
            <w:shd w:fill="FFFFFF" w:val="clear"/>
            <w:tcMar>
              <w:top w:type="dxa" w:w="80"/>
              <w:left w:type="dxa" w:w="120"/>
              <w:bottom w:type="dxa" w:w="80"/>
              <w:right w:type="dxa" w:w="120"/>
            </w:tcMar>
          </w:tcPr>
          <w:p>
            <w:r>
              <w:rPr>
                <w:rFonts w:ascii="Arial" w:cs="Arial" w:eastAsia="Arial" w:hAnsi="Arial"/>
                <w:color w:val="222222"/>
                <w:sz w:val="18"/>
                <w:szCs w:val="18"/>
              </w:rPr>
              <w:t xml:space="preserve">CM Karunanidhi (Term 5)</w:t>
            </w:r>
          </w:p>
        </w:tc>
        <w:tc>
          <w:tcPr>
            <w:tcW w:type="dxa" w:w="4300"/>
            <w:shd w:fill="FFFFFF" w:val="clear"/>
            <w:tcMar>
              <w:top w:type="dxa" w:w="80"/>
              <w:left w:type="dxa" w:w="120"/>
              <w:bottom w:type="dxa" w:w="80"/>
              <w:right w:type="dxa" w:w="120"/>
            </w:tcMar>
          </w:tcPr>
          <w:p>
            <w:r>
              <w:rPr>
                <w:rFonts w:ascii="Arial" w:cs="Arial" w:eastAsia="Arial" w:hAnsi="Arial"/>
                <w:color w:val="222222"/>
                <w:sz w:val="18"/>
                <w:szCs w:val="18"/>
              </w:rPr>
              <w:t xml:space="preserve">Second major automotive wave; Oragadam cluster attracted Daimler, Komatsu, 400+ firms; ₹2B+ investment in 30 km radius</w:t>
            </w:r>
          </w:p>
        </w:tc>
      </w:tr>
      <w:tr>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2006–11</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TIDEL Coimbatore; IT parks extended to Tier-2 cities</w:t>
            </w:r>
          </w:p>
        </w:tc>
        <w:tc>
          <w:tcPr>
            <w:tcW w:type="dxa" w:w="1560"/>
            <w:shd w:fill="F2F7FC" w:val="clear"/>
            <w:tcMar>
              <w:top w:type="dxa" w:w="80"/>
              <w:left w:type="dxa" w:w="120"/>
              <w:bottom w:type="dxa" w:w="80"/>
              <w:right w:type="dxa" w:w="120"/>
            </w:tcMar>
          </w:tcPr>
          <w:p>
            <w:r>
              <w:rPr>
                <w:rFonts w:ascii="Arial" w:cs="Arial" w:eastAsia="Arial" w:hAnsi="Arial"/>
                <w:color w:val="222222"/>
                <w:sz w:val="18"/>
                <w:szCs w:val="18"/>
              </w:rPr>
              <w:t xml:space="preserve">CM Karunanidhi (Term 5)</w:t>
            </w:r>
          </w:p>
        </w:tc>
        <w:tc>
          <w:tcPr>
            <w:tcW w:type="dxa" w:w="4300"/>
            <w:shd w:fill="F2F7FC" w:val="clear"/>
            <w:tcMar>
              <w:top w:type="dxa" w:w="80"/>
              <w:left w:type="dxa" w:w="120"/>
              <w:bottom w:type="dxa" w:w="80"/>
              <w:right w:type="dxa" w:w="120"/>
            </w:tcMar>
          </w:tcPr>
          <w:p>
            <w:r>
              <w:rPr>
                <w:rFonts w:ascii="Arial" w:cs="Arial" w:eastAsia="Arial" w:hAnsi="Arial"/>
                <w:color w:val="222222"/>
                <w:sz w:val="18"/>
                <w:szCs w:val="18"/>
              </w:rPr>
              <w:t xml:space="preserve">First deliberate IT decentralisation; precursor to TIDEL Neo programme under Stalin administration (2021–present)</w:t>
            </w:r>
          </w:p>
        </w:tc>
      </w:tr>
      <w:tr>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1997</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Tamil Nadu Engineering Admissions (TNEA): Single Window Counselling introduced</w:t>
            </w:r>
          </w:p>
        </w:tc>
        <w:tc>
          <w:tcPr>
            <w:tcW w:type="dxa" w:w="1560"/>
            <w:shd w:fill="FFFFFF" w:val="clear"/>
            <w:tcMar>
              <w:top w:type="dxa" w:w="80"/>
              <w:left w:type="dxa" w:w="120"/>
              <w:bottom w:type="dxa" w:w="80"/>
              <w:right w:type="dxa" w:w="120"/>
            </w:tcMar>
          </w:tcPr>
          <w:p>
            <w:r>
              <w:rPr>
                <w:rFonts w:ascii="Arial" w:cs="Arial" w:eastAsia="Arial" w:hAnsi="Arial"/>
                <w:color w:val="222222"/>
                <w:sz w:val="18"/>
                <w:szCs w:val="18"/>
              </w:rPr>
              <w:t xml:space="preserve">CM Karunanidhi (Term 4)</w:t>
            </w:r>
          </w:p>
        </w:tc>
        <w:tc>
          <w:tcPr>
            <w:tcW w:type="dxa" w:w="4300"/>
            <w:shd w:fill="FFFFFF" w:val="clear"/>
            <w:tcMar>
              <w:top w:type="dxa" w:w="80"/>
              <w:left w:type="dxa" w:w="120"/>
              <w:bottom w:type="dxa" w:w="80"/>
              <w:right w:type="dxa" w:w="120"/>
            </w:tcMar>
          </w:tcPr>
          <w:p>
            <w:r>
              <w:rPr>
                <w:rFonts w:ascii="Arial" w:cs="Arial" w:eastAsia="Arial" w:hAnsi="Arial"/>
                <w:color w:val="222222"/>
                <w:sz w:val="18"/>
                <w:szCs w:val="18"/>
              </w:rPr>
              <w:t xml:space="preserve">Centralised merit-based admissions; democratised access for first-generation, rural, and backward-community students; deepened engineering talent pipeline for automotive and IT sectors</w:t>
            </w:r>
          </w:p>
        </w:tc>
      </w:tr>
      <w:tr>
        <w:tc>
          <w:tcPr>
            <w:tcW w:type="dxa" w:w="700"/>
            <w:shd w:fill="F2F7FC" w:val="clear"/>
            <w:tcMar>
              <w:top w:type="dxa" w:w="80"/>
              <w:left w:type="dxa" w:w="120"/>
              <w:bottom w:type="dxa" w:w="80"/>
              <w:right w:type="dxa" w:w="120"/>
            </w:tcMar>
          </w:tcPr>
          <w:p>
            <w:r>
              <w:rPr>
                <w:rFonts w:ascii="Arial" w:cs="Arial" w:eastAsia="Arial" w:hAnsi="Arial"/>
                <w:color w:val="222222"/>
                <w:sz w:val="18"/>
                <w:szCs w:val="18"/>
              </w:rPr>
              <w:t xml:space="preserve">2006</w:t>
            </w:r>
          </w:p>
        </w:tc>
        <w:tc>
          <w:tcPr>
            <w:tcW w:type="dxa" w:w="2800"/>
            <w:shd w:fill="F2F7FC" w:val="clear"/>
            <w:tcMar>
              <w:top w:type="dxa" w:w="80"/>
              <w:left w:type="dxa" w:w="120"/>
              <w:bottom w:type="dxa" w:w="80"/>
              <w:right w:type="dxa" w:w="120"/>
            </w:tcMar>
          </w:tcPr>
          <w:p>
            <w:r>
              <w:rPr>
                <w:rFonts w:ascii="Arial" w:cs="Arial" w:eastAsia="Arial" w:hAnsi="Arial"/>
                <w:color w:val="222222"/>
                <w:sz w:val="18"/>
                <w:szCs w:val="18"/>
              </w:rPr>
              <w:t xml:space="preserve">Abolition of Engineering Entrance Examination; Class 12 marks as sole admission criterion via TNEA</w:t>
            </w:r>
          </w:p>
        </w:tc>
        <w:tc>
          <w:tcPr>
            <w:tcW w:type="dxa" w:w="1560"/>
            <w:shd w:fill="F2F7FC" w:val="clear"/>
            <w:tcMar>
              <w:top w:type="dxa" w:w="80"/>
              <w:left w:type="dxa" w:w="120"/>
              <w:bottom w:type="dxa" w:w="80"/>
              <w:right w:type="dxa" w:w="120"/>
            </w:tcMar>
          </w:tcPr>
          <w:p>
            <w:r>
              <w:rPr>
                <w:rFonts w:ascii="Arial" w:cs="Arial" w:eastAsia="Arial" w:hAnsi="Arial"/>
                <w:color w:val="222222"/>
                <w:sz w:val="18"/>
                <w:szCs w:val="18"/>
              </w:rPr>
              <w:t xml:space="preserve">CM Karunanidhi (Term 5)</w:t>
            </w:r>
          </w:p>
        </w:tc>
        <w:tc>
          <w:tcPr>
            <w:tcW w:type="dxa" w:w="4300"/>
            <w:shd w:fill="F2F7FC" w:val="clear"/>
            <w:tcMar>
              <w:top w:type="dxa" w:w="80"/>
              <w:left w:type="dxa" w:w="120"/>
              <w:bottom w:type="dxa" w:w="80"/>
              <w:right w:type="dxa" w:w="120"/>
            </w:tcMar>
          </w:tcPr>
          <w:p>
            <w:r>
              <w:rPr>
                <w:rFonts w:ascii="Arial" w:cs="Arial" w:eastAsia="Arial" w:hAnsi="Arial"/>
                <w:color w:val="222222"/>
                <w:sz w:val="18"/>
                <w:szCs w:val="18"/>
              </w:rPr>
              <w:t xml:space="preserve">Removed coaching-dependent barrier; widened socioeconomic base of engineering intake; expanded available talent pool for electronics manufacturing, IT services, and GCCs</w:t>
            </w:r>
          </w:p>
        </w:tc>
      </w:tr>
      <w:tr>
        <w:tc>
          <w:tcPr>
            <w:tcW w:type="dxa" w:w="700"/>
            <w:shd w:fill="FFFFFF" w:val="clear"/>
            <w:tcMar>
              <w:top w:type="dxa" w:w="80"/>
              <w:left w:type="dxa" w:w="120"/>
              <w:bottom w:type="dxa" w:w="80"/>
              <w:right w:type="dxa" w:w="120"/>
            </w:tcMar>
          </w:tcPr>
          <w:p>
            <w:r>
              <w:rPr>
                <w:rFonts w:ascii="Arial" w:cs="Arial" w:eastAsia="Arial" w:hAnsi="Arial"/>
                <w:color w:val="222222"/>
                <w:sz w:val="18"/>
                <w:szCs w:val="18"/>
              </w:rPr>
              <w:t xml:space="preserve">2006–11</w:t>
            </w:r>
          </w:p>
        </w:tc>
        <w:tc>
          <w:tcPr>
            <w:tcW w:type="dxa" w:w="2800"/>
            <w:shd w:fill="FFFFFF" w:val="clear"/>
            <w:tcMar>
              <w:top w:type="dxa" w:w="80"/>
              <w:left w:type="dxa" w:w="120"/>
              <w:bottom w:type="dxa" w:w="80"/>
              <w:right w:type="dxa" w:w="120"/>
            </w:tcMar>
          </w:tcPr>
          <w:p>
            <w:r>
              <w:rPr>
                <w:rFonts w:ascii="Arial" w:cs="Arial" w:eastAsia="Arial" w:hAnsi="Arial"/>
                <w:color w:val="222222"/>
                <w:sz w:val="18"/>
                <w:szCs w:val="18"/>
              </w:rPr>
              <w:t xml:space="preserve">Expansion of first-generation graduate educational support and scholarship architecture</w:t>
            </w:r>
          </w:p>
        </w:tc>
        <w:tc>
          <w:tcPr>
            <w:tcW w:type="dxa" w:w="1560"/>
            <w:shd w:fill="FFFFFF" w:val="clear"/>
            <w:tcMar>
              <w:top w:type="dxa" w:w="80"/>
              <w:left w:type="dxa" w:w="120"/>
              <w:bottom w:type="dxa" w:w="80"/>
              <w:right w:type="dxa" w:w="120"/>
            </w:tcMar>
          </w:tcPr>
          <w:p>
            <w:r>
              <w:rPr>
                <w:rFonts w:ascii="Arial" w:cs="Arial" w:eastAsia="Arial" w:hAnsi="Arial"/>
                <w:color w:val="222222"/>
                <w:sz w:val="18"/>
                <w:szCs w:val="18"/>
              </w:rPr>
              <w:t xml:space="preserve">CM Karunanidhi (Term 5)</w:t>
            </w:r>
          </w:p>
        </w:tc>
        <w:tc>
          <w:tcPr>
            <w:tcW w:type="dxa" w:w="4300"/>
            <w:shd w:fill="FFFFFF" w:val="clear"/>
            <w:tcMar>
              <w:top w:type="dxa" w:w="80"/>
              <w:left w:type="dxa" w:w="120"/>
              <w:bottom w:type="dxa" w:w="80"/>
              <w:right w:type="dxa" w:w="120"/>
            </w:tcMar>
          </w:tcPr>
          <w:p>
            <w:r>
              <w:rPr>
                <w:rFonts w:ascii="Arial" w:cs="Arial" w:eastAsia="Arial" w:hAnsi="Arial"/>
                <w:color w:val="222222"/>
                <w:sz w:val="18"/>
                <w:szCs w:val="18"/>
              </w:rPr>
              <w:t xml:space="preserve">Reduced financial barriers to completion of technical degrees; increased participation of first-generation students in engineering and technical programmes; broadened district-level talent supply</w:t>
            </w:r>
          </w:p>
        </w:tc>
      </w:tr>
    </w:tbl>
    <w:p>
      <w:pPr>
        <w:spacing w:after="40" w:before="40"/>
      </w:pPr>
      <w:r>
        <w:rPr>
          <w:rFonts w:ascii="Arial" w:cs="Arial" w:eastAsia="Arial" w:hAnsi="Arial"/>
          <w:sz w:val="20"/>
          <w:szCs w:val="20"/>
        </w:rPr>
        <w:t xml:space="preserve"/>
      </w:r>
    </w:p>
    <w:p>
      <w:pPr>
        <w:spacing w:after="60" w:before="40"/>
        <w:jc w:val="both"/>
      </w:pPr>
      <w:r>
        <w:rPr>
          <w:rFonts w:ascii="Arial" w:cs="Arial" w:eastAsia="Arial" w:hAnsi="Arial"/>
          <w:i/>
          <w:color w:val="444444"/>
          <w:sz w:val="17"/>
          <w:szCs w:val="17"/>
        </w:rPr>
        <w:t xml:space="preserve">Note: The 1978 DIC network was established under the national Janata Party government but implemented and operationalised within Tamil Nadu under the state’s existing industrial promotion framework. Dates for SIPCOT and SIDCO follow official founding records. TIDCO (1965) predates DMK rule and is credited to the Congress-era Bhaktavatsalam administration; its expansion and joint-venture mandate were substantially developed under subsequent DMK administrations.</w:t>
      </w:r>
    </w:p>
    <w:p>
      <w:r>
        <w:br w:type="page"/>
      </w:r>
    </w:p>
    <w:p>
      <w:pPr>
        <w:pStyle w:val="Heading1"/>
        <w:spacing w:after="160" w:before="360"/>
      </w:pPr>
      <w:r>
        <w:rPr>
          <w:rFonts w:ascii="Arial" w:cs="Arial" w:eastAsia="Arial" w:hAnsi="Arial"/>
          <w:b/>
          <w:bCs/>
          <w:color w:val="1F3864"/>
          <w:sz w:val="28"/>
          <w:szCs w:val="28"/>
        </w:rPr>
        <w:t xml:space="preserve">References</w:t>
      </w:r>
    </w:p>
    <w:p>
      <w:pPr>
        <w:spacing w:after="80" w:before="80"/>
        <w:ind w:left="440" w:hanging="440"/>
      </w:pPr>
      <w:r>
        <w:rPr>
          <w:rFonts w:ascii="Arial" w:cs="Arial" w:eastAsia="Arial" w:hAnsi="Arial"/>
          <w:color w:val="333333"/>
          <w:sz w:val="18"/>
          <w:szCs w:val="18"/>
        </w:rPr>
        <w:t xml:space="preserve">Kalaiyarasan A. (2020). Structural Change in Tamil Nadu, 1980–2010: Limits of Subnational Development. MIDS Working Paper No. 239. Madras Institute of Development Studies, Chennai.</w:t>
      </w:r>
    </w:p>
    <w:p>
      <w:pPr>
        <w:spacing w:after="80" w:before="80"/>
        <w:ind w:left="440" w:hanging="440"/>
      </w:pPr>
      <w:r>
        <w:rPr>
          <w:rFonts w:ascii="Arial" w:cs="Arial" w:eastAsia="Arial" w:hAnsi="Arial"/>
          <w:color w:val="333333"/>
          <w:sz w:val="18"/>
          <w:szCs w:val="18"/>
        </w:rPr>
        <w:t xml:space="preserve">Yoganandham, G. (2025). An Analysis of the Industrial Development of Tamil Nadu (1947–2025) with Reference to Achievements, Challenges, and Strategic Outlook for Sustainable Growth. Journal for Basic Sciences, 25(10), 270–344.</w:t>
      </w:r>
    </w:p>
    <w:p>
      <w:pPr>
        <w:spacing w:after="80" w:before="80"/>
        <w:ind w:left="440" w:hanging="440"/>
      </w:pPr>
      <w:r>
        <w:rPr>
          <w:rFonts w:ascii="Arial" w:cs="Arial" w:eastAsia="Arial" w:hAnsi="Arial"/>
          <w:color w:val="333333"/>
          <w:sz w:val="18"/>
          <w:szCs w:val="18"/>
        </w:rPr>
        <w:t xml:space="preserve">Tamil Nadu Legislative Assembly Records (1989). Tamil Nadu Industrial Policy (Annexure III), April 21, 1989. [Historical-Industrial Analysis Report].</w:t>
      </w:r>
    </w:p>
    <w:p>
      <w:pPr>
        <w:spacing w:after="80" w:before="80"/>
        <w:ind w:left="440" w:hanging="440"/>
      </w:pPr>
      <w:r>
        <w:rPr>
          <w:rFonts w:ascii="Arial" w:cs="Arial" w:eastAsia="Arial" w:hAnsi="Arial"/>
          <w:color w:val="333333"/>
          <w:sz w:val="18"/>
          <w:szCs w:val="18"/>
        </w:rPr>
        <w:t xml:space="preserve">Ahluwalia, M.S. (2002). Economic Reforms in India Since 1991: Has Gradualism Worked? Journal of Economic Perspectives.</w:t>
      </w:r>
    </w:p>
    <w:p>
      <w:pPr>
        <w:spacing w:after="80" w:before="80"/>
        <w:ind w:left="440" w:hanging="440"/>
      </w:pPr>
      <w:r>
        <w:rPr>
          <w:rFonts w:ascii="Arial" w:cs="Arial" w:eastAsia="Arial" w:hAnsi="Arial"/>
          <w:color w:val="333333"/>
          <w:sz w:val="18"/>
          <w:szCs w:val="18"/>
        </w:rPr>
        <w:t xml:space="preserve">Drèze, J. &amp; Khera, R. (2013). Rural Poverty and the Public Distribution System. Economic and Political Weekly.</w:t>
      </w:r>
    </w:p>
    <w:p>
      <w:pPr>
        <w:spacing w:after="80" w:before="80"/>
        <w:ind w:left="440" w:hanging="440"/>
      </w:pPr>
      <w:r>
        <w:rPr>
          <w:rFonts w:ascii="Arial" w:cs="Arial" w:eastAsia="Arial" w:hAnsi="Arial"/>
          <w:color w:val="333333"/>
          <w:sz w:val="18"/>
          <w:szCs w:val="18"/>
        </w:rPr>
        <w:t xml:space="preserve">Government of Tamil Nadu (2023). Industrial Policy Document. Tamil Nadu Department of Industries.</w:t>
      </w:r>
    </w:p>
    <w:p>
      <w:pPr>
        <w:spacing w:after="80" w:before="80"/>
        <w:ind w:left="440" w:hanging="440"/>
      </w:pPr>
      <w:r>
        <w:rPr>
          <w:rFonts w:ascii="Arial" w:cs="Arial" w:eastAsia="Arial" w:hAnsi="Arial"/>
          <w:color w:val="333333"/>
          <w:sz w:val="18"/>
          <w:szCs w:val="18"/>
        </w:rPr>
        <w:t xml:space="preserve">Government of Tamil Nadu (2024). Tamil Nadu Economic Appraisal. Department of Economics and Statistics.</w:t>
      </w:r>
    </w:p>
    <w:p>
      <w:pPr>
        <w:spacing w:after="80" w:before="80"/>
        <w:ind w:left="440" w:hanging="440"/>
      </w:pPr>
      <w:r>
        <w:rPr>
          <w:rFonts w:ascii="Arial" w:cs="Arial" w:eastAsia="Arial" w:hAnsi="Arial"/>
          <w:color w:val="333333"/>
          <w:sz w:val="18"/>
          <w:szCs w:val="18"/>
        </w:rPr>
        <w:t xml:space="preserve">Guhan, S. (1989). Industrial Policy and Regional Development: The Case of Tamil Nadu. Economic and Political Weekly, 24(10), 529–540.</w:t>
      </w:r>
    </w:p>
    <w:p>
      <w:pPr>
        <w:spacing w:after="80" w:before="80"/>
        <w:ind w:left="440" w:hanging="440"/>
      </w:pPr>
      <w:r>
        <w:rPr>
          <w:rFonts w:ascii="Arial" w:cs="Arial" w:eastAsia="Arial" w:hAnsi="Arial"/>
          <w:color w:val="333333"/>
          <w:sz w:val="18"/>
          <w:szCs w:val="18"/>
        </w:rPr>
        <w:t xml:space="preserve">NASSCOM (2025). IT Export and Employment Report.</w:t>
      </w:r>
    </w:p>
    <w:p>
      <w:pPr>
        <w:spacing w:after="80" w:before="80"/>
        <w:ind w:left="440" w:hanging="440"/>
      </w:pPr>
      <w:r>
        <w:rPr>
          <w:rFonts w:ascii="Arial" w:cs="Arial" w:eastAsia="Arial" w:hAnsi="Arial"/>
          <w:color w:val="333333"/>
          <w:sz w:val="18"/>
          <w:szCs w:val="18"/>
        </w:rPr>
        <w:t xml:space="preserve">Nagaraj, R. (2013). Economic Growth and Regional Disparities in India. Economic and Political Weekly, 48(4), 45–52.</w:t>
      </w:r>
    </w:p>
    <w:p>
      <w:pPr>
        <w:spacing w:after="80" w:before="80"/>
        <w:ind w:left="440" w:hanging="440"/>
      </w:pPr>
      <w:r>
        <w:rPr>
          <w:rFonts w:ascii="Arial" w:cs="Arial" w:eastAsia="Arial" w:hAnsi="Arial"/>
          <w:color w:val="333333"/>
          <w:sz w:val="18"/>
          <w:szCs w:val="18"/>
        </w:rPr>
        <w:t xml:space="preserve">NITI Aayog (2023). State Statistics and Development Indicators.</w:t>
      </w:r>
    </w:p>
    <w:p>
      <w:pPr>
        <w:spacing w:after="80" w:before="80"/>
        <w:ind w:left="440" w:hanging="440"/>
      </w:pPr>
      <w:r>
        <w:rPr>
          <w:rFonts w:ascii="Arial" w:cs="Arial" w:eastAsia="Arial" w:hAnsi="Arial"/>
          <w:color w:val="333333"/>
          <w:sz w:val="18"/>
          <w:szCs w:val="18"/>
        </w:rPr>
        <w:t xml:space="preserve">Rajagopalan, R. (2018). Industrial Policy and Regional Development in Tamil Nadu. Journal of Indian Economics, 63(2), 123–145.</w:t>
      </w:r>
    </w:p>
    <w:p>
      <w:pPr>
        <w:spacing w:after="80" w:before="80"/>
        <w:ind w:left="440" w:hanging="440"/>
      </w:pPr>
      <w:r>
        <w:rPr>
          <w:rFonts w:ascii="Arial" w:cs="Arial" w:eastAsia="Arial" w:hAnsi="Arial"/>
          <w:color w:val="333333"/>
          <w:sz w:val="18"/>
          <w:szCs w:val="18"/>
        </w:rPr>
        <w:t xml:space="preserve">Tamil Nadu MSME Policy Note (2022–23, 2023–24). MSME Department, Government of Tamil Nadu.</w:t>
      </w:r>
    </w:p>
    <w:p>
      <w:pPr>
        <w:spacing w:after="80" w:before="80"/>
        <w:ind w:left="440" w:hanging="440"/>
      </w:pPr>
      <w:r>
        <w:rPr>
          <w:rFonts w:ascii="Arial" w:cs="Arial" w:eastAsia="Arial" w:hAnsi="Arial"/>
          <w:color w:val="333333"/>
          <w:sz w:val="18"/>
          <w:szCs w:val="18"/>
        </w:rPr>
        <w:t xml:space="preserve">Tiruppur Exporters Association (TEA) (2024). Knitwear Export Data.</w:t>
      </w:r>
    </w:p>
    <w:p>
      <w:pPr>
        <w:spacing w:after="80" w:before="80"/>
        <w:ind w:left="440" w:hanging="440"/>
      </w:pPr>
      <w:r>
        <w:rPr>
          <w:rFonts w:ascii="Arial" w:cs="Arial" w:eastAsia="Arial" w:hAnsi="Arial"/>
          <w:color w:val="333333"/>
          <w:sz w:val="18"/>
          <w:szCs w:val="18"/>
        </w:rPr>
        <w:t xml:space="preserve">TIDCO Annual Report (2024). Tamil Nadu Industrial Development Corporation.</w:t>
      </w:r>
    </w:p>
    <w:p>
      <w:pPr>
        <w:spacing w:after="80" w:before="80"/>
        <w:ind w:left="440" w:hanging="440"/>
      </w:pPr>
      <w:r>
        <w:rPr>
          <w:rFonts w:ascii="Arial" w:cs="Arial" w:eastAsia="Arial" w:hAnsi="Arial"/>
          <w:color w:val="333333"/>
          <w:sz w:val="18"/>
          <w:szCs w:val="18"/>
        </w:rPr>
        <w:t xml:space="preserve">Vijayabaskar, M. (2011). Saving the small from the big? Implications of Tiruppur cluster trajectory. In K. Ravi Raman (Ed.), Development, Democracy and the State.</w:t>
      </w:r>
    </w:p>
    <w:p>
      <w:pPr>
        <w:spacing w:after="80" w:before="80"/>
        <w:ind w:left="440" w:hanging="440"/>
      </w:pPr>
      <w:r>
        <w:rPr>
          <w:rFonts w:ascii="Arial" w:cs="Arial" w:eastAsia="Arial" w:hAnsi="Arial"/>
          <w:color w:val="333333"/>
          <w:sz w:val="18"/>
          <w:szCs w:val="18"/>
        </w:rPr>
        <w:t xml:space="preserve">Tony Blair Institute for Global Change. (2020). Inclusive Growth in Tamil Nadu: The Role of Political Leadership and Governance. [Policy research report]. </w:t>
      </w:r>
      <w:hyperlink r:id="rId20" w:history="1">
        <w:r>
          <w:rPr>
            <w:rStyle w:val="Hyperlink"/>
            <w:rFonts w:ascii="Arial" w:cs="Arial" w:eastAsia="Arial" w:hAnsi="Arial"/>
            <w:sz w:val="18"/>
            <w:szCs w:val="18"/>
          </w:rPr>
          <w:t xml:space="preserve">https://institute.global/insights/politics-and-governance/inclusive-growth-tamil-nadu-role-political-leadership-and-governance</w:t>
        </w:r>
      </w:hyperlink>
    </w:p>
    <w:p>
      <w:pPr>
        <w:spacing w:after="80" w:before="80"/>
        <w:ind w:left="440" w:hanging="440"/>
      </w:pPr>
      <w:r>
        <w:rPr>
          <w:rFonts w:ascii="Arial" w:cs="Arial" w:eastAsia="Arial" w:hAnsi="Arial"/>
          <w:color w:val="333333"/>
          <w:sz w:val="18"/>
          <w:szCs w:val="18"/>
        </w:rPr>
        <w:t xml:space="preserve">Sambandam, S. (2024). Understanding Karunanidhi’s Role in Tamil Nadu’s Economic Transformation. The News Minute, Voices. </w:t>
      </w:r>
      <w:hyperlink r:id="rId21" w:history="1">
        <w:r>
          <w:rPr>
            <w:rStyle w:val="Hyperlink"/>
            <w:rFonts w:ascii="Arial" w:cs="Arial" w:eastAsia="Arial" w:hAnsi="Arial"/>
            <w:sz w:val="18"/>
            <w:szCs w:val="18"/>
          </w:rPr>
          <w:t xml:space="preserve">https://www.thenewsminute.com/voices/understanding-karunanidhis-role-in-tamil-nadus-economic-transformation</w:t>
        </w:r>
      </w:hyperlink>
    </w:p>
    <w:p>
      <w:pPr>
        <w:spacing w:after="80" w:before="80"/>
        <w:ind w:left="440" w:hanging="440"/>
      </w:pPr>
      <w:r>
        <w:rPr>
          <w:rFonts w:ascii="Arial" w:cs="Arial" w:eastAsia="Arial" w:hAnsi="Arial"/>
          <w:color w:val="333333"/>
          <w:sz w:val="18"/>
          <w:szCs w:val="18"/>
        </w:rPr>
        <w:t xml:space="preserve">Shin, S. (2016). Land Management and Industrial Development in Tamil Nadu. Institute of Asian Studies Working Paper. National University of Singapore: Institute of South Asian Studies. [Available at: https://www.isas.nus.edu.sg/papers/233-land-management-and-industrial-development-in-tamil-nadu1/]</w:t>
      </w:r>
    </w:p>
    <w:p>
      <w:pPr>
        <w:spacing w:after="80" w:before="80"/>
        <w:ind w:left="440" w:hanging="440"/>
      </w:pPr>
      <w:r>
        <w:rPr>
          <w:rFonts w:ascii="Arial" w:cs="Arial" w:eastAsia="Arial" w:hAnsi="Arial"/>
          <w:color w:val="333333"/>
          <w:sz w:val="18"/>
          <w:szCs w:val="18"/>
        </w:rPr>
        <w:t xml:space="preserve">Ravindranath, S. (2016). Surge: Tamil Nadu’s Growth Story. Chennai: Westland. [Key source for TIDCO facilitation history, Ford and TCS investment narratives, and institutional investment promotion practice.]</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jc w:val="right"/>
    </w:pPr>
    <w:r>
      <w:rPr>
        <w:rFonts w:ascii="Arial" w:cs="Arial" w:eastAsia="Arial" w:hAnsi="Arial"/>
        <w:color w:val="888888"/>
        <w:sz w:val="16"/>
        <w:szCs w:val="16"/>
      </w:rPr>
      <w:t xml:space="preserve">Tamil Nadu Industrial Development: Comprehensive Assessment  |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20" Type="http://schemas.openxmlformats.org/officeDocument/2006/relationships/hyperlink" Target="https://institute.global/insights/politics-and-governance/inclusive-growth-tamil-nadu-role-political-leadership-and-governance" TargetMode="External"/><Relationship Id="rId21" Type="http://schemas.openxmlformats.org/officeDocument/2006/relationships/hyperlink" Target="https://www.thenewsminute.com/voices/understanding-karunanidhis-role-in-tamil-nadus-economic-transformation"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2026-06-09T01:16:19.918Z</dcterms:created>
  <dcterms:modified xsi:type="dcterms:W3CDTF">2026-06-09T01:16:19.929Z</dcterms:modified>
</cp:coreProperties>
</file>

<file path=docProps/custom.xml><?xml version="1.0" encoding="utf-8"?>
<Properties xmlns="http://schemas.openxmlformats.org/officeDocument/2006/custom-properties" xmlns:vt="http://schemas.openxmlformats.org/officeDocument/2006/docPropsVTypes"/>
</file>