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48"/>
          <w:szCs w:val="48"/>
        </w:rPr>
        <w:t xml:space="preserve">HISTORICAL-INDUSTRIAL ANALYSIS REPORT</w:t>
      </w:r>
    </w:p>
    <w:p>
      <w:pPr>
        <w:spacing w:after="200" w:before="0"/>
        <w:jc w:val="center"/>
      </w:pPr>
      <w:r>
        <w:rPr>
          <w:rFonts w:ascii="Arial" w:cs="Arial" w:eastAsia="Arial" w:hAnsi="Arial"/>
          <w:b/>
          <w:bCs/>
          <w:color w:val="2E5090"/>
          <w:sz w:val="36"/>
          <w:szCs w:val="36"/>
        </w:rPr>
        <w:t xml:space="preserve">Tamil Nadu Industrial Policy (1989)</w:t>
      </w:r>
    </w:p>
    <w:p>
      <w:pPr>
        <w:spacing w:after="600" w:before="0"/>
        <w:jc w:val="center"/>
      </w:pPr>
      <w:r>
        <w:rPr>
          <w:rFonts w:ascii="Arial" w:cs="Arial" w:eastAsia="Arial" w:hAnsi="Arial"/>
          <w:i/>
          <w:iCs/>
          <w:color w:val="555555"/>
          <w:sz w:val="24"/>
          <w:szCs w:val="24"/>
        </w:rPr>
        <w:t xml:space="preserve">Small Industries, Village Industries, Cooperatives &amp; Institutional Architecture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Label</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Source</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Tamil Nadu Legislative Assembly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April 21, 1989</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Government</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DMK (Second Term)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Chief Minister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 Karunanidhi (Kalaignar)</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Classification</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Industrial Policy Statement - Annexure III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Report 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Historical-Industrial Analysis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Prepared for</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Policy Makers &amp; Planners</w:t>
            </w:r>
          </w:p>
        </w:tc>
      </w:tr>
    </w:tbl>
    <w:p>
      <w:pPr>
        <w:spacing w:after="0" w:before="800"/>
      </w:pPr>
      <w:r>
        <w:t xml:space="preserve"/>
      </w:r>
    </w:p>
    <w:p>
      <w:r>
        <w:br w:type="page"/>
      </w:r>
    </w:p>
    <w:p>
      <w:pPr>
        <w:pStyle w:val="Heading1"/>
        <w:pBdr>
          <w:bottom w:val="single" w:color="1F3864" w:sz="6" w:space="1"/>
        </w:pBdr>
        <w:spacing w:after="160" w:before="400"/>
      </w:pPr>
      <w:r>
        <w:rPr>
          <w:rFonts w:ascii="Arial" w:cs="Arial" w:eastAsia="Arial" w:hAnsi="Arial"/>
          <w:b/>
          <w:bCs/>
          <w:color w:val="1F3864"/>
          <w:sz w:val="32"/>
          <w:szCs w:val="32"/>
        </w:rPr>
        <w:t xml:space="preserve">1. Executive Summary</w:t>
      </w:r>
    </w:p>
    <w:p>
      <w:pPr>
        <w:spacing w:after="80" w:before="80"/>
        <w:jc w:val="both"/>
      </w:pPr>
      <w:r>
        <w:rPr>
          <w:rFonts w:ascii="Arial" w:cs="Arial" w:eastAsia="Arial" w:hAnsi="Arial"/>
          <w:sz w:val="22"/>
          <w:szCs w:val="22"/>
        </w:rPr>
        <w:t xml:space="preserve">When the DMK government returned to power in 1989 under Chief Minister M. Karunanidhi, Tamil Nadu's industrial sector had been largely stagnant since 1977. The new administration moved with remarkable speed: within a month of taking office, the government convened consultations with entrepreneurs and industrialists, formulated a comprehensive industrial policy, and presented it to the Legislative Assembly on April 21, 1989.</w:t>
      </w:r>
    </w:p>
    <w:p>
      <w:pPr>
        <w:spacing w:after="0" w:before="120"/>
      </w:pPr>
      <w:r>
        <w:t xml:space="preserve"/>
      </w:r>
    </w:p>
    <w:p>
      <w:pPr>
        <w:spacing w:after="80" w:before="80"/>
        <w:jc w:val="both"/>
      </w:pPr>
      <w:r>
        <w:rPr>
          <w:rFonts w:ascii="Arial" w:cs="Arial" w:eastAsia="Arial" w:hAnsi="Arial"/>
          <w:sz w:val="22"/>
          <w:szCs w:val="22"/>
        </w:rPr>
        <w:t xml:space="preserve">This report analyses that policy document — presented as Annexure III to the Assembly — and situates it within Tamil Nadu's broader industrial trajectory. The 1989 policy is significant not merely as a catalogue of schemes, but as a state-capacity-building exercise that created the institutional foundations Tamil Nadu would draw upon when economic liberalisation arrived in 1991.</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EFF9"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Central Argument</w:t>
            </w:r>
          </w:p>
          <w:p>
            <w:pPr>
              <w:spacing w:after="0" w:before="0"/>
              <w:jc w:val="both"/>
            </w:pPr>
            <w:r>
              <w:rPr>
                <w:rFonts w:ascii="Arial" w:cs="Arial" w:eastAsia="Arial" w:hAnsi="Arial"/>
                <w:sz w:val="22"/>
                <w:szCs w:val="22"/>
              </w:rPr>
              <w:t xml:space="preserve">The 1989 Industrial Policy was not a liberalisation-era investment promotion policy. It was a state-capacity-building policy. By strengthening institutions — DICs, SIDCO, TIIC, cooperatives, and sector-specific support agencies — it created the industrial ecosystem that allowed Tamil Nadu to emerge as one of India's most industrialised states after 1991.</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Metric / Provision</w:t>
            </w:r>
          </w:p>
        </w:tc>
      </w:tr>
      <w:tr>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Policy formulation speed</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Within 1 month of government formation</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Permanent SSI registrations (1987-88)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11,070 (vs. target of 11,000)</w:t>
            </w:r>
          </w:p>
        </w:tc>
      </w:tr>
      <w:tr>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Bank credit facilitated (1978-88)</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Rs. 66 Crore to ~29,000 small industries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Loan ceiling (TIIC)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Up to Rs. 60 Lakh (term loans for fixed assets)</w:t>
            </w:r>
          </w:p>
        </w:tc>
      </w:tr>
      <w:tr>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Power tariff concession</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30% / 30% / 10% over first 3 production years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Sales tax loan (interest-free)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Up to Rs. 7.5 Lakh over 6 years</w:t>
            </w:r>
          </w:p>
        </w:tc>
      </w:tr>
      <w:tr>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Special subsidy for priority sectors</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10% additional capital subsidy</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SIDCO sheds constructed (1988-89)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325 factory sheds</w:t>
            </w:r>
          </w:p>
        </w:tc>
      </w:tr>
      <w:tr>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Japan ODA loan secured</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3,198 million yen (Rs. 27.57 Crore)</w:t>
            </w:r>
          </w:p>
        </w:tc>
      </w:tr>
    </w:tbl>
    <w:p>
      <w:pPr>
        <w:spacing w:after="0" w:before="200"/>
      </w:pPr>
      <w:r>
        <w:t xml:space="preserve"/>
      </w:r>
    </w:p>
    <w:p>
      <w:r>
        <w:br w:type="page"/>
      </w:r>
    </w:p>
    <w:p>
      <w:pPr>
        <w:pStyle w:val="Heading1"/>
        <w:pBdr>
          <w:bottom w:val="single" w:color="1F3864" w:sz="6" w:space="1"/>
        </w:pBdr>
        <w:spacing w:after="160" w:before="400"/>
      </w:pPr>
      <w:r>
        <w:rPr>
          <w:rFonts w:ascii="Arial" w:cs="Arial" w:eastAsia="Arial" w:hAnsi="Arial"/>
          <w:b/>
          <w:bCs/>
          <w:color w:val="1F3864"/>
          <w:sz w:val="32"/>
          <w:szCs w:val="32"/>
        </w:rPr>
        <w:t xml:space="preserve">2. Why This Policy Matters — Historical Significance</w:t>
      </w:r>
    </w:p>
    <w:p>
      <w:pPr>
        <w:spacing w:after="80" w:before="80"/>
        <w:jc w:val="both"/>
      </w:pPr>
      <w:r>
        <w:rPr>
          <w:rFonts w:ascii="Arial" w:cs="Arial" w:eastAsia="Arial" w:hAnsi="Arial"/>
          <w:sz w:val="22"/>
          <w:szCs w:val="22"/>
        </w:rPr>
        <w:t xml:space="preserve">The 1989 Tamil Nadu Industrial Policy deserves attention beyond its immediate operational details. It occupies a distinctive place in the state's industrial history for several interconnected reasons.</w:t>
      </w:r>
    </w:p>
    <w:p>
      <w:pPr>
        <w:spacing w:after="0" w:before="100"/>
      </w:pPr>
      <w:r>
        <w:t xml:space="preserve"/>
      </w:r>
    </w:p>
    <w:p>
      <w:pPr>
        <w:pStyle w:val="Heading2"/>
        <w:spacing w:after="120" w:before="280"/>
      </w:pPr>
      <w:r>
        <w:rPr>
          <w:rFonts w:ascii="Arial" w:cs="Arial" w:eastAsia="Arial" w:hAnsi="Arial"/>
          <w:b/>
          <w:bCs/>
          <w:color w:val="2E5090"/>
          <w:sz w:val="26"/>
          <w:szCs w:val="26"/>
        </w:rPr>
        <w:t xml:space="preserve">2.1 The Last Major Policy Before Liberalisation</w:t>
      </w:r>
    </w:p>
    <w:p>
      <w:pPr>
        <w:spacing w:after="80" w:before="80"/>
        <w:jc w:val="both"/>
      </w:pPr>
      <w:r>
        <w:rPr>
          <w:rFonts w:ascii="Arial" w:cs="Arial" w:eastAsia="Arial" w:hAnsi="Arial"/>
          <w:sz w:val="22"/>
          <w:szCs w:val="22"/>
        </w:rPr>
        <w:t xml:space="preserve">The 1989 policy was the last comprehensive industrial policy Tamil Nadu formulated before the 1991 Union Budget and the consequent dismantling of the License Raj. It was therefore conceived, designed, and implemented entirely within a controlled-economy framework — where the state government's role was to be the primary promoter, financier, and infrastructure provider for industrial development. Understanding this policy is essential to understanding what the state brought to the table when liberalisation arrived.</w:t>
      </w:r>
    </w:p>
    <w:p>
      <w:pPr>
        <w:spacing w:after="0" w:before="120"/>
      </w:pPr>
      <w:r>
        <w:t xml:space="preserve"/>
      </w:r>
    </w:p>
    <w:p>
      <w:pPr>
        <w:pStyle w:val="Heading2"/>
        <w:spacing w:after="120" w:before="280"/>
      </w:pPr>
      <w:r>
        <w:rPr>
          <w:rFonts w:ascii="Arial" w:cs="Arial" w:eastAsia="Arial" w:hAnsi="Arial"/>
          <w:b/>
          <w:bCs/>
          <w:color w:val="2E5090"/>
          <w:sz w:val="26"/>
          <w:szCs w:val="26"/>
        </w:rPr>
        <w:t xml:space="preserve">2.2 Speed as a Governance Signal</w:t>
      </w:r>
    </w:p>
    <w:p>
      <w:pPr>
        <w:spacing w:after="80" w:before="80"/>
        <w:jc w:val="both"/>
      </w:pPr>
      <w:r>
        <w:rPr>
          <w:rFonts w:ascii="Arial" w:cs="Arial" w:eastAsia="Arial" w:hAnsi="Arial"/>
          <w:sz w:val="22"/>
          <w:szCs w:val="22"/>
        </w:rPr>
        <w:t xml:space="preserve">The policy was formulated within weeks of the DMK assuming office. This was not administrative routine. It was a deliberate signal — to the investment community, to entrepreneurs, and to the public — that the new government regarded industrial development as an immediate priority. In an era before investment summits and global roadshows, the speed of policy formulation was itself an instrument of industrial promotion.</w:t>
      </w:r>
    </w:p>
    <w:p>
      <w:pPr>
        <w:spacing w:after="0" w:before="120"/>
      </w:pPr>
      <w:r>
        <w:t xml:space="preserve"/>
      </w:r>
    </w:p>
    <w:p>
      <w:pPr>
        <w:pStyle w:val="Heading2"/>
        <w:spacing w:after="120" w:before="280"/>
      </w:pPr>
      <w:r>
        <w:rPr>
          <w:rFonts w:ascii="Arial" w:cs="Arial" w:eastAsia="Arial" w:hAnsi="Arial"/>
          <w:b/>
          <w:bCs/>
          <w:color w:val="2E5090"/>
          <w:sz w:val="26"/>
          <w:szCs w:val="26"/>
        </w:rPr>
        <w:t xml:space="preserve">2.3 First Comprehensive Integration of Five Pillars</w:t>
      </w:r>
    </w:p>
    <w:p>
      <w:pPr>
        <w:spacing w:after="80" w:before="80"/>
        <w:jc w:val="both"/>
      </w:pPr>
      <w:r>
        <w:rPr>
          <w:rFonts w:ascii="Arial" w:cs="Arial" w:eastAsia="Arial" w:hAnsi="Arial"/>
          <w:sz w:val="22"/>
          <w:szCs w:val="22"/>
        </w:rPr>
        <w:t xml:space="preserve">The 1989 policy achieved something that earlier Tamil Nadu industrial documents had not done with equal comprehensiveness: the simultaneous integration of five distinct pillars into a unified framework.</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Infrastructure: SIDCO's estate development programme, factory sheds, and the Japan ODA hi-tech cluster initiative</w:t>
      </w:r>
    </w:p>
    <w:p>
      <w:pPr>
        <w:pStyle w:val="ListParagraph"/>
        <w:numPr>
          <w:ilvl w:val="0"/>
          <w:numId w:val="2"/>
        </w:numPr>
        <w:spacing w:after="60" w:before="60"/>
      </w:pPr>
      <w:r>
        <w:rPr>
          <w:rFonts w:ascii="Arial" w:cs="Arial" w:eastAsia="Arial" w:hAnsi="Arial"/>
          <w:sz w:val="22"/>
          <w:szCs w:val="22"/>
        </w:rPr>
        <w:t xml:space="preserve">Finance: TIIC's tiered lending structure, DIC seed capital, and multiple central-scheme facilitation</w:t>
      </w:r>
    </w:p>
    <w:p>
      <w:pPr>
        <w:pStyle w:val="ListParagraph"/>
        <w:numPr>
          <w:ilvl w:val="0"/>
          <w:numId w:val="2"/>
        </w:numPr>
        <w:spacing w:after="60" w:before="60"/>
      </w:pPr>
      <w:r>
        <w:rPr>
          <w:rFonts w:ascii="Arial" w:cs="Arial" w:eastAsia="Arial" w:hAnsi="Arial"/>
          <w:sz w:val="22"/>
          <w:szCs w:val="22"/>
        </w:rPr>
        <w:t xml:space="preserve">Technology: Dedicated electronics estates, production approval streamlining, and quality certification infrastructure</w:t>
      </w:r>
    </w:p>
    <w:p>
      <w:pPr>
        <w:pStyle w:val="ListParagraph"/>
        <w:numPr>
          <w:ilvl w:val="0"/>
          <w:numId w:val="2"/>
        </w:numPr>
        <w:spacing w:after="60" w:before="60"/>
      </w:pPr>
      <w:r>
        <w:rPr>
          <w:rFonts w:ascii="Arial" w:cs="Arial" w:eastAsia="Arial" w:hAnsi="Arial"/>
          <w:sz w:val="22"/>
          <w:szCs w:val="22"/>
        </w:rPr>
        <w:t xml:space="preserve">Cooperatives: Sector-specific cooperative frameworks for tea, sago, matchbox, coir, and other industries</w:t>
      </w:r>
    </w:p>
    <w:p>
      <w:pPr>
        <w:pStyle w:val="ListParagraph"/>
        <w:numPr>
          <w:ilvl w:val="0"/>
          <w:numId w:val="2"/>
        </w:numPr>
        <w:spacing w:after="60" w:before="60"/>
      </w:pPr>
      <w:r>
        <w:rPr>
          <w:rFonts w:ascii="Arial" w:cs="Arial" w:eastAsia="Arial" w:hAnsi="Arial"/>
          <w:sz w:val="22"/>
          <w:szCs w:val="22"/>
        </w:rPr>
        <w:t xml:space="preserve">Entrepreneurship: PMRY, artisan schemes, women entrepreneur finance, and engineering graduate incentives</w:t>
      </w:r>
    </w:p>
    <w:p>
      <w:pPr>
        <w:spacing w:after="0" w:before="120"/>
      </w:pPr>
      <w:r>
        <w:t xml:space="preserve"/>
      </w:r>
    </w:p>
    <w:p>
      <w:pPr>
        <w:spacing w:after="80" w:before="80"/>
        <w:jc w:val="both"/>
      </w:pPr>
      <w:r>
        <w:rPr>
          <w:rFonts w:ascii="Arial" w:cs="Arial" w:eastAsia="Arial" w:hAnsi="Arial"/>
          <w:sz w:val="22"/>
          <w:szCs w:val="22"/>
        </w:rPr>
        <w:t xml:space="preserve">Earlier policies had addressed some of these pillars in isolation. The 1989 framework treated them as an interconnected system — a precondition for sustainable industrial growth.</w:t>
      </w:r>
    </w:p>
    <w:p>
      <w:pPr>
        <w:spacing w:after="0" w:before="100"/>
      </w:pPr>
      <w:r>
        <w:t xml:space="preserve"/>
      </w:r>
    </w:p>
    <w:p>
      <w:pPr>
        <w:pStyle w:val="Heading2"/>
        <w:spacing w:after="120" w:before="280"/>
      </w:pPr>
      <w:r>
        <w:rPr>
          <w:rFonts w:ascii="Arial" w:cs="Arial" w:eastAsia="Arial" w:hAnsi="Arial"/>
          <w:b/>
          <w:bCs/>
          <w:color w:val="2E5090"/>
          <w:sz w:val="26"/>
          <w:szCs w:val="26"/>
        </w:rPr>
        <w:t xml:space="preserve">2.4 Positioning Tamil Nadu for Post-1991 Growth</w:t>
      </w:r>
    </w:p>
    <w:p>
      <w:pPr>
        <w:spacing w:after="80" w:before="80"/>
        <w:jc w:val="both"/>
      </w:pPr>
      <w:r>
        <w:rPr>
          <w:rFonts w:ascii="Arial" w:cs="Arial" w:eastAsia="Arial" w:hAnsi="Arial"/>
          <w:sz w:val="22"/>
          <w:szCs w:val="22"/>
        </w:rPr>
        <w:t xml:space="preserve">When economic liberalisation arrived in 1991, Tamil Nadu was unusually well-positioned to benefit. It already had a functioning network of industrial estates, a creditworthy state financial institution (TIIC), a large cooperative industrial sector, and a cadre of trained technical entrepreneurs. None of this was an accident — it was the product of deliberate institutional investment over decades, accelerated by the 1989 policy. The auto corridor, electronics manufacturing boom, and pharmaceutical cluster growth of the 1990s and 2000s were not created by liberalisation; they were enabled by it, on a foundation built earlier.</w:t>
      </w:r>
    </w:p>
    <w:p>
      <w:pPr>
        <w:spacing w:after="0" w:before="100"/>
      </w:pPr>
      <w:r>
        <w:t xml:space="preserve"/>
      </w:r>
    </w:p>
    <w:p>
      <w:pPr>
        <w:pStyle w:val="Heading2"/>
        <w:spacing w:after="120" w:before="280"/>
      </w:pPr>
      <w:r>
        <w:rPr>
          <w:rFonts w:ascii="Arial" w:cs="Arial" w:eastAsia="Arial" w:hAnsi="Arial"/>
          <w:b/>
          <w:bCs/>
          <w:color w:val="2E5090"/>
          <w:sz w:val="26"/>
          <w:szCs w:val="26"/>
        </w:rPr>
        <w:t xml:space="preserve">2.5 Early Focus on Sectors That Would Define Tamil Nadu's Future</w:t>
      </w:r>
    </w:p>
    <w:p>
      <w:pPr>
        <w:spacing w:after="80" w:before="80"/>
        <w:jc w:val="both"/>
      </w:pPr>
      <w:r>
        <w:rPr>
          <w:rFonts w:ascii="Arial" w:cs="Arial" w:eastAsia="Arial" w:hAnsi="Arial"/>
          <w:sz w:val="22"/>
          <w:szCs w:val="22"/>
        </w:rPr>
        <w:t xml:space="preserve">The explicit priority given in 1989 to electronics, pharmaceuticals, and motor vehicle ancillaries — through dedicated industrial estates, higher subsidies, and Japan ODA financing — is striking in retrospect. These are precisely the three sectors that would come to define Tamil Nadu's industrial identity in the 21st century. The 1989 policy makers were, in effect, placing strategic bets on the future of the state economy.</w:t>
      </w:r>
    </w:p>
    <w:p>
      <w:pPr>
        <w:spacing w:after="0" w:before="200"/>
      </w:pPr>
      <w:r>
        <w:t xml:space="preserve"/>
      </w:r>
    </w:p>
    <w:p>
      <w:r>
        <w:br w:type="page"/>
      </w:r>
    </w:p>
    <w:p>
      <w:pPr>
        <w:pStyle w:val="Heading1"/>
        <w:pBdr>
          <w:bottom w:val="single" w:color="1F3864" w:sz="6" w:space="1"/>
        </w:pBdr>
        <w:spacing w:after="160" w:before="400"/>
      </w:pPr>
      <w:r>
        <w:rPr>
          <w:rFonts w:ascii="Arial" w:cs="Arial" w:eastAsia="Arial" w:hAnsi="Arial"/>
          <w:b/>
          <w:bCs/>
          <w:color w:val="1F3864"/>
          <w:sz w:val="32"/>
          <w:szCs w:val="32"/>
        </w:rPr>
        <w:t xml:space="preserve">3. Historical Context and Industrial Timeline</w:t>
      </w:r>
    </w:p>
    <w:p>
      <w:pPr>
        <w:pStyle w:val="Heading2"/>
        <w:spacing w:after="120" w:before="280"/>
      </w:pPr>
      <w:r>
        <w:rPr>
          <w:rFonts w:ascii="Arial" w:cs="Arial" w:eastAsia="Arial" w:hAnsi="Arial"/>
          <w:b/>
          <w:bCs/>
          <w:color w:val="2E5090"/>
          <w:sz w:val="26"/>
          <w:szCs w:val="26"/>
        </w:rPr>
        <w:t xml:space="preserve">3.1 The Industrial Stagnation of 1977-1989</w:t>
      </w:r>
    </w:p>
    <w:p>
      <w:pPr>
        <w:spacing w:after="80" w:before="80"/>
        <w:jc w:val="both"/>
      </w:pPr>
      <w:r>
        <w:rPr>
          <w:rFonts w:ascii="Arial" w:cs="Arial" w:eastAsia="Arial" w:hAnsi="Arial"/>
          <w:sz w:val="22"/>
          <w:szCs w:val="22"/>
        </w:rPr>
        <w:t xml:space="preserve">Tamil Nadu's industrial growth was significantly constrained during 1977-1989. Political instability translated into policy inertia. New investment was hesitant, and institutional frameworks for small industry promotion lacked fresh direction. By 1989, the accumulated backlog of industrial development had become a pressing economic priority — particularly in rural areas where non-farm employment was scarce.</w:t>
      </w:r>
    </w:p>
    <w:p>
      <w:pPr>
        <w:spacing w:after="0" w:before="100"/>
      </w:pPr>
      <w:r>
        <w:t xml:space="preserve"/>
      </w:r>
    </w:p>
    <w:p>
      <w:pPr>
        <w:pStyle w:val="Heading2"/>
        <w:spacing w:after="120" w:before="280"/>
      </w:pPr>
      <w:r>
        <w:rPr>
          <w:rFonts w:ascii="Arial" w:cs="Arial" w:eastAsia="Arial" w:hAnsi="Arial"/>
          <w:b/>
          <w:bCs/>
          <w:color w:val="2E5090"/>
          <w:sz w:val="26"/>
          <w:szCs w:val="26"/>
        </w:rPr>
        <w:t xml:space="preserve">3.2 Evolution of Tamil Nadu's Industrial Development — Timeline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w:t>
            </w:r>
          </w:p>
        </w:tc>
        <w:tc>
          <w:tcPr>
            <w:tcW w:type="dxa" w:w="5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Significance</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1949</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TIIC established</w:t>
            </w:r>
          </w:p>
        </w:tc>
        <w:tc>
          <w:tcPr>
            <w:tcW w:type="dxa" w:w="5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India's first state-level industrial finance institution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1965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TANSI established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State-owned production unit model for industrial demonstration</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1971</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SIDCO established</w:t>
            </w:r>
          </w:p>
        </w:tc>
        <w:tc>
          <w:tcPr>
            <w:tcW w:type="dxa" w:w="5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Infrastructure arm for SSI estate development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1983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TALCO established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Sector-specific development corporation for leather industry</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1985-86</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Electronics estate programme launched</w:t>
            </w:r>
          </w:p>
        </w:tc>
        <w:tc>
          <w:tcPr>
            <w:tcW w:type="dxa" w:w="5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First dedicated technology-cluster estates in Tamil Nadu</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1989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Comprehensive Industrial Policy (this document)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Last major pre-liberalisation policy; 5-pillar integrated framework</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1991</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Economic liberalisation (Union Budget)</w:t>
            </w:r>
          </w:p>
        </w:tc>
        <w:tc>
          <w:tcPr>
            <w:tcW w:type="dxa" w:w="5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Dismantling of License Raj; Tamil Nadu benefits from existing institutional base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1993-97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Auto ancillary corridor expansion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Built on 1989 motor vehicle ancillary cluster investments</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1997</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TIDEL Park announced (Chennai)</w:t>
            </w:r>
          </w:p>
        </w:tc>
        <w:tc>
          <w:tcPr>
            <w:tcW w:type="dxa" w:w="5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State-led IT infrastructure, paralleling the 1989 electronics estate model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2000s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Auto corridor (Chennai-Hosur)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Tamil Nadu becomes India's 'Detroit'; foundation laid by 1980s DIC network</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2005-15</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Electronics manufacturing surge</w:t>
            </w:r>
          </w:p>
        </w:tc>
        <w:tc>
          <w:tcPr>
            <w:tcW w:type="dxa" w:w="5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Perungudi, Sriperumbudur; direct evolution of 1989 electronics park strategy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2020s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Global Capability Centres and semiconductor push</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Third generation of Tamil Nadu's technology-led industrial strategy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Interpretive Note</w:t>
            </w:r>
          </w:p>
          <w:p>
            <w:pPr>
              <w:spacing w:after="0" w:before="0"/>
              <w:jc w:val="both"/>
            </w:pPr>
            <w:r>
              <w:rPr>
                <w:rFonts w:ascii="Arial" w:cs="Arial" w:eastAsia="Arial" w:hAnsi="Arial"/>
                <w:sz w:val="22"/>
                <w:szCs w:val="22"/>
              </w:rPr>
              <w:t xml:space="preserve">The timeline reveals a continuous institutional thread. Each decade built on the infrastructure — physical, financial, and regulatory — created in the previous one. The 1989 policy was not a beginning; it was the culmination of 40 years of state-building and the foundation for the next 40.</w:t>
            </w:r>
          </w:p>
        </w:tc>
      </w:tr>
    </w:tbl>
    <w:p>
      <w:pPr>
        <w:spacing w:after="0" w:before="200"/>
      </w:pPr>
      <w:r>
        <w:t xml:space="preserve"/>
      </w:r>
    </w:p>
    <w:p>
      <w:r>
        <w:br w:type="page"/>
      </w:r>
    </w:p>
    <w:p>
      <w:pPr>
        <w:pStyle w:val="Heading1"/>
        <w:pBdr>
          <w:bottom w:val="single" w:color="1F3864" w:sz="6" w:space="1"/>
        </w:pBdr>
        <w:spacing w:after="160" w:before="400"/>
      </w:pPr>
      <w:r>
        <w:rPr>
          <w:rFonts w:ascii="Arial" w:cs="Arial" w:eastAsia="Arial" w:hAnsi="Arial"/>
          <w:b/>
          <w:bCs/>
          <w:color w:val="1F3864"/>
          <w:sz w:val="32"/>
          <w:szCs w:val="32"/>
        </w:rPr>
        <w:t xml:space="preserve">4. Kalaignar's Industrial Development Model</w:t>
      </w:r>
    </w:p>
    <w:p>
      <w:pPr>
        <w:spacing w:after="80" w:before="80"/>
        <w:jc w:val="both"/>
      </w:pPr>
      <w:r>
        <w:rPr>
          <w:rFonts w:ascii="Arial" w:cs="Arial" w:eastAsia="Arial" w:hAnsi="Arial"/>
          <w:sz w:val="22"/>
          <w:szCs w:val="22"/>
        </w:rPr>
        <w:t xml:space="preserve">The 1989 policy is not a neutral administrative document. It reflects a coherent set of political-economic values. Reading across its provisions, five recurring principles emerge that together constitute what might be called Kalaignar's industrial development model.</w:t>
      </w:r>
    </w:p>
    <w:p>
      <w:pPr>
        <w:spacing w:after="0" w:before="100"/>
      </w:pPr>
      <w:r>
        <w:t xml:space="preserve"/>
      </w:r>
    </w:p>
    <w:p>
      <w:pPr>
        <w:pStyle w:val="Heading2"/>
        <w:spacing w:after="120" w:before="280"/>
      </w:pPr>
      <w:r>
        <w:rPr>
          <w:rFonts w:ascii="Arial" w:cs="Arial" w:eastAsia="Arial" w:hAnsi="Arial"/>
          <w:b/>
          <w:bCs/>
          <w:color w:val="2E5090"/>
          <w:sz w:val="26"/>
          <w:szCs w:val="26"/>
        </w:rPr>
        <w:t xml:space="preserve">4.1 Industrialisation Beyond Chennai</w:t>
      </w:r>
    </w:p>
    <w:p>
      <w:pPr>
        <w:spacing w:after="80" w:before="80"/>
        <w:jc w:val="both"/>
      </w:pPr>
      <w:r>
        <w:rPr>
          <w:rFonts w:ascii="Arial" w:cs="Arial" w:eastAsia="Arial" w:hAnsi="Arial"/>
          <w:sz w:val="22"/>
          <w:szCs w:val="22"/>
        </w:rPr>
        <w:t xml:space="preserve">The explicit preference for backward taluks, the provision of higher subsidies for non-Chennai industrial locations, the deliberate spread of DICs to every district, and the targeting of rural cooperatives all reflect a fundamental commitment: Tamil Nadu's industrial development should not be confined to the Chennai metropolitan corridor. The electronics estates were established in Hosur, Trichy, Madurai, and Coimbatore — not only Chennai. The 1989 policy was, among other things, a spatial equity programme.</w:t>
      </w:r>
    </w:p>
    <w:p>
      <w:pPr>
        <w:spacing w:after="0" w:before="120"/>
      </w:pPr>
      <w:r>
        <w:t xml:space="preserve"/>
      </w:r>
    </w:p>
    <w:p>
      <w:pPr>
        <w:pStyle w:val="Heading2"/>
        <w:spacing w:after="120" w:before="280"/>
      </w:pPr>
      <w:r>
        <w:rPr>
          <w:rFonts w:ascii="Arial" w:cs="Arial" w:eastAsia="Arial" w:hAnsi="Arial"/>
          <w:b/>
          <w:bCs/>
          <w:color w:val="2E5090"/>
          <w:sz w:val="26"/>
          <w:szCs w:val="26"/>
        </w:rPr>
        <w:t xml:space="preserve">4.2 Support for First-Generation Entrepreneurs</w:t>
      </w:r>
    </w:p>
    <w:p>
      <w:pPr>
        <w:spacing w:after="80" w:before="80"/>
        <w:jc w:val="both"/>
      </w:pPr>
      <w:r>
        <w:rPr>
          <w:rFonts w:ascii="Arial" w:cs="Arial" w:eastAsia="Arial" w:hAnsi="Arial"/>
          <w:sz w:val="22"/>
          <w:szCs w:val="22"/>
        </w:rPr>
        <w:t xml:space="preserve">Multiple provisions — the artisan scheme, engineering graduate incentive, PMRY, TIIC's soft loans for technical entrepreneurs, and SIDCO's ready-built factory sheds at minimal rent — were specifically designed to lower the barriers for people starting businesses without inherited capital or established networks. This reflected a social democratic reading of industrial policy: that the primary constraint for aspiring entrepreneurs from modest backgrounds was not capability but access to infrastructure, finance, and market linkages.</w:t>
      </w:r>
    </w:p>
    <w:p>
      <w:pPr>
        <w:spacing w:after="0" w:before="120"/>
      </w:pPr>
      <w:r>
        <w:t xml:space="preserve"/>
      </w:r>
    </w:p>
    <w:p>
      <w:pPr>
        <w:pStyle w:val="Heading2"/>
        <w:spacing w:after="120" w:before="280"/>
      </w:pPr>
      <w:r>
        <w:rPr>
          <w:rFonts w:ascii="Arial" w:cs="Arial" w:eastAsia="Arial" w:hAnsi="Arial"/>
          <w:b/>
          <w:bCs/>
          <w:color w:val="2E5090"/>
          <w:sz w:val="26"/>
          <w:szCs w:val="26"/>
        </w:rPr>
        <w:t xml:space="preserve">4.3 Technology Adoption as a State Responsibility</w:t>
      </w:r>
    </w:p>
    <w:p>
      <w:pPr>
        <w:spacing w:after="80" w:before="80"/>
        <w:jc w:val="both"/>
      </w:pPr>
      <w:r>
        <w:rPr>
          <w:rFonts w:ascii="Arial" w:cs="Arial" w:eastAsia="Arial" w:hAnsi="Arial"/>
          <w:sz w:val="22"/>
          <w:szCs w:val="22"/>
        </w:rPr>
        <w:t xml:space="preserve">The 1989 policy treated technology transfer and quality infrastructure as public goods that the state must provision. Testing laboratories, quality certification centres, the Scientific Glass Training Institute, the Ceramics Technology Training Institute, and the Electronic Development and Training Centre were all state investments in the productive capacity of private small businesses. The Japan ODA negotiation for hi-tech industrial estates was the most ambitious expression of this principle.</w:t>
      </w:r>
    </w:p>
    <w:p>
      <w:pPr>
        <w:spacing w:after="0" w:before="120"/>
      </w:pPr>
      <w:r>
        <w:t xml:space="preserve"/>
      </w:r>
    </w:p>
    <w:p>
      <w:pPr>
        <w:pStyle w:val="Heading2"/>
        <w:spacing w:after="120" w:before="280"/>
      </w:pPr>
      <w:r>
        <w:rPr>
          <w:rFonts w:ascii="Arial" w:cs="Arial" w:eastAsia="Arial" w:hAnsi="Arial"/>
          <w:b/>
          <w:bCs/>
          <w:color w:val="2E5090"/>
          <w:sz w:val="26"/>
          <w:szCs w:val="26"/>
        </w:rPr>
        <w:t xml:space="preserve">4.4 Regional Balance Through Industrial Dispersal</w:t>
      </w:r>
    </w:p>
    <w:p>
      <w:pPr>
        <w:spacing w:after="80" w:before="80"/>
        <w:jc w:val="both"/>
      </w:pPr>
      <w:r>
        <w:rPr>
          <w:rFonts w:ascii="Arial" w:cs="Arial" w:eastAsia="Arial" w:hAnsi="Arial"/>
          <w:sz w:val="22"/>
          <w:szCs w:val="22"/>
        </w:rPr>
        <w:t xml:space="preserve">The backward area subsidy system, the coal distribution network (with storage depots in Madurai, Trichy, Salem, Vellore, and Coimbatore), the district-level DIC network, and the cooperative society structure in the Nilgiris, Salem, Dharmapuri, and Sivakasi belts all reflect a deliberate strategy of geographic dispersal. Industrial development was to be a vehicle for regional equity, not a reinforcer of existing spatial hierarchies.</w:t>
      </w:r>
    </w:p>
    <w:p>
      <w:pPr>
        <w:spacing w:after="0" w:before="120"/>
      </w:pPr>
      <w:r>
        <w:t xml:space="preserve"/>
      </w:r>
    </w:p>
    <w:p>
      <w:pPr>
        <w:pStyle w:val="Heading2"/>
        <w:spacing w:after="120" w:before="280"/>
      </w:pPr>
      <w:r>
        <w:rPr>
          <w:rFonts w:ascii="Arial" w:cs="Arial" w:eastAsia="Arial" w:hAnsi="Arial"/>
          <w:b/>
          <w:bCs/>
          <w:color w:val="2E5090"/>
          <w:sz w:val="26"/>
          <w:szCs w:val="26"/>
        </w:rPr>
        <w:t xml:space="preserve">4.5 Social Justice Through Industrial Policy</w:t>
      </w:r>
    </w:p>
    <w:p>
      <w:pPr>
        <w:spacing w:after="80" w:before="80"/>
        <w:jc w:val="both"/>
      </w:pPr>
      <w:r>
        <w:rPr>
          <w:rFonts w:ascii="Arial" w:cs="Arial" w:eastAsia="Arial" w:hAnsi="Arial"/>
          <w:sz w:val="22"/>
          <w:szCs w:val="22"/>
        </w:rPr>
        <w:t xml:space="preserve">Perhaps the most distinctive feature of the 1989 framework is its systematic embedding of social justice into every level of the incentive architecture:</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90% of PMRY approvals reserved for SC/ST beneficiaries</w:t>
      </w:r>
    </w:p>
    <w:p>
      <w:pPr>
        <w:pStyle w:val="ListParagraph"/>
        <w:numPr>
          <w:ilvl w:val="0"/>
          <w:numId w:val="2"/>
        </w:numPr>
        <w:spacing w:after="60" w:before="60"/>
      </w:pPr>
      <w:r>
        <w:rPr>
          <w:rFonts w:ascii="Arial" w:cs="Arial" w:eastAsia="Arial" w:hAnsi="Arial"/>
          <w:sz w:val="22"/>
          <w:szCs w:val="22"/>
        </w:rPr>
        <w:t xml:space="preserve">Dedicated financial windows for women entrepreneurs (12.5% interest rate vs. standard)</w:t>
      </w:r>
    </w:p>
    <w:p>
      <w:pPr>
        <w:pStyle w:val="ListParagraph"/>
        <w:numPr>
          <w:ilvl w:val="0"/>
          <w:numId w:val="2"/>
        </w:numPr>
        <w:spacing w:after="60" w:before="60"/>
      </w:pPr>
      <w:r>
        <w:rPr>
          <w:rFonts w:ascii="Arial" w:cs="Arial" w:eastAsia="Arial" w:hAnsi="Arial"/>
          <w:sz w:val="22"/>
          <w:szCs w:val="22"/>
        </w:rPr>
        <w:t xml:space="preserve">Lower equity contribution requirements for tribal and Dalit entrepreneurs (10% vs. standard 25%)</w:t>
      </w:r>
    </w:p>
    <w:p>
      <w:pPr>
        <w:pStyle w:val="ListParagraph"/>
        <w:numPr>
          <w:ilvl w:val="0"/>
          <w:numId w:val="2"/>
        </w:numPr>
        <w:spacing w:after="60" w:before="60"/>
      </w:pPr>
      <w:r>
        <w:rPr>
          <w:rFonts w:ascii="Arial" w:cs="Arial" w:eastAsia="Arial" w:hAnsi="Arial"/>
          <w:sz w:val="22"/>
          <w:szCs w:val="22"/>
        </w:rPr>
        <w:t xml:space="preserve">Matchbox cooperatives established specifically for below-poverty-line rural women</w:t>
      </w:r>
    </w:p>
    <w:p>
      <w:pPr>
        <w:pStyle w:val="ListParagraph"/>
        <w:numPr>
          <w:ilvl w:val="0"/>
          <w:numId w:val="2"/>
        </w:numPr>
        <w:spacing w:after="60" w:before="60"/>
      </w:pPr>
      <w:r>
        <w:rPr>
          <w:rFonts w:ascii="Arial" w:cs="Arial" w:eastAsia="Arial" w:hAnsi="Arial"/>
          <w:sz w:val="22"/>
          <w:szCs w:val="22"/>
        </w:rPr>
        <w:t xml:space="preserve">Coir industry cooperatives targeted at coastal communities</w:t>
      </w:r>
    </w:p>
    <w:p>
      <w:pPr>
        <w:pStyle w:val="ListParagraph"/>
        <w:numPr>
          <w:ilvl w:val="0"/>
          <w:numId w:val="2"/>
        </w:numPr>
        <w:spacing w:after="60" w:before="60"/>
      </w:pPr>
      <w:r>
        <w:rPr>
          <w:rFonts w:ascii="Arial" w:cs="Arial" w:eastAsia="Arial" w:hAnsi="Arial"/>
          <w:sz w:val="22"/>
          <w:szCs w:val="22"/>
        </w:rPr>
        <w:t xml:space="preserve">TALCO's leather programme designed to assist artisan communities historically engaged in the trade</w:t>
      </w:r>
    </w:p>
    <w:p>
      <w:pPr>
        <w:spacing w:after="0" w:before="120"/>
      </w:pPr>
      <w:r>
        <w:t xml:space="preserve"/>
      </w:r>
    </w:p>
    <w:p>
      <w:pPr>
        <w:spacing w:after="80" w:before="80"/>
        <w:jc w:val="both"/>
      </w:pPr>
      <w:r>
        <w:rPr>
          <w:rFonts w:ascii="Arial" w:cs="Arial" w:eastAsia="Arial" w:hAnsi="Arial"/>
          <w:sz w:val="22"/>
          <w:szCs w:val="22"/>
        </w:rPr>
        <w:t xml:space="preserve">These were not cosmetic additions. They were structural features of the incentive design, reflecting a conviction that industrial policy was inseparable from social policy.</w:t>
      </w:r>
    </w:p>
    <w:p>
      <w:pPr>
        <w:spacing w:after="0" w:before="200"/>
      </w:pPr>
      <w:r>
        <w:t xml:space="preserve"/>
      </w:r>
    </w:p>
    <w:p>
      <w:r>
        <w:br w:type="page"/>
      </w:r>
    </w:p>
    <w:p>
      <w:pPr>
        <w:pStyle w:val="Heading1"/>
        <w:pBdr>
          <w:bottom w:val="single" w:color="1F3864" w:sz="6" w:space="1"/>
        </w:pBdr>
        <w:spacing w:after="160" w:before="400"/>
      </w:pPr>
      <w:r>
        <w:rPr>
          <w:rFonts w:ascii="Arial" w:cs="Arial" w:eastAsia="Arial" w:hAnsi="Arial"/>
          <w:b/>
          <w:bCs/>
          <w:color w:val="1F3864"/>
          <w:sz w:val="32"/>
          <w:szCs w:val="32"/>
        </w:rPr>
        <w:t xml:space="preserve">5. Institutional Framework</w:t>
      </w:r>
    </w:p>
    <w:p>
      <w:pPr>
        <w:spacing w:after="80" w:before="80"/>
        <w:jc w:val="both"/>
      </w:pPr>
      <w:r>
        <w:rPr>
          <w:rFonts w:ascii="Arial" w:cs="Arial" w:eastAsia="Arial" w:hAnsi="Arial"/>
          <w:sz w:val="22"/>
          <w:szCs w:val="22"/>
        </w:rPr>
        <w:t xml:space="preserve">The policy operated through a network of specialised agencies, each with a distinct mandate. The table below maps the principal institutions: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000"/>
        <w:gridCol w:w="30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Institution</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Est.</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 Mandate</w:t>
            </w:r>
          </w:p>
        </w:tc>
        <w:tc>
          <w:tcPr>
            <w:tcW w:type="dxa" w:w="3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Role in 1989 Policy</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Directorate of Industries &amp; Commerce (DIC)</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1970s</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Policy formulation &amp; implementation; SSI promotion</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Single-point facilitation; district-level outreach via DICs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Tamil Nadu Small Industries Dev. Corp. (SIDCO)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1971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SSI promotion; infrastructure provision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Industrial sheds; raw material supply; sales assistance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Tamil Nadu Industrial Investment Corp. (TIIC)</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1949</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Term loans for fixed assets</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Loans up to Rs. 60 L; 99% of sanctions to SSIs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Tamil Nadu Small Industries Corp. Ltd. (TANSI)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1965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State-owned production units; demonstration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47 production units + 7 sales outlets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Tamil Nadu Leather Dev. Corp. (TALCO)</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1983</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Leather industry development</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Effluent treatment; training; infrastructure for tanners</w:t>
            </w:r>
          </w:p>
        </w:tc>
      </w:tr>
    </w:tbl>
    <w:p>
      <w:pPr>
        <w:spacing w:after="0" w:before="200"/>
      </w:pPr>
      <w:r>
        <w:t xml:space="preserve"/>
      </w:r>
    </w:p>
    <w:p>
      <w:pPr>
        <w:pStyle w:val="Heading2"/>
        <w:spacing w:after="120" w:before="280"/>
      </w:pPr>
      <w:r>
        <w:rPr>
          <w:rFonts w:ascii="Arial" w:cs="Arial" w:eastAsia="Arial" w:hAnsi="Arial"/>
          <w:b/>
          <w:bCs/>
          <w:color w:val="2E5090"/>
          <w:sz w:val="26"/>
          <w:szCs w:val="26"/>
        </w:rPr>
        <w:t xml:space="preserve">5.1 DICs as Precursors to Single-Window Governance</w:t>
      </w:r>
    </w:p>
    <w:p>
      <w:pPr>
        <w:spacing w:after="80" w:before="80"/>
        <w:jc w:val="both"/>
      </w:pPr>
      <w:r>
        <w:rPr>
          <w:rFonts w:ascii="Arial" w:cs="Arial" w:eastAsia="Arial" w:hAnsi="Arial"/>
          <w:sz w:val="22"/>
          <w:szCs w:val="22"/>
        </w:rPr>
        <w:t xml:space="preserve">The 1989 policy did not establish a formal single-window clearance mechanism in the contemporary statutory sense. However, District Industries Centres functioned as single-point facilitation agencies — helping entrepreneurs navigate approvals, registrations, statutory clearances, and incentive access. This is historically significant: it represents the organisational and procedural precursor to the formal single-window investment facilitation systems that Tamil Nadu and other states would introduce in the 1990s and 2000s.</w:t>
      </w:r>
    </w:p>
    <w:p>
      <w:pPr>
        <w:spacing w:after="0" w:before="120"/>
      </w:pPr>
      <w:r>
        <w:t xml:space="preserve"/>
      </w:r>
    </w:p>
    <w:p>
      <w:pPr>
        <w:spacing w:after="80" w:before="80"/>
        <w:jc w:val="both"/>
      </w:pPr>
      <w:r>
        <w:rPr>
          <w:rFonts w:ascii="Arial" w:cs="Arial" w:eastAsia="Arial" w:hAnsi="Arial"/>
          <w:sz w:val="22"/>
          <w:szCs w:val="22"/>
        </w:rPr>
        <w:t xml:space="preserve">As of January 31, 1989, DICs had already resolved 1,848 pending cases through task-force teams, demonstrating that the facilitation model was producing measurable results. The expanded DIC mandate under the 1989 policy — taking on responsibility for incentive disbursement, bank credit coordination, and sick-unit revival — effectively made each DIC a district-level industrial development authority, decades before that terminology entered common use.</w:t>
      </w:r>
    </w:p>
    <w:p>
      <w:pPr>
        <w:spacing w:after="0" w:before="200"/>
      </w:pPr>
      <w:r>
        <w:t xml:space="preserve"/>
      </w:r>
    </w:p>
    <w:p>
      <w:r>
        <w:br w:type="page"/>
      </w:r>
    </w:p>
    <w:p>
      <w:pPr>
        <w:pStyle w:val="Heading1"/>
        <w:pBdr>
          <w:bottom w:val="single" w:color="1F3864" w:sz="6" w:space="1"/>
        </w:pBdr>
        <w:spacing w:after="160" w:before="400"/>
      </w:pPr>
      <w:r>
        <w:rPr>
          <w:rFonts w:ascii="Arial" w:cs="Arial" w:eastAsia="Arial" w:hAnsi="Arial"/>
          <w:b/>
          <w:bCs/>
          <w:color w:val="1F3864"/>
          <w:sz w:val="32"/>
          <w:szCs w:val="32"/>
        </w:rPr>
        <w:t xml:space="preserve">6. Financial Incentives Architecture</w:t>
      </w:r>
    </w:p>
    <w:p>
      <w:pPr>
        <w:spacing w:after="80" w:before="80"/>
        <w:jc w:val="both"/>
      </w:pPr>
      <w:r>
        <w:rPr>
          <w:rFonts w:ascii="Arial" w:cs="Arial" w:eastAsia="Arial" w:hAnsi="Arial"/>
          <w:sz w:val="22"/>
          <w:szCs w:val="22"/>
        </w:rPr>
        <w:t xml:space="preserve">The 1989 policy deployed a layered set of financial instruments to reduce the cost of investment, ease regulatory compliance, and support distressed industries. The structure was progressive: higher benefits for backward regions, priority sectors, and underrepresented social groups.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60"/>
        <w:gridCol w:w="19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Scheme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Eligibility</w:t>
            </w:r>
          </w:p>
        </w:tc>
        <w:tc>
          <w:tcPr>
            <w:tcW w:type="dxa" w:w="3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Quantum</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Interest-free Sales Tax Loan</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SSIs outside notified areas, starting after 09-05-1988</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3% of fixed assets OR actual ST paid OR Rs. 1.25L p.a. — lower of three; total cap Rs. 7.5L</w:t>
            </w:r>
          </w:p>
        </w:tc>
        <w:tc>
          <w:tcPr>
            <w:tcW w:type="dxa" w:w="1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3 yrs exemption + 3 yrs loan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Power Tariff Concession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Registered LT-consumer SSIs starting after 01-01-1986</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30% (Yr 1), 30% (Yr 2), 10% (Yr 3) of electricity charges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 years from start of production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State Capital Subsidy (Backward Areas)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Industries in government-declared backward taluks</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15% of fixed capital investment, up to Rs. 15 Lakh</w:t>
            </w:r>
          </w:p>
        </w:tc>
        <w:tc>
          <w:tcPr>
            <w:tcW w:type="dxa" w:w="1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One-time on establishment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Special Capital Subsidy (Priority Sectors)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Electronics, pharma, motor vehicle ancillaries, solar thermal, leather ETP</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 additional (up to 25% total) in non-CIS/SIS areas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One-time on establishment</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DIC Seed Capital Loan</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SSIs in towns with population up to 17 Lakh (1971 census)</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Up to Rs. 25,000 at 6% p.a.</w:t>
            </w:r>
          </w:p>
        </w:tc>
        <w:tc>
          <w:tcPr>
            <w:tcW w:type="dxa" w:w="1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6-10 year repayment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Advance Loan for Sick SSIs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Viable sick SSIs recommended by DIC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Up to Rs. 50,000 at 6% p.a.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4-yr moratorium; 9-yr repayment</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Interest Subsidy (Engineering Entrepreneurs)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Unemployed engineering graduates starting SSIs</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Difference between 7% p.a. and lending rate; max Rs. 20,000 p.a.</w:t>
            </w:r>
          </w:p>
        </w:tc>
        <w:tc>
          <w:tcPr>
            <w:tcW w:type="dxa" w:w="1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5 yrs (backward areas) / 3 yrs (others)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PMRY (Educated Unemployed Youth)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10th pass, age 18-25, family income below Rs. 10,000 p.a.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Up to Rs. 35,000 (industry/service); Rs. 15,000 (trade)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Via bank; 90% reserved for SC/ST</w:t>
            </w:r>
          </w:p>
        </w:tc>
      </w:tr>
    </w:tbl>
    <w:p>
      <w:pPr>
        <w:spacing w:after="0" w:before="200"/>
      </w:pPr>
      <w:r>
        <w:t xml:space="preserve"/>
      </w:r>
    </w:p>
    <w:p>
      <w:r>
        <w:br w:type="page"/>
      </w:r>
    </w:p>
    <w:p>
      <w:pPr>
        <w:pStyle w:val="Heading1"/>
        <w:pBdr>
          <w:bottom w:val="single" w:color="1F3864" w:sz="6" w:space="1"/>
        </w:pBdr>
        <w:spacing w:after="160" w:before="400"/>
      </w:pPr>
      <w:r>
        <w:rPr>
          <w:rFonts w:ascii="Arial" w:cs="Arial" w:eastAsia="Arial" w:hAnsi="Arial"/>
          <w:b/>
          <w:bCs/>
          <w:color w:val="1F3864"/>
          <w:sz w:val="32"/>
          <w:szCs w:val="32"/>
        </w:rPr>
        <w:t xml:space="preserve">7. Long-Term Finance: TIIC</w:t>
      </w:r>
    </w:p>
    <w:p>
      <w:pPr>
        <w:pStyle w:val="Heading2"/>
        <w:spacing w:after="120" w:before="280"/>
      </w:pPr>
      <w:r>
        <w:rPr>
          <w:rFonts w:ascii="Arial" w:cs="Arial" w:eastAsia="Arial" w:hAnsi="Arial"/>
          <w:b/>
          <w:bCs/>
          <w:color w:val="2E5090"/>
          <w:sz w:val="26"/>
          <w:szCs w:val="26"/>
        </w:rPr>
        <w:t xml:space="preserve">7.1 Overview</w:t>
      </w:r>
    </w:p>
    <w:p>
      <w:pPr>
        <w:spacing w:after="80" w:before="80"/>
        <w:jc w:val="both"/>
      </w:pPr>
      <w:r>
        <w:rPr>
          <w:rFonts w:ascii="Arial" w:cs="Arial" w:eastAsia="Arial" w:hAnsi="Arial"/>
          <w:sz w:val="22"/>
          <w:szCs w:val="22"/>
        </w:rPr>
        <w:t xml:space="preserve">TIIC (established 1949) is India's oldest state-level industrial finance institution. It provides term loans of Rs. 5,000 to Rs. 60 Lakh for fixed assets. Over the decade preceding the 1989 policy, TIIC had shifted 99% of its sanctions to SSI units — a deliberate portfolio reorientation toward small enterprise development.</w:t>
      </w:r>
    </w:p>
    <w:p>
      <w:pPr>
        <w:spacing w:after="0" w:before="100"/>
      </w:pPr>
      <w:r>
        <w:t xml:space="preserve"/>
      </w:r>
    </w:p>
    <w:p>
      <w:pPr>
        <w:pStyle w:val="Heading2"/>
        <w:spacing w:after="120" w:before="280"/>
      </w:pPr>
      <w:r>
        <w:rPr>
          <w:rFonts w:ascii="Arial" w:cs="Arial" w:eastAsia="Arial" w:hAnsi="Arial"/>
          <w:b/>
          <w:bCs/>
          <w:color w:val="2E5090"/>
          <w:sz w:val="26"/>
          <w:szCs w:val="26"/>
        </w:rPr>
        <w:t xml:space="preserve">7.2 Financial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Financial Year</w:t>
            </w:r>
          </w:p>
        </w:tc>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Net Profit After Tax (Rs. Lakh)</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1983-84</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133.16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1984-85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196.54</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1985-86</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195.40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1986-87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281.52</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1987-88</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203.04</w:t>
            </w:r>
          </w:p>
        </w:tc>
      </w:tr>
    </w:tbl>
    <w:p>
      <w:pPr>
        <w:spacing w:after="0" w:before="120"/>
      </w:pPr>
      <w:r>
        <w:t xml:space="preserve"/>
      </w:r>
    </w:p>
    <w:p>
      <w:pPr>
        <w:spacing w:after="80" w:before="80"/>
        <w:jc w:val="both"/>
      </w:pPr>
      <w:r>
        <w:rPr>
          <w:rFonts w:ascii="Arial" w:cs="Arial" w:eastAsia="Arial" w:hAnsi="Arial"/>
          <w:sz w:val="22"/>
          <w:szCs w:val="22"/>
        </w:rPr>
        <w:t xml:space="preserve">Consistent profitability across five years demonstrates that developmental lending to SSIs can be commercially sustainable when appropriately structured — a finding relevant to contemporary debates about DFI viability.</w:t>
      </w:r>
    </w:p>
    <w:p>
      <w:pPr>
        <w:spacing w:after="0" w:before="100"/>
      </w:pPr>
      <w:r>
        <w:t xml:space="preserve"/>
      </w:r>
    </w:p>
    <w:p>
      <w:pPr>
        <w:pStyle w:val="Heading2"/>
        <w:spacing w:after="120" w:before="280"/>
      </w:pPr>
      <w:r>
        <w:rPr>
          <w:rFonts w:ascii="Arial" w:cs="Arial" w:eastAsia="Arial" w:hAnsi="Arial"/>
          <w:b/>
          <w:bCs/>
          <w:color w:val="2E5090"/>
          <w:sz w:val="26"/>
          <w:szCs w:val="26"/>
        </w:rPr>
        <w:t xml:space="preserve">7.3 Cumulative Disbursements (to December 31, 1988)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Total sanctions (cumulative)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40,459 units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amount sanctioned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Rs. 77,800 Lakh</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Sanctions in 1988-89 (Apr-Dec)</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2,824 units / Rs. 10,297.37 Lakh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State subsidy disbursed (to 31-03-1988)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Rs. 614.81 Lakh</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Central subsidy disbursed (to 31-03-1988)</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Rs. 1,135.73 Lakh</w:t>
            </w:r>
          </w:p>
        </w:tc>
      </w:tr>
    </w:tbl>
    <w:p>
      <w:pPr>
        <w:spacing w:after="0" w:before="200"/>
      </w:pPr>
      <w:r>
        <w:t xml:space="preserve"/>
      </w:r>
    </w:p>
    <w:p>
      <w:r>
        <w:br w:type="page"/>
      </w:r>
    </w:p>
    <w:p>
      <w:pPr>
        <w:pStyle w:val="Heading1"/>
        <w:pBdr>
          <w:bottom w:val="single" w:color="1F3864" w:sz="6" w:space="1"/>
        </w:pBdr>
        <w:spacing w:after="160" w:before="400"/>
      </w:pPr>
      <w:r>
        <w:rPr>
          <w:rFonts w:ascii="Arial" w:cs="Arial" w:eastAsia="Arial" w:hAnsi="Arial"/>
          <w:b/>
          <w:bCs/>
          <w:color w:val="1F3864"/>
          <w:sz w:val="32"/>
          <w:szCs w:val="32"/>
        </w:rPr>
        <w:t xml:space="preserve">8. SIDCO — Incubator of First-Generation Entrepreneurs</w:t>
      </w:r>
    </w:p>
    <w:p>
      <w:pPr>
        <w:pStyle w:val="Heading2"/>
        <w:spacing w:after="120" w:before="280"/>
      </w:pPr>
      <w:r>
        <w:rPr>
          <w:rFonts w:ascii="Arial" w:cs="Arial" w:eastAsia="Arial" w:hAnsi="Arial"/>
          <w:b/>
          <w:bCs/>
          <w:color w:val="2E5090"/>
          <w:sz w:val="26"/>
          <w:szCs w:val="26"/>
        </w:rPr>
        <w:t xml:space="preserve">8.1 The Infrastructure Argument</w:t>
      </w:r>
    </w:p>
    <w:p>
      <w:pPr>
        <w:spacing w:after="80" w:before="80"/>
        <w:jc w:val="both"/>
      </w:pPr>
      <w:r>
        <w:rPr>
          <w:rFonts w:ascii="Arial" w:cs="Arial" w:eastAsia="Arial" w:hAnsi="Arial"/>
          <w:sz w:val="22"/>
          <w:szCs w:val="22"/>
        </w:rPr>
        <w:t xml:space="preserve">Tamil Nadu's industrialisation was not driven solely by large corporations or established business families. The state's ability to generate a broad base of small manufacturers — across textiles, electronics, engineering, chemicals, leather, and food processing — owed much to a structural feature that is often underappreciated: the availability of ready-built, affordable industrial infrastructure through SIDCO's estate programme.</w:t>
      </w:r>
    </w:p>
    <w:p>
      <w:pPr>
        <w:spacing w:after="0" w:before="120"/>
      </w:pPr>
      <w:r>
        <w:t xml:space="preserve"/>
      </w:r>
    </w:p>
    <w:p>
      <w:pPr>
        <w:spacing w:after="80" w:before="80"/>
        <w:jc w:val="both"/>
      </w:pPr>
      <w:r>
        <w:rPr>
          <w:rFonts w:ascii="Arial" w:cs="Arial" w:eastAsia="Arial" w:hAnsi="Arial"/>
          <w:sz w:val="22"/>
          <w:szCs w:val="22"/>
        </w:rPr>
        <w:t xml:space="preserve">For a first-generation entrepreneur from a non-business background — perhaps a trained engineer, an artisan, or a technically skilled worker — the cost of acquiring land, constructing a factory shed, and installing utilities before a single unit could be produced was often prohibitive. SIDCO's industrial estates eliminated this barrier. Factory sheds were available on a cash basis at standardised rates. Essential utilities — power, water, drainage — were already installed. The entrepreneur could focus capital on machinery and working capital rather than on land and construction.</w:t>
      </w:r>
    </w:p>
    <w:p>
      <w:pPr>
        <w:spacing w:after="0" w:before="100"/>
      </w:pPr>
      <w:r>
        <w:t xml:space="preserve"/>
      </w:r>
    </w:p>
    <w:p>
      <w:pPr>
        <w:pStyle w:val="Heading2"/>
        <w:spacing w:after="120" w:before="280"/>
      </w:pPr>
      <w:r>
        <w:rPr>
          <w:rFonts w:ascii="Arial" w:cs="Arial" w:eastAsia="Arial" w:hAnsi="Arial"/>
          <w:b/>
          <w:bCs/>
          <w:color w:val="2E5090"/>
          <w:sz w:val="26"/>
          <w:szCs w:val="26"/>
        </w:rPr>
        <w:t xml:space="preserve">8.2 Scale of the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Factory Sheds Constructed</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1983-84</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134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1984-85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1985-86</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1986-87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126</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1987-88</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200 (75 pending)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1988-89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325 (complete by March 1989)</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1989-90 (planned)</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200 additional</w:t>
            </w:r>
          </w:p>
        </w:tc>
      </w:tr>
    </w:tbl>
    <w:p>
      <w:pPr>
        <w:spacing w:after="0" w:before="120"/>
      </w:pPr>
      <w:r>
        <w:t xml:space="preserve"/>
      </w:r>
    </w:p>
    <w:p>
      <w:pPr>
        <w:spacing w:after="80" w:before="80"/>
        <w:jc w:val="both"/>
      </w:pPr>
      <w:r>
        <w:rPr>
          <w:rFonts w:ascii="Arial" w:cs="Arial" w:eastAsia="Arial" w:hAnsi="Arial"/>
          <w:sz w:val="22"/>
          <w:szCs w:val="22"/>
        </w:rPr>
        <w:t xml:space="preserve">By end-1988, SIDCO had developed 49 industrial estates and 2,349 factory sheds across Tamil Nadu. In a state where industrial investment had been concentrated in Chennai and a few other cities, this represented a significant geographical redistribution of productive capacity.</w:t>
      </w:r>
    </w:p>
    <w:p>
      <w:pPr>
        <w:spacing w:after="0" w:before="100"/>
      </w:pPr>
      <w:r>
        <w:t xml:space="preserve"/>
      </w:r>
    </w:p>
    <w:p>
      <w:pPr>
        <w:pStyle w:val="Heading2"/>
        <w:spacing w:after="120" w:before="280"/>
      </w:pPr>
      <w:r>
        <w:rPr>
          <w:rFonts w:ascii="Arial" w:cs="Arial" w:eastAsia="Arial" w:hAnsi="Arial"/>
          <w:b/>
          <w:bCs/>
          <w:color w:val="2E5090"/>
          <w:sz w:val="26"/>
          <w:szCs w:val="26"/>
        </w:rPr>
        <w:t xml:space="preserve">8.3 Japan ODA — Hi-Tech Industrial Estates</w:t>
      </w:r>
    </w:p>
    <w:p>
      <w:pPr>
        <w:spacing w:after="80" w:before="80"/>
        <w:jc w:val="both"/>
      </w:pPr>
      <w:r>
        <w:rPr>
          <w:rFonts w:ascii="Arial" w:cs="Arial" w:eastAsia="Arial" w:hAnsi="Arial"/>
          <w:sz w:val="22"/>
          <w:szCs w:val="22"/>
        </w:rPr>
        <w:t xml:space="preserve">The most ambitious component of the 1989 SIDCO programme was the Japan ODA-funded initiative to establish five specialised hi-tech industrial estates. The Japanese government committed 3,198 million yen (approximately Rs. 27.57 Crore) through the Overseas Economic Cooperation Fund.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Cluster</w:t>
            </w:r>
          </w:p>
        </w:tc>
        <w:tc>
          <w:tcPr>
            <w:tcW w:type="dxa" w:w="84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Sector Focus</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8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Pharmaceuticals, drugs, and medical devices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Electronic and electrical equipment</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8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Garments and readymade clothing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Processed food and food packaging components</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8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Motor vehicle ancillary components</w:t>
            </w:r>
          </w:p>
        </w:tc>
      </w:tr>
    </w:tbl>
    <w:p>
      <w:pPr>
        <w:spacing w:after="0" w:before="120"/>
      </w:pPr>
      <w:r>
        <w:t xml:space="preserve"/>
      </w:r>
    </w:p>
    <w:p>
      <w:pPr>
        <w:spacing w:after="80" w:before="80"/>
        <w:jc w:val="both"/>
      </w:pPr>
      <w:r>
        <w:rPr>
          <w:rFonts w:ascii="Arial" w:cs="Arial" w:eastAsia="Arial" w:hAnsi="Arial"/>
          <w:sz w:val="22"/>
          <w:szCs w:val="22"/>
        </w:rPr>
        <w:t xml:space="preserve">Land for all five estates was already with SIDCO; site development had commenced at two. Detailed Project Reports were being prepared by Japanese technical advisors. The loan was available through 1993. The significance of this initiative extends beyond its immediate scale: it established the template for sector-specific industrial clustering that Tamil Nadu would deploy repeatedly in subsequent decades.</w:t>
      </w:r>
    </w:p>
    <w:p>
      <w:pPr>
        <w:spacing w:after="0" w:before="100"/>
      </w:pPr>
      <w:r>
        <w:t xml:space="preserve"/>
      </w:r>
    </w:p>
    <w:p>
      <w:pPr>
        <w:pStyle w:val="Heading2"/>
        <w:spacing w:after="120" w:before="280"/>
      </w:pPr>
      <w:r>
        <w:rPr>
          <w:rFonts w:ascii="Arial" w:cs="Arial" w:eastAsia="Arial" w:hAnsi="Arial"/>
          <w:b/>
          <w:bCs/>
          <w:color w:val="2E5090"/>
          <w:sz w:val="26"/>
          <w:szCs w:val="26"/>
        </w:rPr>
        <w:t xml:space="preserve">8.4 SIDCO's Role in Raw Material Access</w:t>
      </w:r>
    </w:p>
    <w:p>
      <w:pPr>
        <w:spacing w:after="80" w:before="80"/>
        <w:jc w:val="both"/>
      </w:pPr>
      <w:r>
        <w:rPr>
          <w:rFonts w:ascii="Arial" w:cs="Arial" w:eastAsia="Arial" w:hAnsi="Arial"/>
          <w:sz w:val="22"/>
          <w:szCs w:val="22"/>
        </w:rPr>
        <w:t xml:space="preserve">Beyond infrastructure, SIDCO served as a procurement and distribution agency for scarce industrial inputs — iron, steel, paraffin wax, potassium chlorate, zinc, and chemicals. In 1988-89 (April-January), SIDCO supplied 34,768 metric tons of raw materials valued at Rs. 3,552.54 Lakh to small industries. This function — reducing small producers' vulnerability to commodity shortages and price manipulation — was as important as the physical infrastructure role.</w:t>
      </w:r>
    </w:p>
    <w:p>
      <w:pPr>
        <w:spacing w:after="0" w:before="200"/>
      </w:pPr>
      <w:r>
        <w:t xml:space="preserve"/>
      </w:r>
    </w:p>
    <w:p>
      <w:r>
        <w:br w:type="page"/>
      </w:r>
    </w:p>
    <w:p>
      <w:pPr>
        <w:pStyle w:val="Heading1"/>
        <w:pBdr>
          <w:bottom w:val="single" w:color="1F3864" w:sz="6" w:space="1"/>
        </w:pBdr>
        <w:spacing w:after="160" w:before="400"/>
      </w:pPr>
      <w:r>
        <w:rPr>
          <w:rFonts w:ascii="Arial" w:cs="Arial" w:eastAsia="Arial" w:hAnsi="Arial"/>
          <w:b/>
          <w:bCs/>
          <w:color w:val="1F3864"/>
          <w:sz w:val="32"/>
          <w:szCs w:val="32"/>
        </w:rPr>
        <w:t xml:space="preserve">9. Industrial Cooperative Sector</w:t>
      </w:r>
    </w:p>
    <w:p>
      <w:pPr>
        <w:spacing w:after="80" w:before="80"/>
        <w:jc w:val="both"/>
      </w:pPr>
      <w:r>
        <w:rPr>
          <w:rFonts w:ascii="Arial" w:cs="Arial" w:eastAsia="Arial" w:hAnsi="Arial"/>
          <w:sz w:val="22"/>
          <w:szCs w:val="22"/>
        </w:rPr>
        <w:t xml:space="preserve">The cooperative sector occupied a significant place in the 1989 policy, with a dual emphasis: consolidating and strengthening profitable societies while rationalising non-viable ones. The sector spanned tea, sago, matchbox, coir, leather, polyethylene, coal, and other industries.</w:t>
      </w:r>
    </w:p>
    <w:p>
      <w:pPr>
        <w:spacing w:after="0" w:before="100"/>
      </w:pPr>
      <w:r>
        <w:t xml:space="preserve"/>
      </w:r>
    </w:p>
    <w:p>
      <w:pPr>
        <w:pStyle w:val="Heading2"/>
        <w:spacing w:after="120" w:before="280"/>
      </w:pPr>
      <w:r>
        <w:rPr>
          <w:rFonts w:ascii="Arial" w:cs="Arial" w:eastAsia="Arial" w:hAnsi="Arial"/>
          <w:b/>
          <w:bCs/>
          <w:color w:val="2E5090"/>
          <w:sz w:val="26"/>
          <w:szCs w:val="26"/>
        </w:rPr>
        <w:t xml:space="preserve">9.1 Cooperative Performance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rPr>
          <w:tblHeader/>
        </w:trPr>
        <w:tc>
          <w:tcPr>
            <w:tcW w:type="dxa" w:w="1872"/>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c>
          <w:tcPr>
            <w:tcW w:type="dxa" w:w="249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Profit-Making Societies</w:t>
            </w:r>
          </w:p>
        </w:tc>
        <w:tc>
          <w:tcPr>
            <w:tcW w:type="dxa" w:w="249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Production (Rs. Lakh)</w:t>
            </w:r>
          </w:p>
        </w:tc>
        <w:tc>
          <w:tcPr>
            <w:tcW w:type="dxa" w:w="249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Sales (Rs. Lakh)</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1986-87</w:t>
            </w:r>
          </w:p>
        </w:tc>
        <w:tc>
          <w:tcPr>
            <w:tcW w:type="dxa" w:w="249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228</w:t>
            </w:r>
          </w:p>
        </w:tc>
        <w:tc>
          <w:tcPr>
            <w:tcW w:type="dxa" w:w="249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9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10,423.30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1987-88</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207</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8,722.12</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11,508.60</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Note</w:t>
            </w:r>
          </w:p>
        </w:tc>
        <w:tc>
          <w:tcPr>
            <w:tcW w:type="dxa" w:w="249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50 non-performing societies dissolved in 1987-88 and further 50 by Dec 1988</w:t>
            </w:r>
          </w:p>
        </w:tc>
        <w:tc>
          <w:tcPr>
            <w:tcW w:type="dxa" w:w="249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249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
            </w:r>
          </w:p>
        </w:tc>
      </w:tr>
    </w:tbl>
    <w:p>
      <w:pPr>
        <w:spacing w:after="0" w:before="120"/>
      </w:pPr>
      <w:r>
        <w:t xml:space="preserve"/>
      </w:r>
    </w:p>
    <w:p>
      <w:pPr>
        <w:pStyle w:val="Heading2"/>
        <w:spacing w:after="120" w:before="280"/>
      </w:pPr>
      <w:r>
        <w:rPr>
          <w:rFonts w:ascii="Arial" w:cs="Arial" w:eastAsia="Arial" w:hAnsi="Arial"/>
          <w:b/>
          <w:bCs/>
          <w:color w:val="2E5090"/>
          <w:sz w:val="26"/>
          <w:szCs w:val="26"/>
        </w:rPr>
        <w:t xml:space="preserve">9.2 Key Cooperative Clusters</w:t>
      </w:r>
    </w:p>
    <w:p>
      <w:pPr>
        <w:spacing w:after="100" w:before="200"/>
      </w:pPr>
      <w:r>
        <w:rPr>
          <w:rFonts w:ascii="Arial" w:cs="Arial" w:eastAsia="Arial" w:hAnsi="Arial"/>
          <w:b/>
          <w:bCs/>
          <w:color w:val="2E5090"/>
          <w:sz w:val="24"/>
          <w:szCs w:val="24"/>
        </w:rPr>
        <w:t xml:space="preserve">Tea Cooperatives (Nilgiris)</w:t>
      </w:r>
    </w:p>
    <w:p>
      <w:pPr>
        <w:spacing w:after="80" w:before="80"/>
        <w:jc w:val="both"/>
      </w:pPr>
      <w:r>
        <w:rPr>
          <w:rFonts w:ascii="Arial" w:cs="Arial" w:eastAsia="Arial" w:hAnsi="Arial"/>
          <w:sz w:val="22"/>
          <w:szCs w:val="22"/>
        </w:rPr>
        <w:t xml:space="preserve">~20,000 small growers; 30,000 acres; 15 cooperative factories (13 producing). INKOCERV federation provided marketing, storage, and technical support. Automated tea-packing machinery (Rs. 8.50 Lakh, interest-free) sourced from the Kolkata Tea Board in 1989.</w:t>
      </w:r>
    </w:p>
    <w:p>
      <w:pPr>
        <w:spacing w:after="0" w:before="60"/>
      </w:pPr>
      <w:r>
        <w:t xml:space="preserve"/>
      </w:r>
    </w:p>
    <w:p>
      <w:pPr>
        <w:spacing w:after="100" w:before="200"/>
      </w:pPr>
      <w:r>
        <w:rPr>
          <w:rFonts w:ascii="Arial" w:cs="Arial" w:eastAsia="Arial" w:hAnsi="Arial"/>
          <w:b/>
          <w:bCs/>
          <w:color w:val="2E5090"/>
          <w:sz w:val="24"/>
          <w:szCs w:val="24"/>
        </w:rPr>
        <w:t xml:space="preserve">Sago and Starch (Salem / Dharmapuri)</w:t>
      </w:r>
    </w:p>
    <w:p>
      <w:pPr>
        <w:spacing w:after="80" w:before="80"/>
        <w:jc w:val="both"/>
      </w:pPr>
      <w:r>
        <w:rPr>
          <w:rFonts w:ascii="Arial" w:cs="Arial" w:eastAsia="Arial" w:hAnsi="Arial"/>
          <w:sz w:val="22"/>
          <w:szCs w:val="22"/>
        </w:rPr>
        <w:t xml:space="preserve">620+ units in two cooperative federations (SACOSEV and STARCH SERV). Combined procurement: Rs. 4,216 Lakh (1987-88). Protected small producers from middlemen exploitation through collective marketing and storage.</w:t>
      </w:r>
    </w:p>
    <w:p>
      <w:pPr>
        <w:spacing w:after="0" w:before="60"/>
      </w:pPr>
      <w:r>
        <w:t xml:space="preserve"/>
      </w:r>
    </w:p>
    <w:p>
      <w:pPr>
        <w:spacing w:after="100" w:before="200"/>
      </w:pPr>
      <w:r>
        <w:rPr>
          <w:rFonts w:ascii="Arial" w:cs="Arial" w:eastAsia="Arial" w:hAnsi="Arial"/>
          <w:b/>
          <w:bCs/>
          <w:color w:val="2E5090"/>
          <w:sz w:val="24"/>
          <w:szCs w:val="24"/>
        </w:rPr>
        <w:t xml:space="preserve">Matchbox Industry (Sivakasi / Kovilpatti Belt)</w:t>
      </w:r>
    </w:p>
    <w:p>
      <w:pPr>
        <w:spacing w:after="80" w:before="80"/>
        <w:jc w:val="both"/>
      </w:pPr>
      <w:r>
        <w:rPr>
          <w:rFonts w:ascii="Arial" w:cs="Arial" w:eastAsia="Arial" w:hAnsi="Arial"/>
          <w:sz w:val="22"/>
          <w:szCs w:val="22"/>
        </w:rPr>
        <w:t xml:space="preserve">25 worker cooperatives specifically established for below-poverty-line rural women and SC communities. Each society directly employed ~20 persons. State-level federation (Sattur) supplied potassium chlorate; production 9.47 lakh bundles (1988-89 April-December).</w:t>
      </w:r>
    </w:p>
    <w:p>
      <w:pPr>
        <w:spacing w:after="0" w:before="60"/>
      </w:pPr>
      <w:r>
        <w:t xml:space="preserve"/>
      </w:r>
    </w:p>
    <w:p>
      <w:pPr>
        <w:spacing w:after="100" w:before="200"/>
      </w:pPr>
      <w:r>
        <w:rPr>
          <w:rFonts w:ascii="Arial" w:cs="Arial" w:eastAsia="Arial" w:hAnsi="Arial"/>
          <w:b/>
          <w:bCs/>
          <w:color w:val="2E5090"/>
          <w:sz w:val="24"/>
          <w:szCs w:val="24"/>
        </w:rPr>
        <w:t xml:space="preserve">Coir Industry (Coastal Districts)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Production (Rs. Lakh)</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Sales (Rs. Lakh)</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1986-87</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77.20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1987-88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91.62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96.40</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1988-89 (Apr-Dec)</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85.70</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103.20</w:t>
            </w:r>
          </w:p>
        </w:tc>
      </w:tr>
    </w:tbl>
    <w:p>
      <w:pPr>
        <w:spacing w:after="0" w:before="200"/>
      </w:pPr>
      <w:r>
        <w:t xml:space="preserve"/>
      </w:r>
    </w:p>
    <w:p>
      <w:r>
        <w:br w:type="page"/>
      </w:r>
    </w:p>
    <w:p>
      <w:pPr>
        <w:pStyle w:val="Heading1"/>
        <w:pBdr>
          <w:bottom w:val="single" w:color="1F3864" w:sz="6" w:space="1"/>
        </w:pBdr>
        <w:spacing w:after="160" w:before="400"/>
      </w:pPr>
      <w:r>
        <w:rPr>
          <w:rFonts w:ascii="Arial" w:cs="Arial" w:eastAsia="Arial" w:hAnsi="Arial"/>
          <w:b/>
          <w:bCs/>
          <w:color w:val="1F3864"/>
          <w:sz w:val="32"/>
          <w:szCs w:val="32"/>
        </w:rPr>
        <w:t xml:space="preserve">10. Comparative State Analysis — Tamil Nadu vs. Peer States (Late 1980s)</w:t>
      </w:r>
    </w:p>
    <w:p>
      <w:pPr>
        <w:spacing w:after="80" w:before="80"/>
        <w:jc w:val="both"/>
      </w:pPr>
      <w:r>
        <w:rPr>
          <w:rFonts w:ascii="Arial" w:cs="Arial" w:eastAsia="Arial" w:hAnsi="Arial"/>
          <w:sz w:val="22"/>
          <w:szCs w:val="22"/>
        </w:rPr>
        <w:t xml:space="preserve">Placing Tamil Nadu's 1989 policy in comparative context illuminates what was distinctive about the state's approach and why it produced differentiated outcomes after liberalisation.</w:t>
      </w:r>
    </w:p>
    <w:p>
      <w:pPr>
        <w:spacing w:after="0" w:before="100"/>
      </w:pPr>
      <w: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700"/>
        <w:gridCol w:w="1560"/>
        <w:gridCol w:w="1320"/>
        <w:gridCol w:w="1320"/>
        <w:gridCol w:w="1320"/>
        <w:gridCol w:w="1320"/>
        <w:gridCol w:w="1320"/>
      </w:tblGrid>
      <w:tr>
        <w:trPr>
          <w:tblHeader/>
        </w:trPr>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Tamil Nadu</w:t>
            </w:r>
          </w:p>
        </w:tc>
        <w:tc>
          <w:tcPr>
            <w:tcW w:type="dxa" w:w="13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Maharashtra</w:t>
            </w:r>
          </w:p>
        </w:tc>
        <w:tc>
          <w:tcPr>
            <w:tcW w:type="dxa" w:w="13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Gujarat</w:t>
            </w:r>
          </w:p>
        </w:tc>
        <w:tc>
          <w:tcPr>
            <w:tcW w:type="dxa" w:w="13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Karnataka</w:t>
            </w:r>
          </w:p>
        </w:tc>
        <w:tc>
          <w:tcPr>
            <w:tcW w:type="dxa" w:w="13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Andhra Pradesh</w:t>
            </w:r>
          </w:p>
        </w:tc>
      </w:tr>
      <w:tr>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State Financial Institution</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TIIC (est. 1949) — India's first SFI; profitable; SSI-focused</w:t>
            </w:r>
          </w:p>
        </w:tc>
        <w:tc>
          <w:tcPr>
            <w:tcW w:type="dxa" w:w="1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SICOM (est. 1965)</w:t>
            </w:r>
          </w:p>
        </w:tc>
        <w:tc>
          <w:tcPr>
            <w:tcW w:type="dxa" w:w="1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GIIC (est. 1968)</w:t>
            </w:r>
          </w:p>
        </w:tc>
        <w:tc>
          <w:tcPr>
            <w:tcW w:type="dxa" w:w="1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KSIIDC (est. 1964)</w:t>
            </w:r>
          </w:p>
        </w:tc>
        <w:tc>
          <w:tcPr>
            <w:tcW w:type="dxa" w:w="1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APIDC (est. 1960)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SSI infrastructure agency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SIDCO (est. 1971) with 49 estates and 2,349 sheds by 1989</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MIDC (est. 1962) — large estates, primarily medium/large firms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GIDC (est. 1962)</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KIADB (est. 1966)</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APIIC (est. 1973)</w:t>
            </w:r>
          </w:p>
        </w:tc>
      </w:tr>
      <w:tr>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Cooperative industrial base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Strong: tea, sago, matchbox, coir, leather — all with apex federations</w:t>
            </w:r>
          </w:p>
        </w:tc>
        <w:tc>
          <w:tcPr>
            <w:tcW w:type="dxa" w:w="1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Moderate: Kolhapur engineering cooperatives</w:t>
            </w:r>
          </w:p>
        </w:tc>
        <w:tc>
          <w:tcPr>
            <w:tcW w:type="dxa" w:w="1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Limited cooperative manufacturing</w:t>
            </w:r>
          </w:p>
        </w:tc>
        <w:tc>
          <w:tcPr>
            <w:tcW w:type="dxa" w:w="1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Limited</w:t>
            </w:r>
          </w:p>
        </w:tc>
        <w:tc>
          <w:tcPr>
            <w:tcW w:type="dxa" w:w="1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Limited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Technology infrastructure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Dedicated electronics parks + testing labs in 3 cities + ceramics institute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MIDC electronics zones in Pune/Mumbai</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GIDC industrial estates; limited technology clustering</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KEONICS electronics zone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Limited dedicated tech estates</w:t>
            </w:r>
          </w:p>
        </w:tc>
      </w:tr>
      <w:tr>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Backward area strategy</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Multi-layered: capital subsidy + power concession + tax loans in backward taluks</w:t>
            </w:r>
          </w:p>
        </w:tc>
        <w:tc>
          <w:tcPr>
            <w:tcW w:type="dxa" w:w="1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District development funds; less granular</w:t>
            </w:r>
          </w:p>
        </w:tc>
        <w:tc>
          <w:tcPr>
            <w:tcW w:type="dxa" w:w="1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GIDC estates in Saurashtra, North Gujarat</w:t>
            </w:r>
          </w:p>
        </w:tc>
        <w:tc>
          <w:tcPr>
            <w:tcW w:type="dxa" w:w="1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Relatively metro-concentrated</w:t>
            </w:r>
          </w:p>
        </w:tc>
        <w:tc>
          <w:tcPr>
            <w:tcW w:type="dxa" w:w="1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Relatively metro-concentrated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Social equity in industrial policy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Explicit: SC/ST quotas in PMRY; women's cooperatives; tribal lending norms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Limited explicit provisions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Patel-community-centric; limited social equity design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Limited explicit provisions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Limited explicit provisions</w:t>
            </w:r>
          </w:p>
        </w:tc>
      </w:tr>
      <w:tr>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International finance for industry</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Japan ODA for hi-tech estates — 3,198 million yen</w:t>
            </w:r>
          </w:p>
        </w:tc>
        <w:tc>
          <w:tcPr>
            <w:tcW w:type="dxa" w:w="1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World Bank support for MIDC</w:t>
            </w:r>
          </w:p>
        </w:tc>
        <w:tc>
          <w:tcPr>
            <w:tcW w:type="dxa" w:w="1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ADB support for GIDC</w:t>
            </w:r>
          </w:p>
        </w:tc>
        <w:tc>
          <w:tcPr>
            <w:tcW w:type="dxa" w:w="1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Limited</w:t>
            </w:r>
          </w:p>
        </w:tc>
        <w:tc>
          <w:tcPr>
            <w:tcW w:type="dxa" w:w="1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Limited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7ED"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Interpretation</w:t>
            </w:r>
          </w:p>
          <w:p>
            <w:pPr>
              <w:spacing w:after="0" w:before="0"/>
              <w:jc w:val="both"/>
            </w:pPr>
            <w:r>
              <w:rPr>
                <w:rFonts w:ascii="Arial" w:cs="Arial" w:eastAsia="Arial" w:hAnsi="Arial"/>
                <w:sz w:val="22"/>
                <w:szCs w:val="22"/>
              </w:rPr>
              <w:t xml:space="preserve">Tamil Nadu's distinctiveness in the late 1980s lay in three areas: (1) the depth and age of its state financial institution (TIIC, the oldest in India); (2) the breadth and social-equity orientation of its cooperative industrial sector; and (3) the early, deliberate focus on technology-intensive sectors through dedicated infrastructure. Maharashtra had scale; Gujarat had commercial dynamism; but Tamil Nadu had institutional depth across the full range of SSI support functions.</w:t>
            </w:r>
          </w:p>
        </w:tc>
      </w:tr>
    </w:tbl>
    <w:p>
      <w:pPr>
        <w:spacing w:after="0" w:before="200"/>
      </w:pPr>
      <w:r>
        <w:t xml:space="preserve"/>
      </w:r>
    </w:p>
    <w:p>
      <w:r>
        <w:br w:type="page"/>
      </w:r>
    </w:p>
    <w:p>
      <w:pPr>
        <w:pStyle w:val="Heading1"/>
        <w:pBdr>
          <w:bottom w:val="single" w:color="1F3864" w:sz="6" w:space="1"/>
        </w:pBdr>
        <w:spacing w:after="160" w:before="400"/>
      </w:pPr>
      <w:r>
        <w:rPr>
          <w:rFonts w:ascii="Arial" w:cs="Arial" w:eastAsia="Arial" w:hAnsi="Arial"/>
          <w:b/>
          <w:bCs/>
          <w:color w:val="1F3864"/>
          <w:sz w:val="32"/>
          <w:szCs w:val="32"/>
        </w:rPr>
        <w:t xml:space="preserve">11. Sector-Specific Strategies</w:t>
      </w:r>
    </w:p>
    <w:p>
      <w:pPr>
        <w:pStyle w:val="Heading2"/>
        <w:spacing w:after="120" w:before="280"/>
      </w:pPr>
      <w:r>
        <w:rPr>
          <w:rFonts w:ascii="Arial" w:cs="Arial" w:eastAsia="Arial" w:hAnsi="Arial"/>
          <w:b/>
          <w:bCs/>
          <w:color w:val="2E5090"/>
          <w:sz w:val="26"/>
          <w:szCs w:val="26"/>
        </w:rPr>
        <w:t xml:space="preserve">11.1 Electronics and Electrical Industries</w:t>
      </w:r>
    </w:p>
    <w:p>
      <w:pPr>
        <w:spacing w:after="80" w:before="80"/>
        <w:jc w:val="both"/>
      </w:pPr>
      <w:r>
        <w:rPr>
          <w:rFonts w:ascii="Arial" w:cs="Arial" w:eastAsia="Arial" w:hAnsi="Arial"/>
          <w:sz w:val="22"/>
          <w:szCs w:val="22"/>
        </w:rPr>
        <w:t xml:space="preserve">Electronics was accorded strategic status, with dedicated estates, streamlined production approvals (17,824 categories delegated to a state-level committee), and quality certification infrastructure in three cities. Production approvals grew from 156 in 1983 to 219 in 1988-89 — a 40% increase.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2880"/>
      </w:tblGrid>
      <w:tr>
        <w:trPr>
          <w:tblHeader/>
        </w:trPr>
        <w:tc>
          <w:tcPr>
            <w:tcW w:type="dxa" w:w="32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Electronics Estate</w:t>
            </w:r>
          </w:p>
        </w:tc>
        <w:tc>
          <w:tcPr>
            <w:tcW w:type="dxa" w:w="32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Location</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Sheds/Plots</w:t>
            </w:r>
          </w:p>
        </w:tc>
      </w:tr>
      <w:tr>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Dr. Vikram Sarabhai Electronics Estate</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Chennai-47</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104+104+104</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Perungudi Electronics Estate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Chennai-96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174</w:t>
            </w:r>
          </w:p>
        </w:tc>
      </w:tr>
      <w:tr>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Kakkalur</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Tiruvallur</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44</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Hosur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Krishnagiri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42</w:t>
            </w:r>
          </w:p>
        </w:tc>
      </w:tr>
      <w:tr>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Trichy</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Trichy</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65</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Madurai</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Madurai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101+41</w:t>
            </w:r>
          </w:p>
        </w:tc>
      </w:tr>
      <w:tr>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Coimbatore</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Coimbatore</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24</w:t>
            </w:r>
          </w:p>
        </w:tc>
      </w:tr>
    </w:tbl>
    <w:p>
      <w:pPr>
        <w:spacing w:after="0" w:before="120"/>
      </w:pPr>
      <w:r>
        <w:t xml:space="preserve"/>
      </w:r>
    </w:p>
    <w:p>
      <w:pPr>
        <w:pStyle w:val="Heading2"/>
        <w:spacing w:after="120" w:before="280"/>
      </w:pPr>
      <w:r>
        <w:rPr>
          <w:rFonts w:ascii="Arial" w:cs="Arial" w:eastAsia="Arial" w:hAnsi="Arial"/>
          <w:b/>
          <w:bCs/>
          <w:color w:val="2E5090"/>
          <w:sz w:val="26"/>
          <w:szCs w:val="26"/>
        </w:rPr>
        <w:t xml:space="preserve">11.2 Leather Industry</w:t>
      </w:r>
    </w:p>
    <w:p>
      <w:pPr>
        <w:spacing w:after="80" w:before="80"/>
        <w:jc w:val="both"/>
      </w:pPr>
      <w:r>
        <w:rPr>
          <w:rFonts w:ascii="Arial" w:cs="Arial" w:eastAsia="Arial" w:hAnsi="Arial"/>
          <w:sz w:val="22"/>
          <w:szCs w:val="22"/>
        </w:rPr>
        <w:t xml:space="preserve">TALCO (est. March 1983, Rs. 10 Crore authorised capital) addressed two structural challenges: upgrading small tanners and treating industrial effluents. The policy included a 10% additional capital subsidy specifically for leather tannery effluent treatment plants — an early integration of environmental compliance into industrial incentive design.</w:t>
      </w:r>
    </w:p>
    <w:p>
      <w:pPr>
        <w:spacing w:after="0" w:before="100"/>
      </w:pPr>
      <w:r>
        <w:t xml:space="preserve"/>
      </w:r>
    </w:p>
    <w:p>
      <w:pPr>
        <w:pStyle w:val="Heading2"/>
        <w:spacing w:after="120" w:before="280"/>
      </w:pPr>
      <w:r>
        <w:rPr>
          <w:rFonts w:ascii="Arial" w:cs="Arial" w:eastAsia="Arial" w:hAnsi="Arial"/>
          <w:b/>
          <w:bCs/>
          <w:color w:val="2E5090"/>
          <w:sz w:val="26"/>
          <w:szCs w:val="26"/>
        </w:rPr>
        <w:t xml:space="preserve">11.3 Ceramics Industry (Vridhachalam Cluster)</w:t>
      </w:r>
    </w:p>
    <w:p>
      <w:pPr>
        <w:spacing w:after="80" w:before="80"/>
        <w:jc w:val="both"/>
      </w:pPr>
      <w:r>
        <w:rPr>
          <w:rFonts w:ascii="Arial" w:cs="Arial" w:eastAsia="Arial" w:hAnsi="Arial"/>
          <w:sz w:val="22"/>
          <w:szCs w:val="22"/>
        </w:rPr>
        <w:t xml:space="preserve">Three integrated facilities: a technology training institute (3-year diploma for 10th pass students, reduced from 4 years in 1988), a body-slip production centre (130-140 MT/month for 100 nearby SSIs), and a tunnel kiln providing round-the-clock firing services. By January 1989, the service centre had produced 1,352.58 MT of shaped articles (Rs. 15.49 Lakh) and heat-treated 1,085.59 MT of ceramic goods (Rs. 290.12 Lakh).</w:t>
      </w:r>
    </w:p>
    <w:p>
      <w:pPr>
        <w:spacing w:after="0" w:before="100"/>
      </w:pPr>
      <w:r>
        <w:t xml:space="preserve"/>
      </w:r>
    </w:p>
    <w:p>
      <w:pPr>
        <w:pStyle w:val="Heading2"/>
        <w:spacing w:after="120" w:before="280"/>
      </w:pPr>
      <w:r>
        <w:rPr>
          <w:rFonts w:ascii="Arial" w:cs="Arial" w:eastAsia="Arial" w:hAnsi="Arial"/>
          <w:b/>
          <w:bCs/>
          <w:color w:val="2E5090"/>
          <w:sz w:val="26"/>
          <w:szCs w:val="26"/>
        </w:rPr>
        <w:t xml:space="preserve">11.4 Chemicals, Salt, and Scientific Glass</w:t>
      </w:r>
    </w:p>
    <w:p>
      <w:pPr>
        <w:spacing w:after="80" w:before="80"/>
        <w:jc w:val="both"/>
      </w:pPr>
      <w:r>
        <w:rPr>
          <w:rFonts w:ascii="Arial" w:cs="Arial" w:eastAsia="Arial" w:hAnsi="Arial"/>
          <w:sz w:val="22"/>
          <w:szCs w:val="22"/>
        </w:rPr>
        <w:t xml:space="preserve">Testing laboratories in Guindy, Madurai, and Coimbatore served 5,000+ industrial units annually. The Thoothukudi Marine Chemicals and Salt Research Station provided testing for coastal-chemical producers. A Scientific Glass Training Centre at Sandy trained 25 students per year for laboratory glassware manufacturing — a niche but strategically important programme.</w:t>
      </w:r>
    </w:p>
    <w:p>
      <w:pPr>
        <w:spacing w:after="0" w:before="200"/>
      </w:pPr>
      <w:r>
        <w:t xml:space="preserve"/>
      </w:r>
    </w:p>
    <w:p>
      <w:r>
        <w:br w:type="page"/>
      </w:r>
    </w:p>
    <w:p>
      <w:pPr>
        <w:pStyle w:val="Heading1"/>
        <w:pBdr>
          <w:bottom w:val="single" w:color="1F3864" w:sz="6" w:space="1"/>
        </w:pBdr>
        <w:spacing w:after="160" w:before="400"/>
      </w:pPr>
      <w:r>
        <w:rPr>
          <w:rFonts w:ascii="Arial" w:cs="Arial" w:eastAsia="Arial" w:hAnsi="Arial"/>
          <w:b/>
          <w:bCs/>
          <w:color w:val="1F3864"/>
          <w:sz w:val="32"/>
          <w:szCs w:val="32"/>
        </w:rPr>
        <w:t xml:space="preserve">12. Employment Generation — Targeted Programmes</w:t>
      </w:r>
    </w:p>
    <w:p>
      <w:pPr>
        <w:pStyle w:val="Heading2"/>
        <w:spacing w:after="120" w:before="280"/>
      </w:pPr>
      <w:r>
        <w:rPr>
          <w:rFonts w:ascii="Arial" w:cs="Arial" w:eastAsia="Arial" w:hAnsi="Arial"/>
          <w:b/>
          <w:bCs/>
          <w:color w:val="2E5090"/>
          <w:sz w:val="26"/>
          <w:szCs w:val="26"/>
        </w:rPr>
        <w:t xml:space="preserve">12.1 Prime Minister's Rozgar Yojana (PMRY) — Trend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Applications Received</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Bank Approvals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Loans Disbursed (Rs. Lakh)</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1983-84</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1,92,761</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22,162</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2,388.81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1984-85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1,71,614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3,225.12</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1985-86</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97,868</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18,720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2,121.19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1986-87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1,01,667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18,448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2,361.98</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1987-88</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9,278</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1988-89 (Apr-Jan)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4,602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396.34</w:t>
            </w:r>
          </w:p>
        </w:tc>
      </w:tr>
    </w:tbl>
    <w:p>
      <w:pPr>
        <w:spacing w:after="0" w:before="120"/>
      </w:pPr>
      <w:r>
        <w:t xml:space="preserve"/>
      </w:r>
    </w:p>
    <w:p>
      <w:pPr>
        <w:spacing w:after="80" w:before="80"/>
        <w:jc w:val="both"/>
      </w:pPr>
      <w:r>
        <w:rPr>
          <w:rFonts w:ascii="Arial" w:cs="Arial" w:eastAsia="Arial" w:hAnsi="Arial"/>
          <w:sz w:val="22"/>
          <w:szCs w:val="22"/>
        </w:rPr>
        <w:t xml:space="preserve">The declining approval trend from 22,000+ (1983-84) to 4,602 (1988-89) warrants attention. Possible causes include tightening bank credit standards, demand saturation in some districts, or scheme design fatigue. A mid-scheme evaluation mechanism would have been beneficial.</w:t>
      </w:r>
    </w:p>
    <w:p>
      <w:pPr>
        <w:spacing w:after="0" w:before="100"/>
      </w:pPr>
      <w:r>
        <w:t xml:space="preserve"/>
      </w:r>
    </w:p>
    <w:p>
      <w:pPr>
        <w:pStyle w:val="Heading2"/>
        <w:spacing w:after="120" w:before="280"/>
      </w:pPr>
      <w:r>
        <w:rPr>
          <w:rFonts w:ascii="Arial" w:cs="Arial" w:eastAsia="Arial" w:hAnsi="Arial"/>
          <w:b/>
          <w:bCs/>
          <w:color w:val="2E5090"/>
          <w:sz w:val="26"/>
          <w:szCs w:val="26"/>
        </w:rPr>
        <w:t xml:space="preserve">12.2 Rural Artisan Scheme</w:t>
      </w:r>
    </w:p>
    <w:p>
      <w:pPr>
        <w:spacing w:after="80" w:before="80"/>
        <w:jc w:val="both"/>
      </w:pPr>
      <w:r>
        <w:rPr>
          <w:rFonts w:ascii="Arial" w:cs="Arial" w:eastAsia="Arial" w:hAnsi="Arial"/>
          <w:sz w:val="22"/>
          <w:szCs w:val="22"/>
        </w:rPr>
        <w:t xml:space="preserve">Training stipend Rs. 700/month + Rs. 50/month (raw materials) + Rs. 850 tool-kit grant on completion + Rs. 3,000 workshop construction subsidy per individual. In 1988-89 (to January), 1,620 rural artisans benefited (expenditure: Rs. 8.97 Lakh).</w:t>
      </w:r>
    </w:p>
    <w:p>
      <w:pPr>
        <w:spacing w:after="0" w:before="200"/>
      </w:pPr>
      <w:r>
        <w:t xml:space="preserve"/>
      </w:r>
    </w:p>
    <w:p>
      <w:r>
        <w:br w:type="page"/>
      </w:r>
    </w:p>
    <w:p>
      <w:pPr>
        <w:pStyle w:val="Heading1"/>
        <w:pBdr>
          <w:bottom w:val="single" w:color="1F3864" w:sz="6" w:space="1"/>
        </w:pBdr>
        <w:spacing w:after="160" w:before="400"/>
      </w:pPr>
      <w:r>
        <w:rPr>
          <w:rFonts w:ascii="Arial" w:cs="Arial" w:eastAsia="Arial" w:hAnsi="Arial"/>
          <w:b/>
          <w:bCs/>
          <w:color w:val="1F3864"/>
          <w:sz w:val="32"/>
          <w:szCs w:val="32"/>
        </w:rPr>
        <w:t xml:space="preserve">13. Legacy and Long-Term Impact</w:t>
      </w:r>
    </w:p>
    <w:p>
      <w:pPr>
        <w:spacing w:after="80" w:before="80"/>
        <w:jc w:val="both"/>
      </w:pPr>
      <w:r>
        <w:rPr>
          <w:rFonts w:ascii="Arial" w:cs="Arial" w:eastAsia="Arial" w:hAnsi="Arial"/>
          <w:sz w:val="22"/>
          <w:szCs w:val="22"/>
        </w:rPr>
        <w:t xml:space="preserve">The 1989 policy's legacy is best understood not through the immediate statistics it generated — registrations, loan sanctions, shed constructions — but through the institutional capacity it built and the industrial trajectories it enabled.</w:t>
      </w:r>
    </w:p>
    <w:p>
      <w:pPr>
        <w:spacing w:after="0" w:before="100"/>
      </w:pPr>
      <w:r>
        <w:t xml:space="preserve"/>
      </w:r>
    </w:p>
    <w:p>
      <w:pPr>
        <w:pStyle w:val="Heading2"/>
        <w:spacing w:after="120" w:before="280"/>
      </w:pPr>
      <w:r>
        <w:rPr>
          <w:rFonts w:ascii="Arial" w:cs="Arial" w:eastAsia="Arial" w:hAnsi="Arial"/>
          <w:b/>
          <w:bCs/>
          <w:color w:val="2E5090"/>
          <w:sz w:val="26"/>
          <w:szCs w:val="26"/>
        </w:rPr>
        <w:t xml:space="preserve">13.1 Auto Ancillary Growth (1990s-2000s)</w:t>
      </w:r>
    </w:p>
    <w:p>
      <w:pPr>
        <w:spacing w:after="80" w:before="80"/>
        <w:jc w:val="both"/>
      </w:pPr>
      <w:r>
        <w:rPr>
          <w:rFonts w:ascii="Arial" w:cs="Arial" w:eastAsia="Arial" w:hAnsi="Arial"/>
          <w:sz w:val="22"/>
          <w:szCs w:val="22"/>
        </w:rPr>
        <w:t xml:space="preserve">The 1989 policy's explicit priority for motor vehicle ancillary industries, the dedicated electronics-plus-auto cluster strategy at Hosur, and the DIC network's penetration into districts like Krishnagiri and Vellore created conditions for the emergence of the Chennai-Hosur auto corridor that would become one of India's largest automotive manufacturing zones. The Hyundai plant at Sriperumbudur (1998), the Ford plant at Maraimalai Nagar (1998), and the hundreds of tier-1 and tier-2 ancillary suppliers that followed were investing into a state that already had industrial infrastructure, a trained workforce, and a functioning financial ecosystem.</w:t>
      </w:r>
    </w:p>
    <w:p>
      <w:pPr>
        <w:spacing w:after="0" w:before="120"/>
      </w:pPr>
      <w:r>
        <w:t xml:space="preserve"/>
      </w:r>
    </w:p>
    <w:p>
      <w:pPr>
        <w:pStyle w:val="Heading2"/>
        <w:spacing w:after="120" w:before="280"/>
      </w:pPr>
      <w:r>
        <w:rPr>
          <w:rFonts w:ascii="Arial" w:cs="Arial" w:eastAsia="Arial" w:hAnsi="Arial"/>
          <w:b/>
          <w:bCs/>
          <w:color w:val="2E5090"/>
          <w:sz w:val="26"/>
          <w:szCs w:val="26"/>
        </w:rPr>
        <w:t xml:space="preserve">13.2 Electronics Manufacturing Surge</w:t>
      </w:r>
    </w:p>
    <w:p>
      <w:pPr>
        <w:spacing w:after="80" w:before="80"/>
        <w:jc w:val="both"/>
      </w:pPr>
      <w:r>
        <w:rPr>
          <w:rFonts w:ascii="Arial" w:cs="Arial" w:eastAsia="Arial" w:hAnsi="Arial"/>
          <w:sz w:val="22"/>
          <w:szCs w:val="22"/>
        </w:rPr>
        <w:t xml:space="preserve">The electronics estates established under the 1989 framework — particularly Perungudi and the planned hi-tech clusters — were direct precursors to the Sriperumbudur electronics corridor (Foxconn, Samsung, Flex, and others). TIDEL Park (1997), Tamil Nadu's first IT park, explicitly adopted the single-estate model pioneered by SIDCO. The continuity of institutional form across three decades is striking.</w:t>
      </w:r>
    </w:p>
    <w:p>
      <w:pPr>
        <w:spacing w:after="0" w:before="120"/>
      </w:pPr>
      <w:r>
        <w:t xml:space="preserve"/>
      </w:r>
    </w:p>
    <w:p>
      <w:pPr>
        <w:pStyle w:val="Heading2"/>
        <w:spacing w:after="120" w:before="280"/>
      </w:pPr>
      <w:r>
        <w:rPr>
          <w:rFonts w:ascii="Arial" w:cs="Arial" w:eastAsia="Arial" w:hAnsi="Arial"/>
          <w:b/>
          <w:bCs/>
          <w:color w:val="2E5090"/>
          <w:sz w:val="26"/>
          <w:szCs w:val="26"/>
        </w:rPr>
        <w:t xml:space="preserve">13.3 Pharmaceutical Cluster</w:t>
      </w:r>
    </w:p>
    <w:p>
      <w:pPr>
        <w:spacing w:after="80" w:before="80"/>
        <w:jc w:val="both"/>
      </w:pPr>
      <w:r>
        <w:rPr>
          <w:rFonts w:ascii="Arial" w:cs="Arial" w:eastAsia="Arial" w:hAnsi="Arial"/>
          <w:sz w:val="22"/>
          <w:szCs w:val="22"/>
        </w:rPr>
        <w:t xml:space="preserve">The special capital subsidy for pharmaceutical industries and the inclusion of pharma in the Japan ODA hi-tech estate programme seeded what would become a significant pharmaceutical manufacturing cluster in Tamil Nadu, particularly in the Chennai-Chengalpattu belt and around Baddi-type zones.</w:t>
      </w:r>
    </w:p>
    <w:p>
      <w:pPr>
        <w:spacing w:after="0" w:before="120"/>
      </w:pPr>
      <w:r>
        <w:t xml:space="preserve"/>
      </w:r>
    </w:p>
    <w:p>
      <w:pPr>
        <w:pStyle w:val="Heading2"/>
        <w:spacing w:after="120" w:before="280"/>
      </w:pPr>
      <w:r>
        <w:rPr>
          <w:rFonts w:ascii="Arial" w:cs="Arial" w:eastAsia="Arial" w:hAnsi="Arial"/>
          <w:b/>
          <w:bCs/>
          <w:color w:val="2E5090"/>
          <w:sz w:val="26"/>
          <w:szCs w:val="26"/>
        </w:rPr>
        <w:t xml:space="preserve">13.4 Rural Industrialisation and Cooperative Legacy</w:t>
      </w:r>
    </w:p>
    <w:p>
      <w:pPr>
        <w:spacing w:after="80" w:before="80"/>
        <w:jc w:val="both"/>
      </w:pPr>
      <w:r>
        <w:rPr>
          <w:rFonts w:ascii="Arial" w:cs="Arial" w:eastAsia="Arial" w:hAnsi="Arial"/>
          <w:sz w:val="22"/>
          <w:szCs w:val="22"/>
        </w:rPr>
        <w:t xml:space="preserve">The tea cooperatives in the Nilgiris, the sago cooperatives in Salem and Dharmapuri, the matchbox cooperatives in Sivakasi, and the coir cooperatives in coastal districts all continued operating and in many cases expanding after 1989. More importantly, they established an organisational template — commodity-based cooperatives with apex federations for marketing and procurement — that influenced cooperative policy in Tamil Nadu for decades.</w:t>
      </w:r>
    </w:p>
    <w:p>
      <w:pPr>
        <w:spacing w:after="0" w:before="120"/>
      </w:pPr>
      <w:r>
        <w:t xml:space="preserve"/>
      </w:r>
    </w:p>
    <w:p>
      <w:pPr>
        <w:pStyle w:val="Heading2"/>
        <w:spacing w:after="120" w:before="280"/>
      </w:pPr>
      <w:r>
        <w:rPr>
          <w:rFonts w:ascii="Arial" w:cs="Arial" w:eastAsia="Arial" w:hAnsi="Arial"/>
          <w:b/>
          <w:bCs/>
          <w:color w:val="2E5090"/>
          <w:sz w:val="26"/>
          <w:szCs w:val="26"/>
        </w:rPr>
        <w:t xml:space="preserve">13.5 Evolution Toward Modern Investment Facilitation</w:t>
      </w:r>
    </w:p>
    <w:p>
      <w:pPr>
        <w:spacing w:after="80" w:before="80"/>
        <w:jc w:val="both"/>
      </w:pPr>
      <w:r>
        <w:rPr>
          <w:rFonts w:ascii="Arial" w:cs="Arial" w:eastAsia="Arial" w:hAnsi="Arial"/>
          <w:sz w:val="22"/>
          <w:szCs w:val="22"/>
        </w:rPr>
        <w:t xml:space="preserve">The DIC-as-single-point-facilitator model of 1989 directly informed the Guidance Bureau (1992), Tamil Nadu's dedicated investment promotion agency, and subsequently the single-window clearance system formalised in the Tamil Nadu Transparency in Tenders Act and related regulations. The institutional logic — reduce entrepreneur friction through a dedicated facilitation authority — was continuous even as the forms evolved.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EFF9"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The Central Legacy</w:t>
            </w:r>
          </w:p>
          <w:p>
            <w:pPr>
              <w:spacing w:after="0" w:before="0"/>
              <w:jc w:val="both"/>
            </w:pPr>
            <w:r>
              <w:rPr>
                <w:rFonts w:ascii="Arial" w:cs="Arial" w:eastAsia="Arial" w:hAnsi="Arial"/>
                <w:sz w:val="22"/>
                <w:szCs w:val="22"/>
              </w:rPr>
              <w:t xml:space="preserve">Liberalisation accelerated Tamil Nadu's industrial growth, but it did not create it. The institutional architecture — DICs, SIDCO, TIIC, sector cooperatives, testing laboratories, and technology estates — was already in place. The 1989 policy was the most complete articulation of that architecture before market forces took over as the primary driver of industrial location decisions.</w:t>
            </w:r>
          </w:p>
        </w:tc>
      </w:tr>
    </w:tbl>
    <w:p>
      <w:pPr>
        <w:spacing w:after="0" w:before="200"/>
      </w:pPr>
      <w:r>
        <w:t xml:space="preserve"/>
      </w:r>
    </w:p>
    <w:p>
      <w:r>
        <w:br w:type="page"/>
      </w:r>
    </w:p>
    <w:p>
      <w:pPr>
        <w:pStyle w:val="Heading1"/>
        <w:pBdr>
          <w:bottom w:val="single" w:color="1F3864" w:sz="6" w:space="1"/>
        </w:pBdr>
        <w:spacing w:after="160" w:before="400"/>
      </w:pPr>
      <w:r>
        <w:rPr>
          <w:rFonts w:ascii="Arial" w:cs="Arial" w:eastAsia="Arial" w:hAnsi="Arial"/>
          <w:b/>
          <w:bCs/>
          <w:color w:val="1F3864"/>
          <w:sz w:val="32"/>
          <w:szCs w:val="32"/>
        </w:rPr>
        <w:t xml:space="preserve">14. Assessment — Strengths, Gaps, and Lessons</w:t>
      </w:r>
    </w:p>
    <w:p>
      <w:pPr>
        <w:pStyle w:val="Heading2"/>
        <w:spacing w:after="120" w:before="280"/>
      </w:pPr>
      <w:r>
        <w:rPr>
          <w:rFonts w:ascii="Arial" w:cs="Arial" w:eastAsia="Arial" w:hAnsi="Arial"/>
          <w:b/>
          <w:bCs/>
          <w:color w:val="2E5090"/>
          <w:sz w:val="26"/>
          <w:szCs w:val="26"/>
        </w:rPr>
        <w:t xml:space="preserve">14.1 Strengths</w:t>
      </w:r>
    </w:p>
    <w:p>
      <w:pPr>
        <w:pStyle w:val="ListParagraph"/>
        <w:numPr>
          <w:ilvl w:val="0"/>
          <w:numId w:val="2"/>
        </w:numPr>
        <w:spacing w:after="60" w:before="60"/>
      </w:pPr>
      <w:r>
        <w:rPr>
          <w:rFonts w:ascii="Arial" w:cs="Arial" w:eastAsia="Arial" w:hAnsi="Arial"/>
          <w:sz w:val="22"/>
          <w:szCs w:val="22"/>
        </w:rPr>
        <w:t xml:space="preserve">Comprehensiveness: Full value chain coverage — infrastructure, raw materials, finance, technology, marketing</w:t>
      </w:r>
    </w:p>
    <w:p>
      <w:pPr>
        <w:pStyle w:val="ListParagraph"/>
        <w:numPr>
          <w:ilvl w:val="0"/>
          <w:numId w:val="2"/>
        </w:numPr>
        <w:spacing w:after="60" w:before="60"/>
      </w:pPr>
      <w:r>
        <w:rPr>
          <w:rFonts w:ascii="Arial" w:cs="Arial" w:eastAsia="Arial" w:hAnsi="Arial"/>
          <w:sz w:val="22"/>
          <w:szCs w:val="22"/>
        </w:rPr>
        <w:t xml:space="preserve">Speed and decisiveness: One-month policy formulation communicated governance credibility</w:t>
      </w:r>
    </w:p>
    <w:p>
      <w:pPr>
        <w:pStyle w:val="ListParagraph"/>
        <w:numPr>
          <w:ilvl w:val="0"/>
          <w:numId w:val="2"/>
        </w:numPr>
        <w:spacing w:after="60" w:before="60"/>
      </w:pPr>
      <w:r>
        <w:rPr>
          <w:rFonts w:ascii="Arial" w:cs="Arial" w:eastAsia="Arial" w:hAnsi="Arial"/>
          <w:sz w:val="22"/>
          <w:szCs w:val="22"/>
        </w:rPr>
        <w:t xml:space="preserve">Social equity integration: Reserved categories, women, and backward areas embedded structurally, not cosmetically</w:t>
      </w:r>
    </w:p>
    <w:p>
      <w:pPr>
        <w:pStyle w:val="ListParagraph"/>
        <w:numPr>
          <w:ilvl w:val="0"/>
          <w:numId w:val="2"/>
        </w:numPr>
        <w:spacing w:after="60" w:before="60"/>
      </w:pPr>
      <w:r>
        <w:rPr>
          <w:rFonts w:ascii="Arial" w:cs="Arial" w:eastAsia="Arial" w:hAnsi="Arial"/>
          <w:sz w:val="22"/>
          <w:szCs w:val="22"/>
        </w:rPr>
        <w:t xml:space="preserve">Technology forward: Electronics estates and Japan ODA demonstrated early recognition of technology-led growth</w:t>
      </w:r>
    </w:p>
    <w:p>
      <w:pPr>
        <w:pStyle w:val="ListParagraph"/>
        <w:numPr>
          <w:ilvl w:val="0"/>
          <w:numId w:val="2"/>
        </w:numPr>
        <w:spacing w:after="60" w:before="60"/>
      </w:pPr>
      <w:r>
        <w:rPr>
          <w:rFonts w:ascii="Arial" w:cs="Arial" w:eastAsia="Arial" w:hAnsi="Arial"/>
          <w:sz w:val="22"/>
          <w:szCs w:val="22"/>
        </w:rPr>
        <w:t xml:space="preserve">Cooperative depth: Commodity cooperatives with apex federations provided market power to small producers</w:t>
      </w:r>
    </w:p>
    <w:p>
      <w:pPr>
        <w:pStyle w:val="ListParagraph"/>
        <w:numPr>
          <w:ilvl w:val="0"/>
          <w:numId w:val="2"/>
        </w:numPr>
        <w:spacing w:after="60" w:before="60"/>
      </w:pPr>
      <w:r>
        <w:rPr>
          <w:rFonts w:ascii="Arial" w:cs="Arial" w:eastAsia="Arial" w:hAnsi="Arial"/>
          <w:sz w:val="22"/>
          <w:szCs w:val="22"/>
        </w:rPr>
        <w:t xml:space="preserve">Institutional continuity: Building on TIIC (1949) and SIDCO (1971) rather than creating new institutions</w:t>
      </w:r>
    </w:p>
    <w:p>
      <w:pPr>
        <w:spacing w:after="0" w:before="120"/>
      </w:pPr>
      <w:r>
        <w:t xml:space="preserve"/>
      </w:r>
    </w:p>
    <w:p>
      <w:pPr>
        <w:pStyle w:val="Heading2"/>
        <w:spacing w:after="120" w:before="280"/>
      </w:pPr>
      <w:r>
        <w:rPr>
          <w:rFonts w:ascii="Arial" w:cs="Arial" w:eastAsia="Arial" w:hAnsi="Arial"/>
          <w:b/>
          <w:bCs/>
          <w:color w:val="2E5090"/>
          <w:sz w:val="26"/>
          <w:szCs w:val="26"/>
        </w:rPr>
        <w:t xml:space="preserve">14.2 Challenges and Gaps</w:t>
      </w:r>
    </w:p>
    <w:p>
      <w:pPr>
        <w:pStyle w:val="ListParagraph"/>
        <w:numPr>
          <w:ilvl w:val="0"/>
          <w:numId w:val="2"/>
        </w:numPr>
        <w:spacing w:after="60" w:before="60"/>
      </w:pPr>
      <w:r>
        <w:rPr>
          <w:rFonts w:ascii="Arial" w:cs="Arial" w:eastAsia="Arial" w:hAnsi="Arial"/>
          <w:sz w:val="22"/>
          <w:szCs w:val="22"/>
        </w:rPr>
        <w:t xml:space="preserve">Coal/coke logistics: Railway wagon shortage — beyond state control — was disrupting SSI raw material supply</w:t>
      </w:r>
    </w:p>
    <w:p>
      <w:pPr>
        <w:pStyle w:val="ListParagraph"/>
        <w:numPr>
          <w:ilvl w:val="0"/>
          <w:numId w:val="2"/>
        </w:numPr>
        <w:spacing w:after="60" w:before="60"/>
      </w:pPr>
      <w:r>
        <w:rPr>
          <w:rFonts w:ascii="Arial" w:cs="Arial" w:eastAsia="Arial" w:hAnsi="Arial"/>
          <w:sz w:val="22"/>
          <w:szCs w:val="22"/>
        </w:rPr>
        <w:t xml:space="preserve">Import dependency: Iron, steel, and alloy shortages required central advocacy; state capacity was limited</w:t>
      </w:r>
    </w:p>
    <w:p>
      <w:pPr>
        <w:pStyle w:val="ListParagraph"/>
        <w:numPr>
          <w:ilvl w:val="0"/>
          <w:numId w:val="2"/>
        </w:numPr>
        <w:spacing w:after="60" w:before="60"/>
      </w:pPr>
      <w:r>
        <w:rPr>
          <w:rFonts w:ascii="Arial" w:cs="Arial" w:eastAsia="Arial" w:hAnsi="Arial"/>
          <w:sz w:val="22"/>
          <w:szCs w:val="22"/>
        </w:rPr>
        <w:t xml:space="preserve">PMRY declining trend: Approvals fell from 22,162 (1983-84) to 4,602 (1988-89) — a 79% decline requiring explanation</w:t>
      </w:r>
    </w:p>
    <w:p>
      <w:pPr>
        <w:pStyle w:val="ListParagraph"/>
        <w:numPr>
          <w:ilvl w:val="0"/>
          <w:numId w:val="2"/>
        </w:numPr>
        <w:spacing w:after="60" w:before="60"/>
      </w:pPr>
      <w:r>
        <w:rPr>
          <w:rFonts w:ascii="Arial" w:cs="Arial" w:eastAsia="Arial" w:hAnsi="Arial"/>
          <w:sz w:val="22"/>
          <w:szCs w:val="22"/>
        </w:rPr>
        <w:t xml:space="preserve">Cooperative viability: 100 societies dissolved in two years alongside expansion — structural viability challenges persisted</w:t>
      </w:r>
    </w:p>
    <w:p>
      <w:pPr>
        <w:pStyle w:val="ListParagraph"/>
        <w:numPr>
          <w:ilvl w:val="0"/>
          <w:numId w:val="2"/>
        </w:numPr>
        <w:spacing w:after="60" w:before="60"/>
      </w:pPr>
      <w:r>
        <w:rPr>
          <w:rFonts w:ascii="Arial" w:cs="Arial" w:eastAsia="Arial" w:hAnsi="Arial"/>
          <w:sz w:val="22"/>
          <w:szCs w:val="22"/>
        </w:rPr>
        <w:t xml:space="preserve">Limited technology transfer mechanism: The Japan ODA programme notwithstanding, mechanisms for importing and adapting technology into SSIs were underdeveloped</w:t>
      </w:r>
    </w:p>
    <w:p>
      <w:pPr>
        <w:spacing w:after="0" w:before="200"/>
      </w:pPr>
      <w:r>
        <w:t xml:space="preserve"/>
      </w:r>
    </w:p>
    <w:p>
      <w:r>
        <w:br w:type="page"/>
      </w:r>
    </w:p>
    <w:p>
      <w:pPr>
        <w:pStyle w:val="Heading1"/>
        <w:pBdr>
          <w:bottom w:val="single" w:color="1F3864" w:sz="6" w:space="1"/>
        </w:pBdr>
        <w:spacing w:after="160" w:before="400"/>
      </w:pPr>
      <w:r>
        <w:rPr>
          <w:rFonts w:ascii="Arial" w:cs="Arial" w:eastAsia="Arial" w:hAnsi="Arial"/>
          <w:b/>
          <w:bCs/>
          <w:color w:val="1F3864"/>
          <w:sz w:val="32"/>
          <w:szCs w:val="32"/>
        </w:rPr>
        <w:t xml:space="preserve">15. Recommendations for Policy Makers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Note</w:t>
            </w:r>
          </w:p>
          <w:p>
            <w:pPr>
              <w:spacing w:after="0" w:before="0"/>
              <w:jc w:val="both"/>
            </w:pPr>
            <w:r>
              <w:rPr>
                <w:rFonts w:ascii="Arial" w:cs="Arial" w:eastAsia="Arial" w:hAnsi="Arial"/>
                <w:sz w:val="22"/>
                <w:szCs w:val="22"/>
              </w:rPr>
              <w:t xml:space="preserve">Recommendations are drawn from the 1989 policy's strengths and gaps and framed for relevance to contemporary state-level industrial policy design.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300"/>
        <w:gridCol w:w="57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c>
          <w:tcPr>
            <w:tcW w:type="dxa" w:w="5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 from 1989 Experience</w:t>
            </w:r>
          </w:p>
        </w:tc>
      </w:tr>
      <w:tr>
        <w:tc>
          <w:tcPr>
            <w:tcW w:type="dxa" w:w="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3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Maintain single-point facilitation for SSIs below Rs. 10 Lakh plant investment with exemption from prior officer approvals</w:t>
            </w:r>
          </w:p>
        </w:tc>
        <w:tc>
          <w:tcPr>
            <w:tcW w:type="dxa" w:w="5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The DIC single-facilitation model reduced compliance friction and increased registrations; formal exemption for small investments was already practised in 1989</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Design incentive structures with spatial and social layers — backward areas and SC/ST/women as structural features, not add-ons</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The layered model achieved geographic spread and social inclusion without requiring separate schemes or administrative machinery</w:t>
            </w:r>
          </w:p>
        </w:tc>
      </w:tr>
      <w:tr>
        <w:tc>
          <w:tcPr>
            <w:tcW w:type="dxa" w:w="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3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Establish dedicated technology-cluster estates for high-growth sectors with international concessional finance</w:t>
            </w:r>
          </w:p>
        </w:tc>
        <w:tc>
          <w:tcPr>
            <w:tcW w:type="dxa" w:w="5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The Japan ODA electronics/pharma/auto cluster programme demonstrated that state governments can access ODA for sub-national industrial infrastructure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Formalise cooperative rationalisation alongside promotion — a clear mechanism for closing non-viable societies</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 closures in two years alongside new formations; without rationalisation, the cooperative ecosystem accumulates unviable organisations that drain resources</w:t>
            </w:r>
          </w:p>
        </w:tc>
      </w:tr>
      <w:tr>
        <w:tc>
          <w:tcPr>
            <w:tcW w:type="dxa" w:w="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3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Integrate raw material facilitation into SSI support architecture — particularly for industries dependent on nationally scarce inputs</w:t>
            </w:r>
          </w:p>
        </w:tc>
        <w:tc>
          <w:tcPr>
            <w:tcW w:type="dxa" w:w="5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SIDCO's raw material distribution role directly reduced SSI vulnerability; the 1989 coal shortage illustrates what happens when this function is absent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Conduct periodic mid-scheme evaluations for credit-linked employment schemes with automatic parameter revision triggers</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The 79% fall in PMRY approvals over 5 years was visible in the 1989 data but no revision mechanism existed</w:t>
            </w:r>
          </w:p>
        </w:tc>
      </w:tr>
      <w:tr>
        <w:tc>
          <w:tcPr>
            <w:tcW w:type="dxa" w:w="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3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Continue international development finance for industrial infrastructure — state governments should actively mediate ODA access</w:t>
            </w:r>
          </w:p>
        </w:tc>
        <w:tc>
          <w:tcPr>
            <w:tcW w:type="dxa" w:w="5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The Japan ODA precedent showed this is feasible and valuable; the model is underused by most Indian states today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Create a Tamil Nadu Industrial History Observatory for systematic documentation of policies, institutions, estates, and sectoral transformations</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Tamil Nadu possesses one of the richest industrial policy histories among Indian states; documenting it would improve contemporary policy design and preserve irreplaceable institutional memory</w:t>
            </w:r>
          </w:p>
        </w:tc>
      </w:tr>
    </w:tbl>
    <w:p>
      <w:pPr>
        <w:spacing w:after="0" w:before="200"/>
      </w:pPr>
      <w:r>
        <w:t xml:space="preserve"/>
      </w:r>
    </w:p>
    <w:p>
      <w:r>
        <w:br w:type="page"/>
      </w:r>
    </w:p>
    <w:p>
      <w:pPr>
        <w:pStyle w:val="Heading1"/>
        <w:pBdr>
          <w:bottom w:val="single" w:color="1F3864" w:sz="6" w:space="1"/>
        </w:pBdr>
        <w:spacing w:after="160" w:before="400"/>
      </w:pPr>
      <w:r>
        <w:rPr>
          <w:rFonts w:ascii="Arial" w:cs="Arial" w:eastAsia="Arial" w:hAnsi="Arial"/>
          <w:b/>
          <w:bCs/>
          <w:color w:val="1F3864"/>
          <w:sz w:val="32"/>
          <w:szCs w:val="32"/>
        </w:rPr>
        <w:t xml:space="preserve">Annexure: Institutions Referenced in the 1989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200"/>
        <w:gridCol w:w="356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Acronym</w:t>
            </w:r>
          </w:p>
        </w:tc>
        <w:tc>
          <w:tcPr>
            <w:tcW w:type="dxa" w:w="3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Full Name</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Est.</w:t>
            </w:r>
          </w:p>
        </w:tc>
        <w:tc>
          <w:tcPr>
            <w:tcW w:type="dxa" w:w="3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Sector</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DIC</w:t>
            </w:r>
          </w:p>
        </w:tc>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District Industries Centre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1970s</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SSI promotion and facilitation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SIDCO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Tamil Nadu Small Industries Development Corporation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1971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Infrastructure and raw materials</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TIIC</w:t>
            </w:r>
          </w:p>
        </w:tc>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Tamil Nadu Industrial Investment Corporation</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1949</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Term finance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TANSI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Tamil Nadu Small Industries Corporation Ltd.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1965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Production and demonstration</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TALCO</w:t>
            </w:r>
          </w:p>
        </w:tc>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Tamil Nadu Leather Development Corporation</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1983</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Leather industry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INKOCERV</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Nilgiris Small Tea Growers Industrial Cooperative Service Society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1965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Tea cooperative federation</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SACOSEV</w:t>
            </w:r>
          </w:p>
        </w:tc>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Salem Sago and Starch Manufacturers Cooperative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1981-82</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Sago/starch marketing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TINCO SERV</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Dharmapuri Sago/Starch Cooperative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1982-83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Sago/starch marketing</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TICOSERV</w:t>
            </w:r>
          </w:p>
        </w:tc>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Tamil Nadu State Matchbox Cooperative Societies Federation</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Matchbox federation (Sattur)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TNSCB</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Tamil Nadu Small Industries Cooperative Bank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1961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Cooperative finance</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sz w:val="20"/>
                <w:szCs w:val="20"/>
              </w:rPr>
              <w:t xml:space="preserve">OECF</w:t>
            </w:r>
          </w:p>
        </w:tc>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Overseas Economic Cooperation Fund (Japan)</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ODA lender for hi-tech estates</w:t>
            </w:r>
          </w:p>
        </w:tc>
      </w:tr>
    </w:tbl>
    <w:p>
      <w:pPr>
        <w:spacing w:after="0" w:before="300"/>
      </w:pPr>
      <w:r>
        <w:t xml:space="preserve"/>
      </w:r>
    </w:p>
    <w:p>
      <w:pPr>
        <w:spacing w:after="80" w:before="80"/>
        <w:jc w:val="both"/>
      </w:pPr>
      <w:r>
        <w:rPr>
          <w:rFonts w:ascii="Arial" w:cs="Arial" w:eastAsia="Arial" w:hAnsi="Arial"/>
          <w:i/>
          <w:iCs/>
          <w:color w:val="777777"/>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spacing w:before="100"/>
      <w:jc w:val="center"/>
    </w:pPr>
    <w:r>
      <w:rPr>
        <w:rFonts w:ascii="Arial" w:cs="Arial" w:eastAsia="Arial" w:hAnsi="Arial"/>
        <w:color w:val="777777"/>
        <w:sz w:val="18"/>
        <w:szCs w:val="18"/>
      </w:rPr>
      <w:t xml:space="preserve">Tamil Nadu Legislative Assembly Records, April 21, 1989   |   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spacing w:after="100"/>
    </w:pPr>
    <w:r>
      <w:rPr>
        <w:rFonts w:ascii="Arial" w:cs="Arial" w:eastAsia="Arial" w:hAnsi="Arial"/>
        <w:i/>
        <w:iCs/>
        <w:color w:val="555555"/>
        <w:sz w:val="18"/>
        <w:szCs w:val="18"/>
      </w:rPr>
      <w:t xml:space="preserve">TAMIL NADU INDUSTRIAL POLICY 1989 — HISTORICAL-INDUSTRIAL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2026-06-04T04:11:25.939Z</dcterms:created>
  <dcterms:modified xsi:type="dcterms:W3CDTF">2026-06-04T04:11:25.939Z</dcterms:modified>
</cp:coreProperties>
</file>

<file path=docProps/custom.xml><?xml version="1.0" encoding="utf-8"?>
<Properties xmlns="http://schemas.openxmlformats.org/officeDocument/2006/custom-properties" xmlns:vt="http://schemas.openxmlformats.org/officeDocument/2006/docPropsVTypes"/>
</file>