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Fonts w:ascii="Times New Roman" w:hAnsi="Times New Roman" w:cs="Times New Roman"/>
        </w:rPr>
      </w:pPr>
      <w:r>
        <w:rPr>
          <w:rFonts w:ascii="Times New Roman" w:hAnsi="Times New Roman" w:cs="Times New Roman"/>
        </w:rPr>
        <w:t>Questionnaire monitoring chemical contaminants along the dairy chain</w:t>
      </w:r>
    </w:p>
    <w:p>
      <w:pPr>
        <w:rPr>
          <w:rFonts w:cs="Times New Roman"/>
        </w:rPr>
      </w:pPr>
    </w:p>
    <w:p>
      <w:pPr>
        <w:pStyle w:val="11"/>
        <w:rPr>
          <w:rFonts w:ascii="Times New Roman" w:hAnsi="Times New Roman" w:cs="Times New Roman"/>
        </w:rPr>
      </w:pPr>
    </w:p>
    <w:p>
      <w:pPr>
        <w:pStyle w:val="9"/>
        <w:rPr>
          <w:rFonts w:ascii="Times New Roman" w:hAnsi="Times New Roman" w:cs="Times New Roman"/>
          <w:lang w:val="en-GB"/>
        </w:rPr>
      </w:pPr>
      <w:r>
        <w:rPr>
          <w:rFonts w:ascii="Times New Roman" w:hAnsi="Times New Roman" w:cs="Times New Roman"/>
          <w:lang w:val="en-GB"/>
        </w:rPr>
        <w:t>Start of Block: Introduction</w:t>
      </w:r>
    </w:p>
    <w:p>
      <w:pPr>
        <w:keepNext/>
        <w:rPr>
          <w:rFonts w:cs="Times New Roman"/>
        </w:rPr>
      </w:pPr>
      <w:r>
        <w:rPr>
          <w:rFonts w:cs="Times New Roman"/>
        </w:rPr>
        <w:t xml:space="preserve">Dear participant,     </w:t>
      </w:r>
    </w:p>
    <w:p>
      <w:pPr>
        <w:jc w:val="left"/>
        <w:rPr>
          <w:rFonts w:cs="Times New Roman"/>
        </w:rPr>
      </w:pPr>
      <w:r>
        <w:rPr>
          <w:rFonts w:cs="Times New Roman"/>
        </w:rPr>
        <w:t>Thank you for taking the time to complete this survey. This survey is part of a research on monitoring of chemical contaminants along the Dutch dairy chain. The aim of the survey is to gain insight in the preferences of the industry (feed companies and dairy processing companies) regarding chemical contaminant monitoring in the dairy chain.</w:t>
      </w:r>
      <w:r>
        <w:rPr>
          <w:rFonts w:cs="Times New Roman"/>
        </w:rPr>
        <w:br w:type="textWrapping"/>
      </w:r>
      <w:r>
        <w:rPr>
          <w:rFonts w:cs="Times New Roman"/>
        </w:rPr>
        <w:t xml:space="preserve"> </w:t>
      </w:r>
      <w:r>
        <w:fldChar w:fldCharType="begin"/>
      </w:r>
      <w:r>
        <w:instrText xml:space="preserve"> HYPERLINK "https://wur.az1.qualtrics.com/CP/File.php?F=F_51nNNLSw8ecoxWS" \h </w:instrText>
      </w:r>
      <w:r>
        <w:fldChar w:fldCharType="separate"/>
      </w:r>
      <w:r>
        <w:rPr>
          <w:rFonts w:cs="Times New Roman"/>
          <w:color w:val="007AC0"/>
          <w:u w:val="single"/>
        </w:rPr>
        <w:t>Explanation case aflatoxin monitoring dairy chain</w:t>
      </w:r>
      <w:r>
        <w:rPr>
          <w:rFonts w:cs="Times New Roman"/>
          <w:color w:val="007AC0"/>
          <w:u w:val="single"/>
        </w:rPr>
        <w:fldChar w:fldCharType="end"/>
      </w:r>
      <w:r>
        <w:rPr>
          <w:rFonts w:cs="Times New Roman"/>
        </w:rPr>
        <w:br w:type="textWrapping"/>
      </w:r>
      <w:r>
        <w:rPr>
          <w:rFonts w:cs="Times New Roman"/>
        </w:rPr>
        <w:t xml:space="preserve"> The data you provide will be stored and processed anonymously. The research is for academic purposes only and no commercial companies are involved.  </w:t>
      </w:r>
    </w:p>
    <w:p>
      <w:pPr>
        <w:keepNext/>
        <w:rPr>
          <w:rFonts w:cs="Times New Roman"/>
        </w:rPr>
      </w:pPr>
      <w:r>
        <w:rPr>
          <w:rFonts w:cs="Times New Roman"/>
        </w:rPr>
        <w:t xml:space="preserve">           </w:t>
      </w:r>
    </w:p>
    <w:p>
      <w:pPr>
        <w:rPr>
          <w:rFonts w:cs="Times New Roman"/>
        </w:rPr>
      </w:pPr>
    </w:p>
    <w:p>
      <w:pPr>
        <w:pStyle w:val="10"/>
        <w:rPr>
          <w:rFonts w:ascii="Times New Roman" w:hAnsi="Times New Roman" w:cs="Times New Roman"/>
        </w:rPr>
      </w:pPr>
      <w:r>
        <w:rPr>
          <w:rFonts w:ascii="Times New Roman" w:hAnsi="Times New Roman" w:cs="Times New Roman"/>
        </w:rPr>
        <w:t>End of Block: Introduction</w:t>
      </w:r>
    </w:p>
    <w:p>
      <w:pPr>
        <w:pStyle w:val="11"/>
        <w:rPr>
          <w:rFonts w:ascii="Times New Roman" w:hAnsi="Times New Roman" w:cs="Times New Roman"/>
        </w:rPr>
      </w:pPr>
    </w:p>
    <w:p>
      <w:pPr>
        <w:pStyle w:val="9"/>
        <w:rPr>
          <w:rFonts w:ascii="Times New Roman" w:hAnsi="Times New Roman" w:cs="Times New Roman"/>
          <w:lang w:val="en-GB"/>
        </w:rPr>
      </w:pPr>
      <w:r>
        <w:rPr>
          <w:rFonts w:ascii="Times New Roman" w:hAnsi="Times New Roman" w:cs="Times New Roman"/>
          <w:lang w:val="en-GB"/>
        </w:rPr>
        <w:t xml:space="preserve">Start of Block: </w:t>
      </w:r>
      <w:bookmarkStart w:id="2" w:name="_GoBack"/>
      <w:bookmarkEnd w:id="2"/>
      <w:r>
        <w:rPr>
          <w:rFonts w:ascii="Times New Roman" w:hAnsi="Times New Roman" w:cs="Times New Roman"/>
          <w:lang w:val="en-GB"/>
        </w:rPr>
        <w:t>Questions</w:t>
      </w:r>
    </w:p>
    <w:p>
      <w:pPr>
        <w:rPr>
          <w:rFonts w:cs="Times New Roman"/>
        </w:rPr>
      </w:pPr>
    </w:p>
    <w:p>
      <w:pPr>
        <w:rPr>
          <w:rFonts w:cs="Times New Roman"/>
        </w:rPr>
      </w:pPr>
    </w:p>
    <w:p>
      <w:pPr>
        <w:keepNext/>
        <w:rPr>
          <w:rFonts w:cs="Times New Roman"/>
        </w:rPr>
      </w:pPr>
      <w:r>
        <w:rPr>
          <w:rFonts w:cs="Times New Roman"/>
        </w:rPr>
        <w:t>Q1 In which sector do you work?</w:t>
      </w:r>
    </w:p>
    <w:p>
      <w:pPr>
        <w:pStyle w:val="6"/>
        <w:keepNext/>
        <w:numPr>
          <w:ilvl w:val="0"/>
          <w:numId w:val="1"/>
        </w:numPr>
        <w:contextualSpacing w:val="0"/>
        <w:jc w:val="left"/>
        <w:rPr>
          <w:rFonts w:cs="Times New Roman"/>
        </w:rPr>
      </w:pPr>
      <w:r>
        <w:rPr>
          <w:rFonts w:cs="Times New Roman"/>
        </w:rPr>
        <w:t xml:space="preserve">Animal feed </w:t>
      </w:r>
    </w:p>
    <w:p>
      <w:pPr>
        <w:pStyle w:val="6"/>
        <w:keepNext/>
        <w:numPr>
          <w:ilvl w:val="0"/>
          <w:numId w:val="1"/>
        </w:numPr>
        <w:contextualSpacing w:val="0"/>
        <w:jc w:val="left"/>
        <w:rPr>
          <w:rFonts w:cs="Times New Roman"/>
        </w:rPr>
      </w:pPr>
      <w:r>
        <w:rPr>
          <w:rFonts w:cs="Times New Roman"/>
        </w:rPr>
        <w:t xml:space="preserve">Dairy </w:t>
      </w:r>
    </w:p>
    <w:p>
      <w:pPr>
        <w:rPr>
          <w:rFonts w:cs="Times New Roman"/>
        </w:rPr>
      </w:pPr>
    </w:p>
    <w:p>
      <w:pPr>
        <w:pStyle w:val="12"/>
        <w:rPr>
          <w:rFonts w:ascii="Times New Roman" w:hAnsi="Times New Roman" w:cs="Times New Roman"/>
        </w:rPr>
      </w:pPr>
    </w:p>
    <w:p>
      <w:pPr>
        <w:keepNext/>
        <w:rPr>
          <w:rFonts w:cs="Times New Roman"/>
        </w:rPr>
      </w:pPr>
      <w:r>
        <w:rPr>
          <w:rFonts w:cs="Times New Roman"/>
        </w:rPr>
        <w:t>Q2 To what extent are you currently involved in the monitoring scheme for chemical (aflatoxin) contaminants?</w:t>
      </w:r>
    </w:p>
    <w:p>
      <w:pPr>
        <w:pStyle w:val="6"/>
        <w:keepNext/>
        <w:numPr>
          <w:ilvl w:val="0"/>
          <w:numId w:val="1"/>
        </w:numPr>
        <w:contextualSpacing w:val="0"/>
        <w:jc w:val="left"/>
        <w:rPr>
          <w:rFonts w:cs="Times New Roman"/>
        </w:rPr>
      </w:pPr>
      <w:r>
        <w:rPr>
          <w:rFonts w:cs="Times New Roman"/>
        </w:rPr>
        <w:t xml:space="preserve">Never </w:t>
      </w:r>
    </w:p>
    <w:p>
      <w:pPr>
        <w:pStyle w:val="6"/>
        <w:keepNext/>
        <w:numPr>
          <w:ilvl w:val="0"/>
          <w:numId w:val="1"/>
        </w:numPr>
        <w:contextualSpacing w:val="0"/>
        <w:jc w:val="left"/>
        <w:rPr>
          <w:rFonts w:cs="Times New Roman"/>
        </w:rPr>
      </w:pPr>
      <w:r>
        <w:rPr>
          <w:rFonts w:cs="Times New Roman"/>
        </w:rPr>
        <w:t xml:space="preserve">Sometimes </w:t>
      </w:r>
    </w:p>
    <w:p>
      <w:pPr>
        <w:pStyle w:val="6"/>
        <w:keepNext/>
        <w:numPr>
          <w:ilvl w:val="0"/>
          <w:numId w:val="1"/>
        </w:numPr>
        <w:contextualSpacing w:val="0"/>
        <w:jc w:val="left"/>
        <w:rPr>
          <w:rFonts w:cs="Times New Roman"/>
        </w:rPr>
      </w:pPr>
      <w:r>
        <w:rPr>
          <w:rFonts w:cs="Times New Roman"/>
        </w:rPr>
        <w:t xml:space="preserve">Regularly </w:t>
      </w:r>
    </w:p>
    <w:p>
      <w:pPr>
        <w:pStyle w:val="6"/>
        <w:keepNext/>
        <w:numPr>
          <w:ilvl w:val="0"/>
          <w:numId w:val="1"/>
        </w:numPr>
        <w:contextualSpacing w:val="0"/>
        <w:jc w:val="left"/>
        <w:rPr>
          <w:rFonts w:cs="Times New Roman"/>
        </w:rPr>
      </w:pPr>
      <w:r>
        <w:rPr>
          <w:rFonts w:cs="Times New Roman"/>
        </w:rPr>
        <w:t xml:space="preserve">Often </w:t>
      </w:r>
    </w:p>
    <w:p>
      <w:pPr>
        <w:pStyle w:val="6"/>
        <w:keepNext/>
        <w:numPr>
          <w:ilvl w:val="0"/>
          <w:numId w:val="1"/>
        </w:numPr>
        <w:contextualSpacing w:val="0"/>
        <w:jc w:val="left"/>
        <w:rPr>
          <w:rFonts w:cs="Times New Roman"/>
        </w:rPr>
      </w:pPr>
      <w:r>
        <w:rPr>
          <w:rFonts w:cs="Times New Roman"/>
        </w:rPr>
        <w:t xml:space="preserve">Always </w:t>
      </w:r>
    </w:p>
    <w:p>
      <w:pPr>
        <w:rPr>
          <w:rFonts w:cs="Times New Roman"/>
        </w:rPr>
      </w:pPr>
    </w:p>
    <w:p>
      <w:pPr>
        <w:pStyle w:val="10"/>
        <w:rPr>
          <w:rFonts w:ascii="Times New Roman" w:hAnsi="Times New Roman" w:cs="Times New Roman"/>
        </w:rPr>
      </w:pPr>
      <w:r>
        <w:rPr>
          <w:rFonts w:ascii="Times New Roman" w:hAnsi="Times New Roman" w:cs="Times New Roman"/>
        </w:rPr>
        <w:t>End of Block: Questions</w:t>
      </w:r>
    </w:p>
    <w:p>
      <w:pPr>
        <w:pStyle w:val="11"/>
        <w:rPr>
          <w:rFonts w:ascii="Times New Roman" w:hAnsi="Times New Roman" w:cs="Times New Roman"/>
        </w:rPr>
      </w:pPr>
    </w:p>
    <w:p>
      <w:pPr>
        <w:pStyle w:val="9"/>
        <w:rPr>
          <w:rFonts w:ascii="Times New Roman" w:hAnsi="Times New Roman" w:cs="Times New Roman"/>
        </w:rPr>
      </w:pPr>
      <w:r>
        <w:rPr>
          <w:rFonts w:ascii="Times New Roman" w:hAnsi="Times New Roman" w:cs="Times New Roman"/>
        </w:rPr>
        <w:t>Start of Block: MCDA</w:t>
      </w:r>
    </w:p>
    <w:tbl>
      <w:tblPr>
        <w:tblStyle w:val="7"/>
        <w:tblW w:w="0" w:type="auto"/>
        <w:tblInd w:w="0" w:type="dxa"/>
        <w:tblLayout w:type="autofit"/>
        <w:tblCellMar>
          <w:top w:w="0" w:type="dxa"/>
          <w:left w:w="10" w:type="dxa"/>
          <w:bottom w:w="0" w:type="dxa"/>
          <w:right w:w="10" w:type="dxa"/>
        </w:tblCellMar>
      </w:tblPr>
      <w:tblGrid>
        <w:gridCol w:w="50"/>
      </w:tblGrid>
      <w:tr>
        <w:tblPrEx>
          <w:tblCellMar>
            <w:top w:w="0" w:type="dxa"/>
            <w:left w:w="10" w:type="dxa"/>
            <w:bottom w:w="0" w:type="dxa"/>
            <w:right w:w="10" w:type="dxa"/>
          </w:tblCellMar>
        </w:tblPrEx>
        <w:tc>
          <w:tcPr>
            <w:tcW w:w="50" w:type="dxa"/>
            <w:shd w:val="clear" w:color="auto" w:fill="auto"/>
            <w:vAlign w:val="center"/>
          </w:tcPr>
          <w:p>
            <w:pPr>
              <w:keepNext/>
              <w:spacing w:line="240" w:lineRule="auto"/>
              <w:rPr>
                <w:rFonts w:cs="Times New Roman"/>
                <w:lang w:val="en-US"/>
              </w:rPr>
            </w:pPr>
          </w:p>
        </w:tc>
      </w:tr>
    </w:tbl>
    <w:p>
      <w:pPr>
        <w:keepNext/>
        <w:rPr>
          <w:rFonts w:cs="Times New Roman"/>
        </w:rPr>
      </w:pPr>
      <w:r>
        <w:rPr>
          <w:rFonts w:cs="Times New Roman"/>
        </w:rPr>
        <w:t xml:space="preserve">Q3 Which criteria are most important from the perspective of </w:t>
      </w:r>
      <w:r>
        <w:rPr>
          <w:rFonts w:cs="Times New Roman"/>
          <w:b/>
        </w:rPr>
        <w:t>your organization</w:t>
      </w:r>
      <w:r>
        <w:rPr>
          <w:rFonts w:cs="Times New Roman"/>
        </w:rPr>
        <w:t xml:space="preserve"> in the dairy chain, with regard to the design and implementation of the monitoring scheme that prevents chemical contaminants (aflatoxin) from entering the dairy chain via animal feed and that milk is further processed?</w:t>
      </w:r>
    </w:p>
    <w:p>
      <w:pPr>
        <w:keepNext/>
        <w:rPr>
          <w:rFonts w:cs="Times New Roman"/>
        </w:rPr>
      </w:pPr>
      <w:r>
        <w:rPr>
          <w:rFonts w:cs="Times New Roman"/>
        </w:rPr>
        <w:t>The sum of the five criteria must be equal to 100. More points = more important.</w:t>
      </w:r>
    </w:p>
    <w:p>
      <w:pPr>
        <w:pStyle w:val="6"/>
        <w:keepNext/>
        <w:ind w:left="0"/>
        <w:rPr>
          <w:rFonts w:cs="Times New Roman"/>
        </w:rPr>
      </w:pPr>
      <w:r>
        <w:rPr>
          <w:rFonts w:cs="Times New Roman"/>
        </w:rPr>
        <w:t xml:space="preserve">Public health : _______ </w:t>
      </w:r>
    </w:p>
    <w:p>
      <w:pPr>
        <w:pStyle w:val="6"/>
        <w:keepNext/>
        <w:ind w:left="0"/>
        <w:rPr>
          <w:rFonts w:cs="Times New Roman"/>
        </w:rPr>
      </w:pPr>
      <w:r>
        <w:rPr>
          <w:rFonts w:cs="Times New Roman"/>
        </w:rPr>
        <w:t xml:space="preserve">Production losses : _______ </w:t>
      </w:r>
    </w:p>
    <w:p>
      <w:pPr>
        <w:pStyle w:val="6"/>
        <w:keepNext/>
        <w:ind w:left="0"/>
        <w:rPr>
          <w:rFonts w:cs="Times New Roman"/>
        </w:rPr>
      </w:pPr>
      <w:r>
        <w:rPr>
          <w:rFonts w:cs="Times New Roman"/>
        </w:rPr>
        <w:t xml:space="preserve">Customer trust : _______ </w:t>
      </w:r>
    </w:p>
    <w:p>
      <w:pPr>
        <w:pStyle w:val="6"/>
        <w:keepNext/>
        <w:ind w:left="0"/>
        <w:rPr>
          <w:rFonts w:cs="Times New Roman"/>
        </w:rPr>
      </w:pPr>
      <w:r>
        <w:rPr>
          <w:rFonts w:cs="Times New Roman"/>
        </w:rPr>
        <w:t xml:space="preserve">Monitoring costs : _______ </w:t>
      </w:r>
    </w:p>
    <w:p>
      <w:pPr>
        <w:pStyle w:val="6"/>
        <w:keepNext/>
        <w:ind w:left="0"/>
        <w:rPr>
          <w:rFonts w:cs="Times New Roman"/>
        </w:rPr>
      </w:pPr>
      <w:r>
        <w:rPr>
          <w:rFonts w:cs="Times New Roman"/>
        </w:rPr>
        <w:t xml:space="preserve">Complexity of implementation : _______ </w:t>
      </w:r>
    </w:p>
    <w:p>
      <w:pPr>
        <w:rPr>
          <w:rFonts w:cs="Times New Roman"/>
        </w:rPr>
      </w:pPr>
      <w:r>
        <w:rPr>
          <w:rFonts w:cs="Times New Roman"/>
        </w:rPr>
        <w:t xml:space="preserve">Total : ________ </w:t>
      </w:r>
    </w:p>
    <w:p>
      <w:pPr>
        <w:rPr>
          <w:rFonts w:cs="Times New Roman"/>
        </w:rPr>
      </w:pPr>
      <w:r>
        <w:rPr>
          <w:rFonts w:cs="Times New Roman"/>
        </w:rPr>
        <w:t xml:space="preserve"> Comments</w:t>
      </w:r>
    </w:p>
    <w:p>
      <w:pPr>
        <w:pStyle w:val="13"/>
        <w:ind w:firstLine="400"/>
        <w:rPr>
          <w:rFonts w:ascii="Times New Roman" w:hAnsi="Times New Roman" w:cs="Times New Roman"/>
        </w:rPr>
      </w:pPr>
      <w:r>
        <w:rPr>
          <w:rFonts w:ascii="Times New Roman" w:hAnsi="Times New Roman" w:cs="Times New Roman"/>
        </w:rPr>
        <w:t>________________________________________________________________</w:t>
      </w:r>
    </w:p>
    <w:p>
      <w:pPr>
        <w:pStyle w:val="13"/>
        <w:ind w:firstLine="400"/>
        <w:rPr>
          <w:rFonts w:ascii="Times New Roman" w:hAnsi="Times New Roman" w:cs="Times New Roman"/>
        </w:rPr>
      </w:pPr>
      <w:r>
        <w:rPr>
          <w:rFonts w:ascii="Times New Roman" w:hAnsi="Times New Roman" w:cs="Times New Roman"/>
        </w:rPr>
        <w:t>________________________________________________________________</w:t>
      </w:r>
    </w:p>
    <w:p>
      <w:pPr>
        <w:pStyle w:val="13"/>
        <w:pBdr>
          <w:bottom w:val="single" w:color="auto" w:sz="12" w:space="1"/>
        </w:pBdr>
        <w:ind w:firstLine="400"/>
        <w:rPr>
          <w:rFonts w:ascii="Times New Roman" w:hAnsi="Times New Roman" w:cs="Times New Roman"/>
        </w:rPr>
      </w:pPr>
      <w:r>
        <w:rPr>
          <w:rFonts w:ascii="Times New Roman" w:hAnsi="Times New Roman" w:cs="Times New Roman"/>
        </w:rPr>
        <w:t>________________________________________________________________</w:t>
      </w:r>
    </w:p>
    <w:p>
      <w:pPr>
        <w:pStyle w:val="13"/>
        <w:pBdr>
          <w:bottom w:val="single" w:color="auto" w:sz="12" w:space="1"/>
        </w:pBdr>
        <w:ind w:firstLine="400"/>
        <w:rPr>
          <w:rFonts w:ascii="Times New Roman" w:hAnsi="Times New Roman" w:cs="Times New Roman"/>
        </w:rPr>
      </w:pPr>
    </w:p>
    <w:p>
      <w:pPr>
        <w:pStyle w:val="13"/>
        <w:pBdr>
          <w:bottom w:val="single" w:color="auto" w:sz="12" w:space="1"/>
        </w:pBdr>
        <w:rPr>
          <w:rFonts w:ascii="Times New Roman" w:hAnsi="Times New Roman" w:cs="Times New Roman"/>
        </w:rPr>
      </w:pPr>
    </w:p>
    <w:p>
      <w:pPr>
        <w:jc w:val="left"/>
        <w:rPr>
          <w:rFonts w:cs="Times New Roman" w:eastAsiaTheme="majorEastAsia"/>
          <w:sz w:val="26"/>
          <w:szCs w:val="26"/>
          <w:shd w:val="clear" w:color="auto" w:fill="FFFFFF"/>
        </w:rPr>
      </w:pPr>
      <w:r>
        <w:rPr>
          <w:rFonts w:cs="Times New Roman"/>
          <w:shd w:val="clear" w:color="auto" w:fill="FFFFFF"/>
        </w:rPr>
        <w:br w:type="page"/>
      </w:r>
    </w:p>
    <w:p>
      <w:pPr>
        <w:pStyle w:val="2"/>
      </w:pPr>
      <w:bookmarkStart w:id="0" w:name="_Ref69326943"/>
      <w:bookmarkStart w:id="1" w:name="_Toc69378967"/>
      <w:r>
        <w:t>Case Description</w:t>
      </w:r>
      <w:bookmarkEnd w:id="0"/>
      <w:bookmarkEnd w:id="1"/>
    </w:p>
    <w:p>
      <w:pPr>
        <w:rPr>
          <w:rFonts w:cs="Times New Roman"/>
          <w:b/>
          <w:bCs/>
        </w:rPr>
      </w:pPr>
    </w:p>
    <w:p>
      <w:pPr>
        <w:rPr>
          <w:rFonts w:cs="Times New Roman"/>
          <w:b/>
          <w:bCs/>
        </w:rPr>
      </w:pPr>
      <w:r>
        <w:rPr>
          <w:rFonts w:cs="Times New Roman"/>
          <w:b/>
          <w:bCs/>
        </w:rPr>
        <w:t>Explanation</w:t>
      </w:r>
    </w:p>
    <w:p>
      <w:pPr>
        <w:rPr>
          <w:rFonts w:cs="Times New Roman"/>
        </w:rPr>
      </w:pPr>
      <w:r>
        <w:rPr>
          <w:rFonts w:cs="Times New Roman"/>
        </w:rPr>
        <w:t xml:space="preserve">The Dutch dairy chain is known for its high-quality control system, starting with feed production until processing of milk into high-quality dairy products worldwide (from grass to glass). </w:t>
      </w:r>
    </w:p>
    <w:p>
      <w:pPr>
        <w:rPr>
          <w:rFonts w:cs="Times New Roman"/>
        </w:rPr>
      </w:pPr>
      <w:r>
        <w:rPr>
          <w:rFonts w:cs="Times New Roman"/>
        </w:rPr>
        <w:t>We are interested in your view on the current monitoring of chemical contaminants (aflatoxin) in the Dutch dairy chain.</w:t>
      </w:r>
    </w:p>
    <w:p>
      <w:pPr>
        <w:rPr>
          <w:rFonts w:cs="Times New Roman"/>
          <w:b/>
          <w:bCs/>
        </w:rPr>
      </w:pPr>
      <w:r>
        <w:rPr>
          <w:rFonts w:cs="Times New Roman"/>
          <w:b/>
          <w:bCs/>
        </w:rPr>
        <w:t>Definition monitoring scheme</w:t>
      </w:r>
    </w:p>
    <w:p>
      <w:pPr>
        <w:rPr>
          <w:rFonts w:cs="Times New Roman"/>
        </w:rPr>
      </w:pPr>
      <w:r>
        <w:rPr>
          <w:rFonts w:cs="Times New Roman"/>
        </w:rPr>
        <w:t>A monitoring scheme is defined as the protocol (sampling strategy, analysis method, intensity etc.) on both feed and milk level and the interaction of both programmes, resulting in dairy products for consumption. Specifically, this refers to ‘’Verification Aflatoxin B1 dairy feed’’ om which maize and/or maize by-products are processed, for the feed industry to monitoring the performance of the control system. For the dairy industry, this is the monitoring programme ‘’contaminants and residues’’, to gain a representative picture of the food safety of Dutch milk.</w:t>
      </w:r>
    </w:p>
    <w:p>
      <w:pPr>
        <w:rPr>
          <w:rFonts w:cs="Times New Roman"/>
          <w:b/>
          <w:bCs/>
        </w:rPr>
      </w:pPr>
      <w:r>
        <w:rPr>
          <w:rFonts w:cs="Times New Roman"/>
          <w:b/>
          <w:bCs/>
        </w:rPr>
        <w:t>Description criteria</w:t>
      </w:r>
    </w:p>
    <w:p>
      <w:pPr>
        <w:rPr>
          <w:rFonts w:cs="Times New Roman"/>
        </w:rPr>
      </w:pPr>
      <w:r>
        <w:rPr>
          <w:rFonts w:cs="Times New Roman"/>
        </w:rPr>
        <w:t>De following criteria can influence the decision-making process of the design and implementation of a monitoring scheme for chemical contaminants (aflatoxin):</w:t>
      </w:r>
    </w:p>
    <w:p>
      <w:pPr>
        <w:pStyle w:val="6"/>
        <w:numPr>
          <w:ilvl w:val="0"/>
          <w:numId w:val="2"/>
        </w:numPr>
        <w:spacing w:before="120" w:after="160" w:line="259" w:lineRule="auto"/>
        <w:jc w:val="left"/>
        <w:rPr>
          <w:rFonts w:eastAsia="Times New Roman" w:cs="Times New Roman"/>
          <w:lang w:eastAsia="nl-NL"/>
        </w:rPr>
      </w:pPr>
      <w:r>
        <w:rPr>
          <w:rFonts w:cs="Times New Roman"/>
        </w:rPr>
        <w:t xml:space="preserve">Public health: </w:t>
      </w:r>
      <w:r>
        <w:rPr>
          <w:rFonts w:eastAsia="Times New Roman" w:cs="Times New Roman"/>
          <w:lang w:eastAsia="nl-NL"/>
        </w:rPr>
        <w:t>The effectiveness of the monitoring scheme along the dairy chain in minimizing foodborne disease burden (to humans) due to chemically contaminated dairy products.</w:t>
      </w:r>
    </w:p>
    <w:p>
      <w:pPr>
        <w:pStyle w:val="6"/>
        <w:rPr>
          <w:rFonts w:eastAsia="Times New Roman" w:cs="Times New Roman"/>
          <w:lang w:eastAsia="nl-NL"/>
        </w:rPr>
      </w:pPr>
    </w:p>
    <w:p>
      <w:pPr>
        <w:pStyle w:val="6"/>
        <w:numPr>
          <w:ilvl w:val="0"/>
          <w:numId w:val="2"/>
        </w:numPr>
        <w:spacing w:before="120" w:after="160" w:line="259" w:lineRule="auto"/>
        <w:jc w:val="left"/>
        <w:rPr>
          <w:rFonts w:eastAsia="Times New Roman" w:cs="Times New Roman"/>
          <w:lang w:eastAsia="nl-NL"/>
        </w:rPr>
      </w:pPr>
      <w:r>
        <w:rPr>
          <w:rFonts w:cs="Times New Roman"/>
        </w:rPr>
        <w:t xml:space="preserve">Production losses: </w:t>
      </w:r>
      <w:r>
        <w:rPr>
          <w:rFonts w:eastAsia="Times New Roman" w:cs="Times New Roman"/>
          <w:lang w:eastAsia="nl-NL"/>
        </w:rPr>
        <w:t>Costs that are made to replace + recall unmarketable feed and/or milk and compensate affected dairy farmers as a result of a chemical (aflatoxin) contamination of feed and/or milk.</w:t>
      </w:r>
    </w:p>
    <w:p>
      <w:pPr>
        <w:pStyle w:val="6"/>
        <w:rPr>
          <w:rFonts w:eastAsia="Times New Roman" w:cs="Times New Roman"/>
          <w:lang w:eastAsia="nl-NL"/>
        </w:rPr>
      </w:pPr>
    </w:p>
    <w:p>
      <w:pPr>
        <w:pStyle w:val="6"/>
        <w:numPr>
          <w:ilvl w:val="0"/>
          <w:numId w:val="2"/>
        </w:numPr>
        <w:spacing w:before="120" w:after="160" w:line="259" w:lineRule="auto"/>
        <w:jc w:val="left"/>
        <w:rPr>
          <w:rFonts w:eastAsia="Times New Roman" w:cs="Times New Roman"/>
          <w:lang w:eastAsia="nl-NL"/>
        </w:rPr>
      </w:pPr>
      <w:r>
        <w:rPr>
          <w:rFonts w:cs="Times New Roman"/>
        </w:rPr>
        <w:t xml:space="preserve">Customer trust: Likelihood that a customer will purchase the final dairy products </w:t>
      </w:r>
      <w:r>
        <w:rPr>
          <w:rFonts w:eastAsia="Times New Roman" w:cs="Times New Roman"/>
          <w:lang w:eastAsia="nl-NL"/>
        </w:rPr>
        <w:t>if a certain monitoring scheme is implemented and shows favourable results. This reflects the customers’ trust in the safety of the product.</w:t>
      </w:r>
    </w:p>
    <w:p>
      <w:pPr>
        <w:pStyle w:val="6"/>
        <w:rPr>
          <w:rFonts w:eastAsia="Times New Roman" w:cs="Times New Roman"/>
          <w:lang w:eastAsia="nl-NL"/>
        </w:rPr>
      </w:pPr>
    </w:p>
    <w:p>
      <w:pPr>
        <w:pStyle w:val="6"/>
        <w:numPr>
          <w:ilvl w:val="0"/>
          <w:numId w:val="2"/>
        </w:numPr>
        <w:spacing w:before="120" w:after="160" w:line="259" w:lineRule="auto"/>
        <w:jc w:val="left"/>
        <w:rPr>
          <w:rFonts w:eastAsia="Times New Roman" w:cs="Times New Roman"/>
          <w:lang w:eastAsia="nl-NL"/>
        </w:rPr>
      </w:pPr>
      <w:r>
        <w:rPr>
          <w:rFonts w:cs="Times New Roman"/>
        </w:rPr>
        <w:t xml:space="preserve">Monitoring costs: </w:t>
      </w:r>
      <w:r>
        <w:rPr>
          <w:rFonts w:eastAsia="Times New Roman" w:cs="Times New Roman"/>
          <w:lang w:eastAsia="nl-NL"/>
        </w:rPr>
        <w:t xml:space="preserve">Sampling and analysis costs of the monitoring scheme made by </w:t>
      </w:r>
      <w:r>
        <w:rPr>
          <w:rFonts w:eastAsia="Times New Roman" w:cs="Times New Roman"/>
          <w:b/>
          <w:bCs/>
          <w:lang w:eastAsia="nl-NL"/>
        </w:rPr>
        <w:t xml:space="preserve">your </w:t>
      </w:r>
      <w:r>
        <w:rPr>
          <w:rFonts w:eastAsia="Times New Roman" w:cs="Times New Roman"/>
          <w:lang w:eastAsia="nl-NL"/>
        </w:rPr>
        <w:t xml:space="preserve">organization. </w:t>
      </w:r>
    </w:p>
    <w:p>
      <w:pPr>
        <w:pStyle w:val="6"/>
        <w:rPr>
          <w:rFonts w:eastAsia="Times New Roman" w:cs="Times New Roman"/>
          <w:lang w:eastAsia="nl-NL"/>
        </w:rPr>
      </w:pPr>
    </w:p>
    <w:p>
      <w:pPr>
        <w:pStyle w:val="6"/>
        <w:numPr>
          <w:ilvl w:val="0"/>
          <w:numId w:val="2"/>
        </w:numPr>
        <w:spacing w:before="120" w:after="160" w:line="259" w:lineRule="auto"/>
        <w:jc w:val="left"/>
        <w:rPr>
          <w:rFonts w:eastAsia="Times New Roman" w:cs="Times New Roman"/>
          <w:lang w:eastAsia="nl-NL"/>
        </w:rPr>
      </w:pPr>
      <w:r>
        <w:rPr>
          <w:rFonts w:cs="Times New Roman"/>
        </w:rPr>
        <w:t>Complexity of implementation: Feasibility o</w:t>
      </w:r>
      <w:r>
        <w:rPr>
          <w:rFonts w:eastAsia="Times New Roman" w:cs="Times New Roman"/>
          <w:lang w:eastAsia="nl-NL"/>
        </w:rPr>
        <w:t xml:space="preserve">f implementing a monitoring scheme within </w:t>
      </w:r>
      <w:r>
        <w:rPr>
          <w:rFonts w:eastAsia="Times New Roman" w:cs="Times New Roman"/>
          <w:b/>
          <w:bCs/>
          <w:lang w:eastAsia="nl-NL"/>
        </w:rPr>
        <w:t xml:space="preserve">your </w:t>
      </w:r>
      <w:r>
        <w:rPr>
          <w:rFonts w:eastAsia="Times New Roman" w:cs="Times New Roman"/>
          <w:lang w:eastAsia="nl-NL"/>
        </w:rPr>
        <w:t xml:space="preserve">organization. This includes everything, </w:t>
      </w:r>
      <w:r>
        <w:rPr>
          <w:rFonts w:eastAsia="Times New Roman" w:cs="Times New Roman"/>
          <w:b/>
          <w:bCs/>
          <w:lang w:eastAsia="nl-NL"/>
        </w:rPr>
        <w:t>except the costs</w:t>
      </w:r>
      <w:r>
        <w:rPr>
          <w:rFonts w:eastAsia="Times New Roman" w:cs="Times New Roman"/>
          <w:lang w:eastAsia="nl-NL"/>
        </w:rPr>
        <w:t>, related to the implementation of the monitoring scheme.</w:t>
      </w:r>
    </w:p>
    <w:p>
      <w:pPr>
        <w:pStyle w:val="6"/>
        <w:spacing w:after="160" w:line="259" w:lineRule="auto"/>
        <w:jc w:val="left"/>
        <w:rPr>
          <w:rFonts w:eastAsia="Times New Roman" w:cs="Times New Roman"/>
          <w:lang w:eastAsia="nl-NL"/>
        </w:rPr>
      </w:pPr>
    </w:p>
    <w:p>
      <w:pPr>
        <w:rPr>
          <w:rFonts w:cs="Times New Roman"/>
          <w:b/>
          <w:bCs/>
        </w:rPr>
      </w:pPr>
    </w:p>
    <w:p>
      <w:pPr>
        <w:rPr>
          <w:rFonts w:cs="Times New Roman"/>
          <w:b/>
          <w:bCs/>
        </w:rPr>
      </w:pPr>
    </w:p>
    <w:p>
      <w:pPr>
        <w:rPr>
          <w:rFonts w:cs="Times New Roman"/>
          <w:b/>
          <w:bCs/>
        </w:rPr>
      </w:pPr>
    </w:p>
    <w:p>
      <w:pPr>
        <w:rPr>
          <w:rFonts w:cs="Times New Roman"/>
          <w:b/>
          <w:bCs/>
        </w:rPr>
      </w:pPr>
      <w:r>
        <w:rPr>
          <w:rFonts w:cs="Times New Roman"/>
          <w:b/>
          <w:bCs/>
        </w:rPr>
        <w:t xml:space="preserve">Multi-criteria decision analysis </w:t>
      </w:r>
    </w:p>
    <w:p>
      <w:pPr>
        <w:rPr>
          <w:rFonts w:cs="Times New Roman"/>
        </w:rPr>
      </w:pPr>
      <w:r>
        <w:rPr>
          <w:rFonts w:cs="Times New Roman"/>
        </w:rPr>
        <w:t xml:space="preserve">The results of the survey will be used as data input for a Multi-criteria decision analysis (MCDA). The aim of the MCDA is to rank alternatives based on an objective performance score and a subjective preference of above-mentioned criteria. Alternatives are monitoring schemes that differ in their probability of detecting the contaminant, ranging from </w:t>
      </w:r>
      <w:r>
        <w:rPr>
          <w:rFonts w:cs="Times New Roman"/>
          <w:u w:val="single"/>
        </w:rPr>
        <w:t>0% to 90% (no monitoring until intense monitoring)</w:t>
      </w:r>
      <w:r>
        <w:rPr>
          <w:rFonts w:cs="Times New Roman"/>
        </w:rPr>
        <w:t xml:space="preserve">, on feed and milk level. </w:t>
      </w:r>
    </w:p>
    <w:p>
      <w:pPr>
        <w:rPr>
          <w:rFonts w:cs="Times New Roman"/>
        </w:rPr>
      </w:pPr>
      <w:r>
        <w:rPr>
          <w:rFonts w:cs="Times New Roman"/>
        </w:rPr>
        <w:t>Each alternatives scores differently on the criteria. For example, the costs of monitoring scheme A are significantly lower than the costs of monitoring scheme B, although monitoring scheme A focusses on monitoring at feed level and monitoring B on monitoring at milk level.</w:t>
      </w:r>
    </w:p>
    <w:p>
      <w:pPr>
        <w:rPr>
          <w:rFonts w:cs="Times New Roman"/>
        </w:rPr>
      </w:pPr>
      <w:r>
        <w:rPr>
          <w:rFonts w:cs="Times New Roman"/>
        </w:rPr>
        <w:t xml:space="preserve">A data model is built to construct a </w:t>
      </w:r>
      <w:r>
        <w:rPr>
          <w:rFonts w:cs="Times New Roman"/>
          <w:u w:val="single"/>
        </w:rPr>
        <w:t>hypothetical dairy chain</w:t>
      </w:r>
      <w:r>
        <w:rPr>
          <w:rFonts w:cs="Times New Roman"/>
        </w:rPr>
        <w:t>. This consist of feed companies that receive maize to produce dairy feed, which is supplied to dairy farms, where milk is picked up and is transported to the dairy processing plants.</w:t>
      </w:r>
    </w:p>
    <w:p>
      <w:pPr>
        <w:rPr>
          <w:rFonts w:cs="Times New Roman"/>
        </w:rPr>
      </w:pPr>
      <w:r>
        <w:rPr>
          <w:rFonts w:cs="Times New Roman"/>
        </w:rPr>
        <w:t xml:space="preserve">An important input of the model is the </w:t>
      </w:r>
      <w:r>
        <w:rPr>
          <w:rFonts w:cs="Times New Roman"/>
          <w:u w:val="single"/>
        </w:rPr>
        <w:t>contamination scenario</w:t>
      </w:r>
      <w:r>
        <w:rPr>
          <w:rFonts w:cs="Times New Roman"/>
        </w:rPr>
        <w:t>. It is assumed that 1% of all dairy feed batches deviated from the normal aflatoxin background level. The aflatoxin concentration in contaminated batches is based on the incident in March 2013. In March 2013 a large shipment of maize, intended for feed was imported from East Europe to the Netherlands. The shipment had passed import controls and was already distributed (mainly to German farms). After it was found that the dairy feed exceeded the regulated maximum level (52.2 ug/kg &gt; EC limit 20.0 μg/kg), a massive recall followed.</w:t>
      </w:r>
    </w:p>
    <w:p>
      <w:pPr>
        <w:rPr>
          <w:rFonts w:cs="Times New Roman"/>
          <w:b/>
          <w:bCs/>
          <w:color w:val="000000"/>
          <w:shd w:val="clear" w:color="auto" w:fill="FFFFFF"/>
        </w:rPr>
      </w:pPr>
      <w:r>
        <w:rPr>
          <w:rFonts w:cs="Times New Roman"/>
          <w:b/>
          <w:bCs/>
          <w:color w:val="000000"/>
          <w:shd w:val="clear" w:color="auto" w:fill="FFFFFF"/>
        </w:rPr>
        <w:t>Example</w:t>
      </w:r>
    </w:p>
    <w:p>
      <w:pPr>
        <w:rPr>
          <w:rFonts w:cs="Times New Roman"/>
        </w:rPr>
      </w:pPr>
      <w:r>
        <w:rPr>
          <w:rFonts w:cs="Times New Roman"/>
        </w:rPr>
        <w:t>You are asked to divide 100 points among five criteria. More points mean that you find the criteria more important for the final choice in a certain monitoring scheme.</w:t>
      </w:r>
    </w:p>
    <w:p>
      <w:pPr>
        <w:rPr>
          <w:rFonts w:cs="Times New Roman"/>
        </w:rPr>
      </w:pPr>
      <w:r>
        <w:rPr>
          <w:rFonts w:cs="Times New Roman"/>
        </w:rPr>
        <w:t>An example of how the distribution of point can look like:</w:t>
      </w:r>
    </w:p>
    <w:tbl>
      <w:tblPr>
        <w:tblStyle w:val="3"/>
        <w:tblW w:w="9062" w:type="dxa"/>
        <w:tblInd w:w="0" w:type="dxa"/>
        <w:tblLayout w:type="autofit"/>
        <w:tblCellMar>
          <w:top w:w="0" w:type="dxa"/>
          <w:left w:w="10" w:type="dxa"/>
          <w:bottom w:w="0" w:type="dxa"/>
          <w:right w:w="10" w:type="dxa"/>
        </w:tblCellMar>
      </w:tblPr>
      <w:tblGrid>
        <w:gridCol w:w="4531"/>
        <w:gridCol w:w="4531"/>
      </w:tblGrid>
      <w:tr>
        <w:tblPrEx>
          <w:tblCellMar>
            <w:top w:w="0" w:type="dxa"/>
            <w:left w:w="10" w:type="dxa"/>
            <w:bottom w:w="0" w:type="dxa"/>
            <w:right w:w="10" w:type="dxa"/>
          </w:tblCellMar>
        </w:tblPrEx>
        <w:tc>
          <w:tcPr>
            <w:tcW w:w="45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pPr>
              <w:spacing w:after="0" w:line="240" w:lineRule="auto"/>
              <w:rPr>
                <w:rFonts w:cs="Times New Roman"/>
                <w:b/>
                <w:bCs/>
              </w:rPr>
            </w:pPr>
            <w:r>
              <w:rPr>
                <w:rFonts w:cs="Times New Roman"/>
                <w:b/>
                <w:bCs/>
              </w:rPr>
              <w:t xml:space="preserve">Criteria </w:t>
            </w:r>
          </w:p>
        </w:tc>
        <w:tc>
          <w:tcPr>
            <w:tcW w:w="45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pPr>
              <w:spacing w:after="0" w:line="240" w:lineRule="auto"/>
              <w:rPr>
                <w:rFonts w:cs="Times New Roman"/>
                <w:b/>
                <w:bCs/>
              </w:rPr>
            </w:pPr>
            <w:r>
              <w:rPr>
                <w:rFonts w:cs="Times New Roman"/>
                <w:b/>
                <w:bCs/>
              </w:rPr>
              <w:t>Points</w:t>
            </w:r>
          </w:p>
        </w:tc>
      </w:tr>
      <w:tr>
        <w:tblPrEx>
          <w:tblCellMar>
            <w:top w:w="0" w:type="dxa"/>
            <w:left w:w="10" w:type="dxa"/>
            <w:bottom w:w="0" w:type="dxa"/>
            <w:right w:w="10" w:type="dxa"/>
          </w:tblCellMar>
        </w:tblPrEx>
        <w:tc>
          <w:tcPr>
            <w:tcW w:w="45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pPr>
              <w:spacing w:after="0" w:line="240" w:lineRule="auto"/>
              <w:rPr>
                <w:rFonts w:cs="Times New Roman"/>
              </w:rPr>
            </w:pPr>
            <w:r>
              <w:rPr>
                <w:rFonts w:cs="Times New Roman"/>
              </w:rPr>
              <w:t>Public health</w:t>
            </w:r>
          </w:p>
        </w:tc>
        <w:tc>
          <w:tcPr>
            <w:tcW w:w="45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pPr>
              <w:spacing w:after="0" w:line="240" w:lineRule="auto"/>
              <w:rPr>
                <w:rFonts w:cs="Times New Roman"/>
              </w:rPr>
            </w:pPr>
            <w:r>
              <w:rPr>
                <w:rFonts w:cs="Times New Roman"/>
              </w:rPr>
              <w:t>5</w:t>
            </w:r>
          </w:p>
        </w:tc>
      </w:tr>
      <w:tr>
        <w:tblPrEx>
          <w:tblCellMar>
            <w:top w:w="0" w:type="dxa"/>
            <w:left w:w="10" w:type="dxa"/>
            <w:bottom w:w="0" w:type="dxa"/>
            <w:right w:w="10" w:type="dxa"/>
          </w:tblCellMar>
        </w:tblPrEx>
        <w:tc>
          <w:tcPr>
            <w:tcW w:w="45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pPr>
              <w:spacing w:after="0" w:line="240" w:lineRule="auto"/>
              <w:rPr>
                <w:rFonts w:cs="Times New Roman"/>
              </w:rPr>
            </w:pPr>
            <w:r>
              <w:rPr>
                <w:rFonts w:cs="Times New Roman"/>
              </w:rPr>
              <w:t>Production losses</w:t>
            </w:r>
          </w:p>
        </w:tc>
        <w:tc>
          <w:tcPr>
            <w:tcW w:w="45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pPr>
              <w:spacing w:after="0" w:line="240" w:lineRule="auto"/>
              <w:rPr>
                <w:rFonts w:cs="Times New Roman"/>
              </w:rPr>
            </w:pPr>
            <w:r>
              <w:rPr>
                <w:rFonts w:cs="Times New Roman"/>
              </w:rPr>
              <w:t>45</w:t>
            </w:r>
          </w:p>
        </w:tc>
      </w:tr>
      <w:tr>
        <w:tblPrEx>
          <w:tblCellMar>
            <w:top w:w="0" w:type="dxa"/>
            <w:left w:w="10" w:type="dxa"/>
            <w:bottom w:w="0" w:type="dxa"/>
            <w:right w:w="10" w:type="dxa"/>
          </w:tblCellMar>
        </w:tblPrEx>
        <w:tc>
          <w:tcPr>
            <w:tcW w:w="45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pPr>
              <w:spacing w:after="0" w:line="240" w:lineRule="auto"/>
              <w:rPr>
                <w:rFonts w:cs="Times New Roman"/>
              </w:rPr>
            </w:pPr>
            <w:r>
              <w:rPr>
                <w:rFonts w:cs="Times New Roman"/>
              </w:rPr>
              <w:t>Customer trust</w:t>
            </w:r>
          </w:p>
        </w:tc>
        <w:tc>
          <w:tcPr>
            <w:tcW w:w="45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pPr>
              <w:spacing w:after="0" w:line="240" w:lineRule="auto"/>
              <w:rPr>
                <w:rFonts w:cs="Times New Roman"/>
              </w:rPr>
            </w:pPr>
            <w:r>
              <w:rPr>
                <w:rFonts w:cs="Times New Roman"/>
              </w:rPr>
              <w:t>10</w:t>
            </w:r>
          </w:p>
        </w:tc>
      </w:tr>
      <w:tr>
        <w:tblPrEx>
          <w:tblCellMar>
            <w:top w:w="0" w:type="dxa"/>
            <w:left w:w="10" w:type="dxa"/>
            <w:bottom w:w="0" w:type="dxa"/>
            <w:right w:w="10" w:type="dxa"/>
          </w:tblCellMar>
        </w:tblPrEx>
        <w:tc>
          <w:tcPr>
            <w:tcW w:w="45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pPr>
              <w:spacing w:after="0" w:line="240" w:lineRule="auto"/>
              <w:rPr>
                <w:rFonts w:cs="Times New Roman"/>
              </w:rPr>
            </w:pPr>
            <w:r>
              <w:rPr>
                <w:rFonts w:cs="Times New Roman"/>
              </w:rPr>
              <w:t>Monitoring costs</w:t>
            </w:r>
          </w:p>
        </w:tc>
        <w:tc>
          <w:tcPr>
            <w:tcW w:w="45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pPr>
              <w:spacing w:after="0" w:line="240" w:lineRule="auto"/>
              <w:rPr>
                <w:rFonts w:cs="Times New Roman"/>
              </w:rPr>
            </w:pPr>
            <w:r>
              <w:rPr>
                <w:rFonts w:cs="Times New Roman"/>
              </w:rPr>
              <w:t>25</w:t>
            </w:r>
          </w:p>
        </w:tc>
      </w:tr>
      <w:tr>
        <w:tblPrEx>
          <w:tblCellMar>
            <w:top w:w="0" w:type="dxa"/>
            <w:left w:w="10" w:type="dxa"/>
            <w:bottom w:w="0" w:type="dxa"/>
            <w:right w:w="10" w:type="dxa"/>
          </w:tblCellMar>
        </w:tblPrEx>
        <w:tc>
          <w:tcPr>
            <w:tcW w:w="45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pPr>
              <w:spacing w:after="0" w:line="240" w:lineRule="auto"/>
              <w:rPr>
                <w:rFonts w:cs="Times New Roman"/>
              </w:rPr>
            </w:pPr>
            <w:r>
              <w:rPr>
                <w:rFonts w:cs="Times New Roman"/>
              </w:rPr>
              <w:t>Complexity of implementation</w:t>
            </w:r>
          </w:p>
        </w:tc>
        <w:tc>
          <w:tcPr>
            <w:tcW w:w="45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pPr>
              <w:spacing w:after="0" w:line="240" w:lineRule="auto"/>
              <w:rPr>
                <w:rFonts w:cs="Times New Roman"/>
              </w:rPr>
            </w:pPr>
            <w:r>
              <w:rPr>
                <w:rFonts w:cs="Times New Roman"/>
              </w:rPr>
              <w:t>15</w:t>
            </w:r>
          </w:p>
        </w:tc>
      </w:tr>
      <w:tr>
        <w:tblPrEx>
          <w:tblCellMar>
            <w:top w:w="0" w:type="dxa"/>
            <w:left w:w="10" w:type="dxa"/>
            <w:bottom w:w="0" w:type="dxa"/>
            <w:right w:w="10" w:type="dxa"/>
          </w:tblCellMar>
        </w:tblPrEx>
        <w:tc>
          <w:tcPr>
            <w:tcW w:w="45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pPr>
              <w:spacing w:after="0" w:line="240" w:lineRule="auto"/>
              <w:rPr>
                <w:rFonts w:cs="Times New Roman"/>
                <w:u w:val="single"/>
              </w:rPr>
            </w:pPr>
            <w:r>
              <w:rPr>
                <w:rFonts w:cs="Times New Roman"/>
                <w:u w:val="single"/>
              </w:rPr>
              <w:t>Total</w:t>
            </w:r>
          </w:p>
        </w:tc>
        <w:tc>
          <w:tcPr>
            <w:tcW w:w="4531"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op w:w="0" w:type="dxa"/>
              <w:left w:w="108" w:type="dxa"/>
              <w:bottom w:w="0" w:type="dxa"/>
              <w:right w:w="108" w:type="dxa"/>
            </w:tcMar>
          </w:tcPr>
          <w:p>
            <w:pPr>
              <w:spacing w:after="0" w:line="240" w:lineRule="auto"/>
              <w:rPr>
                <w:rFonts w:cs="Times New Roman"/>
              </w:rPr>
            </w:pPr>
            <w:r>
              <w:rPr>
                <w:rFonts w:cs="Times New Roman"/>
              </w:rPr>
              <w:t>100</w:t>
            </w:r>
          </w:p>
        </w:tc>
      </w:tr>
    </w:tbl>
    <w:p/>
    <w:sectPr>
      <w:pgSz w:w="11906" w:h="16838"/>
      <w:pgMar w:top="1417" w:right="1417" w:bottom="1417" w:left="1417"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Verdana">
    <w:panose1 w:val="020B0604030504040204"/>
    <w:charset w:val="00"/>
    <w:family w:val="swiss"/>
    <w:pitch w:val="default"/>
    <w:sig w:usb0="A00006FF" w:usb1="4000205B" w:usb2="00000010" w:usb3="00000000" w:csb0="2000019F" w:csb1="00000000"/>
  </w:font>
  <w:font w:name="等线 Light">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02" w:lineRule="auto"/>
      </w:pPr>
      <w:r>
        <w:separator/>
      </w:r>
    </w:p>
  </w:footnote>
  <w:footnote w:type="continuationSeparator" w:id="1">
    <w:p>
      <w:pPr>
        <w:spacing w:before="0" w:after="0" w:line="302"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EA0BF6"/>
    <w:multiLevelType w:val="multilevel"/>
    <w:tmpl w:val="0CEA0BF6"/>
    <w:lvl w:ilvl="0" w:tentative="0">
      <w:start w:val="1"/>
      <w:numFmt w:val="bullet"/>
      <w:lvlText w:val="o"/>
      <w:lvlJc w:val="left"/>
      <w:pPr>
        <w:spacing w:before="120"/>
        <w:ind w:left="360"/>
      </w:pPr>
      <w:rPr>
        <w:rFonts w:ascii="Courier New" w:hAnsi="Courier New" w:eastAsia="Courier New" w:cs="Courier New"/>
        <w:color w:val="BFBFBF"/>
        <w:sz w:val="52"/>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
    <w:nsid w:val="2A776225"/>
    <w:multiLevelType w:val="multilevel"/>
    <w:tmpl w:val="2A77622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1"/>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5FE9"/>
    <w:rsid w:val="001844FC"/>
    <w:rsid w:val="00346C05"/>
    <w:rsid w:val="00572FF4"/>
    <w:rsid w:val="00856A42"/>
    <w:rsid w:val="00A65FE9"/>
    <w:rsid w:val="00BA75FA"/>
    <w:rsid w:val="00E878BB"/>
    <w:rsid w:val="108A652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Verdana" w:hAnsi="Verdana"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nhideWhenUsed="0" w:uiPriority="99"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02" w:lineRule="auto"/>
      <w:jc w:val="both"/>
    </w:pPr>
    <w:rPr>
      <w:rFonts w:ascii="Times New Roman" w:hAnsi="Times New Roman" w:eastAsiaTheme="minorHAnsi" w:cstheme="minorBidi"/>
      <w:sz w:val="22"/>
      <w:szCs w:val="22"/>
      <w:lang w:val="en-GB" w:eastAsia="en-US" w:bidi="ar-SA"/>
    </w:rPr>
  </w:style>
  <w:style w:type="paragraph" w:styleId="2">
    <w:name w:val="heading 3"/>
    <w:basedOn w:val="1"/>
    <w:next w:val="1"/>
    <w:link w:val="5"/>
    <w:unhideWhenUsed/>
    <w:qFormat/>
    <w:uiPriority w:val="9"/>
    <w:pPr>
      <w:keepNext/>
      <w:keepLines/>
      <w:spacing w:before="40" w:after="0"/>
      <w:outlineLvl w:val="2"/>
    </w:pPr>
    <w:rPr>
      <w:rFonts w:eastAsiaTheme="majorEastAsia" w:cstheme="majorBidi"/>
      <w:sz w:val="24"/>
      <w:szCs w:val="24"/>
      <w:u w:val="single"/>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customStyle="1" w:styleId="5">
    <w:name w:val="Heading 3 Char"/>
    <w:basedOn w:val="4"/>
    <w:link w:val="2"/>
    <w:qFormat/>
    <w:uiPriority w:val="9"/>
    <w:rPr>
      <w:rFonts w:ascii="Times New Roman" w:hAnsi="Times New Roman" w:eastAsiaTheme="majorEastAsia" w:cstheme="majorBidi"/>
      <w:sz w:val="24"/>
      <w:szCs w:val="24"/>
      <w:u w:val="single"/>
      <w:lang w:eastAsia="en-US"/>
    </w:rPr>
  </w:style>
  <w:style w:type="paragraph" w:styleId="6">
    <w:name w:val="List Paragraph"/>
    <w:basedOn w:val="1"/>
    <w:qFormat/>
    <w:uiPriority w:val="34"/>
    <w:pPr>
      <w:ind w:left="720"/>
      <w:contextualSpacing/>
    </w:pPr>
  </w:style>
  <w:style w:type="table" w:customStyle="1" w:styleId="7">
    <w:name w:val="QQuestionIconTable"/>
    <w:qFormat/>
    <w:uiPriority w:val="99"/>
    <w:pPr>
      <w:spacing w:after="0" w:line="240" w:lineRule="auto"/>
      <w:jc w:val="center"/>
    </w:pPr>
    <w:rPr>
      <w:rFonts w:asciiTheme="minorHAnsi" w:hAnsiTheme="minorHAnsi"/>
      <w:sz w:val="22"/>
      <w:lang w:val="en-US" w:eastAsia="en-US"/>
    </w:rPr>
    <w:tblPr>
      <w:tblCellMar>
        <w:top w:w="0" w:type="dxa"/>
        <w:left w:w="10" w:type="dxa"/>
        <w:bottom w:w="0" w:type="dxa"/>
        <w:right w:w="10" w:type="dxa"/>
      </w:tblCellMar>
    </w:tblPr>
    <w:tcPr>
      <w:shd w:val="clear" w:color="auto" w:fill="auto"/>
      <w:vAlign w:val="center"/>
    </w:tcPr>
  </w:style>
  <w:style w:type="paragraph" w:customStyle="1" w:styleId="8">
    <w:name w:val="H2"/>
    <w:next w:val="1"/>
    <w:uiPriority w:val="0"/>
    <w:pPr>
      <w:spacing w:after="240" w:line="240" w:lineRule="auto"/>
    </w:pPr>
    <w:rPr>
      <w:rFonts w:asciiTheme="minorHAnsi" w:hAnsiTheme="minorHAnsi" w:eastAsiaTheme="minorEastAsia" w:cstheme="minorBidi"/>
      <w:b/>
      <w:color w:val="000000"/>
      <w:sz w:val="48"/>
      <w:szCs w:val="48"/>
      <w:lang w:val="en-US" w:eastAsia="en-US" w:bidi="ar-SA"/>
    </w:rPr>
  </w:style>
  <w:style w:type="paragraph" w:customStyle="1" w:styleId="9">
    <w:name w:val="BlockStartLabel"/>
    <w:basedOn w:val="1"/>
    <w:qFormat/>
    <w:uiPriority w:val="0"/>
    <w:pPr>
      <w:spacing w:before="120" w:after="120" w:line="240" w:lineRule="auto"/>
      <w:jc w:val="left"/>
    </w:pPr>
    <w:rPr>
      <w:rFonts w:asciiTheme="minorHAnsi" w:hAnsiTheme="minorHAnsi" w:eastAsiaTheme="minorEastAsia"/>
      <w:b/>
      <w:color w:val="CCCCCC"/>
      <w:lang w:val="en-US"/>
    </w:rPr>
  </w:style>
  <w:style w:type="paragraph" w:customStyle="1" w:styleId="10">
    <w:name w:val="BlockEndLabel"/>
    <w:basedOn w:val="1"/>
    <w:qFormat/>
    <w:uiPriority w:val="0"/>
    <w:pPr>
      <w:spacing w:before="120" w:after="0" w:line="240" w:lineRule="auto"/>
      <w:jc w:val="left"/>
    </w:pPr>
    <w:rPr>
      <w:rFonts w:asciiTheme="minorHAnsi" w:hAnsiTheme="minorHAnsi" w:eastAsiaTheme="minorEastAsia"/>
      <w:b/>
      <w:color w:val="CCCCCC"/>
      <w:lang w:val="en-US"/>
    </w:rPr>
  </w:style>
  <w:style w:type="paragraph" w:customStyle="1" w:styleId="11">
    <w:name w:val="BlockSeparator"/>
    <w:basedOn w:val="1"/>
    <w:qFormat/>
    <w:uiPriority w:val="0"/>
    <w:pPr>
      <w:pBdr>
        <w:bottom w:val="single" w:color="CCCCCC" w:sz="8" w:space="0"/>
      </w:pBdr>
      <w:spacing w:after="0" w:line="120" w:lineRule="auto"/>
      <w:jc w:val="center"/>
    </w:pPr>
    <w:rPr>
      <w:rFonts w:asciiTheme="minorHAnsi" w:hAnsiTheme="minorHAnsi" w:eastAsiaTheme="minorEastAsia"/>
      <w:b/>
      <w:color w:val="CCCCCC"/>
      <w:lang w:val="en-US"/>
    </w:rPr>
  </w:style>
  <w:style w:type="paragraph" w:customStyle="1" w:styleId="12">
    <w:name w:val="QuestionSeparator"/>
    <w:basedOn w:val="1"/>
    <w:qFormat/>
    <w:uiPriority w:val="0"/>
    <w:pPr>
      <w:pBdr>
        <w:top w:val="dashed" w:color="CCCCCC" w:sz="8" w:space="0"/>
      </w:pBdr>
      <w:spacing w:before="120" w:after="120" w:line="120" w:lineRule="auto"/>
      <w:jc w:val="left"/>
    </w:pPr>
    <w:rPr>
      <w:rFonts w:asciiTheme="minorHAnsi" w:hAnsiTheme="minorHAnsi" w:eastAsiaTheme="minorEastAsia"/>
      <w:lang w:val="en-US"/>
    </w:rPr>
  </w:style>
  <w:style w:type="paragraph" w:customStyle="1" w:styleId="13">
    <w:name w:val="TextEntryLine"/>
    <w:basedOn w:val="1"/>
    <w:qFormat/>
    <w:uiPriority w:val="0"/>
    <w:pPr>
      <w:spacing w:before="240" w:after="0" w:line="240" w:lineRule="auto"/>
      <w:jc w:val="left"/>
    </w:pPr>
    <w:rPr>
      <w:rFonts w:asciiTheme="minorHAnsi" w:hAnsiTheme="minorHAnsi" w:eastAsiaTheme="minorEastAsia"/>
      <w:lang w:val="en-U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882</Words>
  <Characters>5028</Characters>
  <Lines>41</Lines>
  <Paragraphs>11</Paragraphs>
  <TotalTime>5</TotalTime>
  <ScaleCrop>false</ScaleCrop>
  <LinksUpToDate>false</LinksUpToDate>
  <CharactersWithSpaces>5899</CharactersWithSpaces>
  <Application>WPS Office_11.1.0.11220_F1E327BC-269C-435d-A152-05C5408002CA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2021-06-30T09:17:00Z</dcterms:created>
  <dc:creator>Wang, Zhengcong</dc:creator>
  <cp:lastModifiedBy>`Peter</cp:lastModifiedBy>
  <dcterms:modified xsi:type="dcterms:W3CDTF">2022-05-09T08:08:26Z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2052-11.1.0.11220</vt:lpwstr>
  </property>
  <property fmtid="{D5CDD505-2E9C-101B-9397-08002B2CF9AE}" pid="3" name="ICV">
    <vt:lpwstr>C5E558E27FA74A68B56F41C731054E2A</vt:lpwstr>
  </property>
</Properties>
</file>