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по ОУД4 и реестру российского ПО</w:t>
      </w:r>
    </w:p>
    <w:p>
      <w:pPr>
        <w:jc w:val="center"/>
      </w:pPr>
      <w:r>
        <w:rPr>
          <w:color w:val="666666"/>
          <w:sz w:val="22"/>
        </w:rPr>
        <w:t>Проект LKK-2.0-2026 · Личный кабинет клиента РГС Ж</w:t>
      </w:r>
    </w:p>
    <w:p>
      <w:r>
        <w:t>Дата подготовки: 26.07.2026</w:t>
      </w:r>
    </w:p>
    <w:p>
      <w:r>
        <w:rPr>
          <w:color w:val="666666"/>
          <w:sz w:val="18"/>
        </w:rPr>
        <w:t>Опора: роадмап разработки и оценки по ОУД 4 (ГОСТ Р ИСО/МЭК 15408) — 8 этапов; файл в этой папке: Роадмап_разработки_и_оценки_продукта_по_ОУД_4_ГОСТ_Р_ИСО_МЭК_15408.docx.</w:t>
      </w:r>
    </w:p>
    <w:p/>
    <w:p>
      <w:r>
        <w:rPr>
          <w:i/>
          <w:sz w:val="20"/>
        </w:rPr>
        <w:t>Ниже — вопросы с краткими пояснениями терминов в таблицах под каждым пунктом. Структура вопросов выровнена с роадмапом ОУД 4 (8 этапов). Полный справочник — в конце документа.</w:t>
      </w:r>
    </w:p>
    <w:p/>
    <w:p>
      <w:pPr>
        <w:pStyle w:val="Heading1"/>
      </w:pPr>
      <w:r>
        <w:t>1. К заказчику (юридическое лицо, спонсор)</w:t>
      </w:r>
    </w:p>
    <w:p>
      <w:pPr>
        <w:pStyle w:val="ListBullet"/>
        <w:spacing w:after="40"/>
      </w:pPr>
      <w:r>
        <w:t>Юридическое наименование, ИНН, юридический адрес и сайт для опросников и реестра.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Реестр российского ПО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 российское происхождение и права на продукт.</w:t>
            </w:r>
          </w:p>
        </w:tc>
      </w:tr>
      <w:tr>
        <w:tc>
          <w:tcPr>
            <w:tcW w:type="dxa" w:w="4844"/>
          </w:tcPr>
          <w:p>
            <w:r>
              <w:t>РАДКОП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Допуск к госзакупкам и льготам для отечественного ПО.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Кто ответственный за координацию ОУД4 и реестра ПО (ФИО, должность, e-mail, телефон)?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ОУД4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</w:tr>
      <w:tr>
        <w:tc>
          <w:tcPr>
            <w:tcW w:type="dxa" w:w="4844"/>
          </w:tcPr>
          <w:p>
            <w:r>
              <w:t>РАДКОП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Допуск к госзакупкам и льготам для отечественного ПО.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Подтвердить правообладателя ЛКК 2.0 и комплект документов на исключительное право.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Реестр российского ПО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 российское происхождение и права на продукт.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Требуется ли включение в реестр до или после оценки ОУД4? Целевые даты подачи.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ОУД4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</w:tr>
      <w:tr>
        <w:tc>
          <w:tcPr>
            <w:tcW w:type="dxa" w:w="4844"/>
          </w:tcPr>
          <w:p>
            <w:r>
              <w:t>Реестр российского ПО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 российское происхождение и права на продукт.</w:t>
            </w:r>
          </w:p>
        </w:tc>
      </w:tr>
      <w:tr>
        <w:tc>
          <w:tcPr>
            <w:tcW w:type="dxa" w:w="4844"/>
          </w:tcPr>
          <w:p>
            <w:r>
              <w:t>РАДКОП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Допуск к госзакупкам и льготам для отечественного ПО.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Проверка технологического стека по методичке ru-ikt.ru — проведена ли, кто подписывает заключение?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ru-ikt / классификатор ПО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Проверка импортозамещения: нет ли запрещённых иностранных компонентов.</w:t>
            </w:r>
          </w:p>
        </w:tc>
      </w:tr>
      <w:tr>
        <w:tc>
          <w:tcPr>
            <w:tcW w:type="dxa" w:w="4844"/>
          </w:tcPr>
          <w:p>
            <w:r>
              <w:t>SBOM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Нужен для реестра ПО, SCA и доказательства отсутствия запрещённых зависимостей.</w:t>
            </w:r>
          </w:p>
        </w:tc>
      </w:tr>
    </w:tbl>
    <w:p/>
    <w:p>
      <w:pPr>
        <w:spacing w:after="120"/>
      </w:pPr>
    </w:p>
    <w:p>
      <w:pPr>
        <w:pStyle w:val="Heading1"/>
      </w:pPr>
      <w:r>
        <w:t>2. К службе ИБ заказчика (этап 1 роадмапа — ЗБ / ОО)</w:t>
      </w:r>
    </w:p>
    <w:p>
      <w:pPr>
        <w:pStyle w:val="ListBullet"/>
        <w:spacing w:after="40"/>
      </w:pPr>
      <w:r>
        <w:t>Границы объекта оценки (ОО): только LKK frontend+BFF или включая IAM/AdInsure/УЦС?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  <w:tr>
        <w:tc>
          <w:tcPr>
            <w:tcW w:type="dxa" w:w="4844"/>
          </w:tcPr>
          <w:p>
            <w:r>
              <w:t>BFF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Скрывает интеграции, централизует auth и бизнес-логику для фронта.</w:t>
            </w:r>
          </w:p>
        </w:tc>
      </w:tr>
      <w:tr>
        <w:tc>
          <w:tcPr>
            <w:tcW w:type="dxa" w:w="4844"/>
          </w:tcPr>
          <w:p>
            <w:r>
              <w:t>IAM / AdInsure / УЦС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Интеграции ЛКК; вопрос — входят ли в границы ОО при оценке.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Среда функционирования ОО (логические/физические контуры, доверенные роли) — утверждённое описание?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Модель нарушителя и перечень угроз для ЗБ — кто утверждает?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Модель нарушителя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Часть ЗБ; влияет на глубину AVA и стойкость функций безопасности.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  <w:tr>
        <w:tc>
          <w:tcPr>
            <w:tcW w:type="dxa" w:w="4844"/>
          </w:tcPr>
          <w:p>
            <w:r>
              <w:t>ФТБ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Набираются по ГОСТ 15408 с учётом фактической реализации; можно опираться на ПЗ ЦБ.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Применяем ли Профиль защиты ЦБ при наборе ФТБ или только ГОСТ 15408 + фактическая реализация?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ПЗ ЦБ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Можно учитывать при наборе ФТБ в ЗБ; остальное — по ГОСТ 15408 и фактической реализации.</w:t>
            </w:r>
          </w:p>
        </w:tc>
      </w:tr>
      <w:tr>
        <w:tc>
          <w:tcPr>
            <w:tcW w:type="dxa" w:w="4844"/>
          </w:tcPr>
          <w:p>
            <w:r>
              <w:t>ФТБ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Набираются по ГОСТ 15408 с учётом фактической реализации; можно опираться на ПЗ ЦБ.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Как оцениваем 5.5.3 (журнал аудита) при вынесении админ-панели (СЦ-09) за рамки MVP?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5.5.2 / 5.5.3 / 5.5.4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Конкретные требования, которые проверяют на СЦ-12.</w:t>
            </w:r>
          </w:p>
        </w:tc>
      </w:tr>
      <w:tr>
        <w:tc>
          <w:tcPr>
            <w:tcW w:type="dxa" w:w="4844"/>
          </w:tcPr>
          <w:p>
            <w:r>
              <w:t>СЦ-09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В ТЗ — требования 5.5.3 к неизменяемому журналу.</w:t>
            </w:r>
          </w:p>
        </w:tc>
      </w:tr>
      <w:tr>
        <w:tc>
          <w:tcPr>
            <w:tcW w:type="dxa" w:w="4844"/>
          </w:tcPr>
          <w:p>
            <w:r>
              <w:t>MVP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Ограничивает scope разработки и оценки.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Критерии «критичной» уязвимости и сроки устранения (AVA_VAN.3).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AVA_VAN.3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Обязательная часть ОУД4; выявляет дыры до сертификации.</w:t>
            </w:r>
          </w:p>
        </w:tc>
      </w:tr>
      <w:tr>
        <w:tc>
          <w:tcPr>
            <w:tcW w:type="dxa" w:w="4844"/>
          </w:tcPr>
          <w:p>
            <w:r>
              <w:t>ОУД4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Состав полного пакета документов ОУД4 и Задания по безопасности (5.6) — утверждённый шаблон.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ОУД4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  <w:tr>
        <w:tc>
          <w:tcPr>
            <w:tcW w:type="dxa" w:w="4844"/>
          </w:tcPr>
          <w:p>
            <w:r>
              <w:t>Комплект свидетельств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Этап 7 роадмапа: проверка непротиворечивости и трассируемости требований перед ТО.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Нужно ли отдельное руководство администратора (AGD) или достаточно руководства пользователя?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AGD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Обеспечивают безопасную приёмку и эксплуатацию; должны соответствовать реализации.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Выбор инструментов SAST/SCA/DAST и требования к SBOM.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SAST / SCA / DAST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Автоматизация поиска уязвимостей в CI и на стенде.</w:t>
            </w:r>
          </w:p>
        </w:tc>
      </w:tr>
      <w:tr>
        <w:tc>
          <w:tcPr>
            <w:tcW w:type="dxa" w:w="4844"/>
          </w:tcPr>
          <w:p>
            <w:r>
              <w:t>SBOM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Нужен для реестра ПО, SCA и доказательства отсутствия запрещённых зависимостей.</w:t>
            </w:r>
          </w:p>
        </w:tc>
      </w:tr>
      <w:tr>
        <w:tc>
          <w:tcPr>
            <w:tcW w:type="dxa" w:w="4844"/>
          </w:tcPr>
          <w:p>
            <w:r>
              <w:t>DevSecOps / AppSec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Снижает риски до формальной оценки ОУД4.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Доступ оценщика к исходному коду и ПСИ-контуру: политика, NDA, сроки.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ПСИ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Финальная приёмка перед вводом в эксплуатацию.</w:t>
            </w:r>
          </w:p>
        </w:tc>
      </w:tr>
      <w:tr>
        <w:tc>
          <w:tcPr>
            <w:tcW w:type="dxa" w:w="4844"/>
          </w:tcPr>
          <w:p>
            <w:r>
              <w:t>NDA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Юридическое условие передачи исходников в лабораторию.</w:t>
            </w:r>
          </w:p>
        </w:tc>
      </w:tr>
      <w:tr>
        <w:tc>
          <w:tcPr>
            <w:tcW w:type="dxa" w:w="4844"/>
          </w:tcPr>
          <w:p>
            <w:r>
              <w:t>ОО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Класс ПО по классификатору ru-ikt для реестра.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ru-ikt / классификатор ПО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Проверка импортозамещения: нет ли запрещённых иностранных компонентов.</w:t>
            </w:r>
          </w:p>
        </w:tc>
      </w:tr>
      <w:tr>
        <w:tc>
          <w:tcPr>
            <w:tcW w:type="dxa" w:w="4844"/>
          </w:tcPr>
          <w:p>
            <w:r>
              <w:t>Реестр российского ПО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 российское происхождение и права на продукт.</w:t>
            </w:r>
          </w:p>
        </w:tc>
      </w:tr>
    </w:tbl>
    <w:p/>
    <w:p>
      <w:pPr>
        <w:spacing w:after="120"/>
      </w:pPr>
    </w:p>
    <w:p>
      <w:pPr>
        <w:pStyle w:val="Heading1"/>
      </w:pPr>
      <w:r>
        <w:t>3. К инфраструктуре и эксплуатации</w:t>
      </w:r>
    </w:p>
    <w:p>
      <w:pPr>
        <w:pStyle w:val="ListBullet"/>
        <w:spacing w:after="40"/>
      </w:pPr>
      <w:r>
        <w:t>Сроки и адреса контуров test / stage / prod (сейчас развёрнут dev CCLOUD-27520).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ПСИ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Финальная приёмка перед вводом в эксплуатацию.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Резервирование GitLab, стендов, ELK для ПСИ 6.1.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ELK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Сбор и поиск событий безопасности.</w:t>
            </w:r>
          </w:p>
        </w:tc>
      </w:tr>
      <w:tr>
        <w:tc>
          <w:tcPr>
            <w:tcW w:type="dxa" w:w="4844"/>
          </w:tcPr>
          <w:p>
            <w:r>
              <w:t>ПСИ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Финальная приёмка перед вводом в эксплуатацию.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Процедура поставки web-релиза (ALC_DEL1): кто принимает, как маркируются версии.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ALC_*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Контроль целостности артефактов и подпись обновлений.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ALC_*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  <w:tr>
        <w:tc>
          <w:tcPr>
            <w:tcW w:type="dxa" w:w="4844"/>
          </w:tcPr>
          <w:p>
            <w:r>
              <w:t>DevSecOps / AppSec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Снижает риски до формальной оценки ОУД4.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Процедуры восстановления, резервного копирования и обновления для включения в AGD.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AGD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Обеспечивают безопасную приёмку и эксплуатацию; должны соответствовать реализации.</w:t>
            </w:r>
          </w:p>
        </w:tc>
      </w:tr>
      <w:tr>
        <w:tc>
          <w:tcPr>
            <w:tcW w:type="dxa" w:w="4844"/>
          </w:tcPr>
          <w:p>
            <w:r>
              <w:t>ALC_*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</w:tbl>
    <w:p/>
    <w:p>
      <w:pPr>
        <w:spacing w:after="120"/>
      </w:pPr>
    </w:p>
    <w:p>
      <w:pPr>
        <w:pStyle w:val="Heading1"/>
      </w:pPr>
      <w:r>
        <w:t>4. К команде разработки (внутренние)</w:t>
      </w:r>
    </w:p>
    <w:p>
      <w:pPr>
        <w:pStyle w:val="ListBullet"/>
        <w:spacing w:after="40"/>
      </w:pPr>
      <w:r>
        <w:t>Назначить AppSec-фокус на этапе СЦ-12 (связка с TL и QA).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DevSecOps / AppSec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Снижает риски до формальной оценки ОУД4.</w:t>
            </w:r>
          </w:p>
        </w:tc>
      </w:tr>
      <w:tr>
        <w:tc>
          <w:tcPr>
            <w:tcW w:type="dxa" w:w="4844"/>
          </w:tcPr>
          <w:p>
            <w:r>
              <w:t>СЦ-12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Сбор доказательной базы для оценки ОУД4.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Подготовить OpenAPI/Swagger BFF для ADV_FSP.4 — срок?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ADV_FSP.4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Фиксирует точки входа/выхода данных; по ним проверяют безопасность интеграций.</w:t>
            </w:r>
          </w:p>
        </w:tc>
      </w:tr>
      <w:tr>
        <w:tc>
          <w:tcPr>
            <w:tcW w:type="dxa" w:w="4844"/>
          </w:tcPr>
          <w:p>
            <w:r>
              <w:t>BFF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Скрывает интеграции, централизует auth и бизнес-логику для фронта.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Декомпозиция ОО на модули (ADV_TDS.3) — кто ведёт (архитектор/TL)?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ADV_TDS.3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Показывает структуру ПО для оценщика.</w:t>
            </w:r>
          </w:p>
        </w:tc>
      </w:tr>
      <w:tr>
        <w:tc>
          <w:tcPr>
            <w:tcW w:type="dxa" w:w="4844"/>
          </w:tcPr>
          <w:p>
            <w:r>
              <w:t>ОО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Фактические объёмы кода (тыс. строк) к моменту подачи опросника оценщику.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Формализация Agile-модели ЖЦ для ALC_LCD / ALC_CMC4.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ALC_*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  <w:tr>
        <w:tc>
          <w:tcPr>
            <w:tcW w:type="dxa" w:w="4844"/>
          </w:tcPr>
          <w:p>
            <w:r>
              <w:t>MVP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Ограничивает scope разработки и оценки.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Кто ведёт матрицу трассируемости ФТБ → ADV/ATE/AVA перед сборкой комплекта свидетельств?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Комплект свидетельств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Этап 7 роадмапа: проверка непротиворечивости и трассируемости требований перед ТО.</w:t>
            </w:r>
          </w:p>
        </w:tc>
      </w:tr>
      <w:tr>
        <w:tc>
          <w:tcPr>
            <w:tcW w:type="dxa" w:w="4844"/>
          </w:tcPr>
          <w:p>
            <w:r>
              <w:t>ФТБ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Набираются по ГОСТ 15408 с учётом фактической реализации; можно опираться на ПЗ ЦБ.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</w:tbl>
    <w:p/>
    <w:p>
      <w:pPr>
        <w:spacing w:after="120"/>
      </w:pPr>
    </w:p>
    <w:p>
      <w:pPr>
        <w:pStyle w:val="Heading1"/>
      </w:pPr>
      <w:r>
        <w:t>5. К профильным специалистам / оценщику (внешние)</w:t>
      </w:r>
    </w:p>
    <w:p>
      <w:pPr>
        <w:pStyle w:val="ListBullet"/>
        <w:spacing w:after="40"/>
      </w:pPr>
      <w:r>
        <w:t>Подтвердить скоуп ОУД4: достаточно ли frontend+BFF или нужны смежные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ОУД4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</w:tr>
      <w:tr>
        <w:tc>
          <w:tcPr>
            <w:tcW w:type="dxa" w:w="4844"/>
          </w:tcPr>
          <w:p>
            <w:r>
              <w:t>ОО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Определяет границы работ: что сканируем, что описываем, за что отвечаем перед оценщиком.</w:t>
            </w:r>
          </w:p>
        </w:tc>
      </w:tr>
      <w:tr>
        <w:tc>
          <w:tcPr>
            <w:tcW w:type="dxa" w:w="4844"/>
          </w:tcPr>
          <w:p>
            <w:r>
              <w:t>BFF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Скрывает интеграции, централизует auth и бизнес-логику для фронта.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Консультация по Заданию по безопасности (ASE) — нужен специалист с опытом ГОСТ 15408.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  <w:tr>
        <w:tc>
          <w:tcPr>
            <w:tcW w:type="dxa" w:w="4844"/>
          </w:tcPr>
          <w:p>
            <w:r>
              <w:t>ГОСТ Р ИСО/МЭК 15408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Нормативная база для ОУД4: по нему пишут Задание по безопасности, спецификации и проводят оценку.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Формат и сроки предоставления КП на оценку ОУД4 и сопровождение реестра.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ОУД4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</w:tr>
      <w:tr>
        <w:tc>
          <w:tcPr>
            <w:tcW w:type="dxa" w:w="4844"/>
          </w:tcPr>
          <w:p>
            <w:r>
              <w:t>РАДКОП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Допуск к госзакупкам и льготам для отечественного ПО.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Возможность удалённой оценки и требования к тестовому стенду для DAST.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SAST / SCA / DAST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Автоматизация поиска уязвимостей в CI и на стенде.</w:t>
            </w:r>
          </w:p>
        </w:tc>
      </w:tr>
      <w:tr>
        <w:tc>
          <w:tcPr>
            <w:tcW w:type="dxa" w:w="4844"/>
          </w:tcPr>
          <w:p>
            <w:r>
              <w:t>ПСИ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Финальная приёмка перед вводом в эксплуатацию.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Перечень обязательных документов по этапам роадмапа (ЗБ → ADV → ALC → ATE/AVA → AGD → комплект → ТО).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  <w:tr>
        <w:tc>
          <w:tcPr>
            <w:tcW w:type="dxa" w:w="4844"/>
          </w:tcPr>
          <w:p>
            <w:r>
              <w:t>ADV_TDS.3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Показывает структуру ПО для оценщика.</w:t>
            </w:r>
          </w:p>
        </w:tc>
      </w:tr>
      <w:tr>
        <w:tc>
          <w:tcPr>
            <w:tcW w:type="dxa" w:w="4844"/>
          </w:tcPr>
          <w:p>
            <w:r>
              <w:t>ALC_*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Доказывает, что ПО создаётся и обновляется контролируемо.</w:t>
            </w:r>
          </w:p>
        </w:tc>
      </w:tr>
      <w:tr>
        <w:tc>
          <w:tcPr>
            <w:tcW w:type="dxa" w:w="4844"/>
          </w:tcPr>
          <w:p>
            <w:r>
              <w:t>ATE_*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Формализует, как проверяли соответствие требованиям.</w:t>
            </w:r>
          </w:p>
        </w:tc>
      </w:tr>
      <w:tr>
        <w:tc>
          <w:tcPr>
            <w:tcW w:type="dxa" w:w="4844"/>
          </w:tcPr>
          <w:p>
            <w:r>
              <w:t>Комплект свидетельств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Этап 7 роадмапа: проверка непротиворечивости и трассируемости требований перед ТО.</w:t>
            </w:r>
          </w:p>
        </w:tc>
      </w:tr>
    </w:tbl>
    <w:p/>
    <w:p>
      <w:pPr>
        <w:spacing w:after="120"/>
      </w:pPr>
    </w:p>
    <w:p>
      <w:pPr>
        <w:pStyle w:val="ListBullet"/>
        <w:spacing w:after="40"/>
      </w:pPr>
      <w:r>
        <w:t>Правило: ATE строго после финализации ЗБ; AVA можно параллельно — подтверждаем с оценщиком?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18"/>
              </w:rPr>
              <w:t>Термин</w:t>
            </w:r>
          </w:p>
        </w:tc>
        <w:tc>
          <w:tcPr>
            <w:tcW w:type="dxa" w:w="4844"/>
          </w:tcPr>
          <w:p>
            <w:r>
              <w:rPr>
                <w:b/>
                <w:sz w:val="18"/>
              </w:rPr>
              <w:t>Кратко: что это и зачем</w:t>
            </w:r>
          </w:p>
        </w:tc>
      </w:tr>
      <w:tr>
        <w:tc>
          <w:tcPr>
            <w:tcW w:type="dxa" w:w="4844"/>
          </w:tcPr>
          <w:p>
            <w:r>
              <w:t>ATE_*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Формализует, как проверяли соответствие требованиям.</w:t>
            </w:r>
          </w:p>
        </w:tc>
      </w:tr>
      <w:tr>
        <w:tc>
          <w:tcPr>
            <w:tcW w:type="dxa" w:w="4844"/>
          </w:tcPr>
          <w:p>
            <w:r>
              <w:t>AVA_VAN.3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Обязательная часть ОУД4; выявляет дыры до сертификации.</w:t>
            </w:r>
          </w:p>
        </w:tc>
      </w:tr>
      <w:tr>
        <w:tc>
          <w:tcPr>
            <w:tcW w:type="dxa" w:w="4844"/>
          </w:tcPr>
          <w:p>
            <w:r>
              <w:t>ASE</w:t>
            </w:r>
          </w:p>
        </w:tc>
        <w:tc>
          <w:tcPr>
            <w:tcW w:type="dxa" w:w="4844"/>
          </w:tcPr>
          <w:p>
            <w:r>
              <w:rPr>
                <w:sz w:val="18"/>
              </w:rPr>
              <w:t>Краеугольный документ комплекта: задаёт требования к ADV, AGD, ATE, AVA; итеративно уточняется.</w:t>
            </w:r>
          </w:p>
        </w:tc>
      </w:tr>
    </w:tbl>
    <w:p/>
    <w:p>
      <w:pPr>
        <w:spacing w:after="120"/>
      </w:pPr>
    </w:p>
    <w:p/>
    <w:p>
      <w:r>
        <w:rPr>
          <w:i/>
          <w:sz w:val="18"/>
        </w:rPr>
        <w:t>Красным в заполненных опросных листах отмечены поля, требующие ответа заказчика или уточнения до отправки оценщику.</w:t>
      </w:r>
    </w:p>
    <w:p>
      <w:r>
        <w:br w:type="page"/>
      </w:r>
    </w:p>
    <w:p>
      <w:pPr>
        <w:pStyle w:val="Heading1"/>
      </w:pPr>
      <w:r>
        <w:t>Справочник терминов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Расшифровка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Для чего</w:t>
            </w:r>
          </w:p>
        </w:tc>
        <w:tc>
          <w:tcPr>
            <w:tcW w:type="dxa" w:w="2422"/>
          </w:tcPr>
          <w:p>
            <w:r>
              <w:rPr>
                <w:b/>
              </w:rPr>
              <w:t>Контекст LKK 2.0</w:t>
            </w:r>
          </w:p>
        </w:tc>
      </w:tr>
      <w:tr>
        <w:tc>
          <w:tcPr>
            <w:tcW w:type="dxa" w:w="2422"/>
          </w:tcPr>
          <w:p>
            <w:r>
              <w:t>ГОСТ Р ИСО/МЭК 15408</w:t>
            </w:r>
          </w:p>
        </w:tc>
        <w:tc>
          <w:tcPr>
            <w:tcW w:type="dxa" w:w="2422"/>
          </w:tcPr>
          <w:p>
            <w:r>
              <w:t>Российский стандарт «Критерии оценки безопасности ИТ» (аналог Common Criteria). Задаёт язык и структуру требований к безопасности ПО и процедуру её оценки.</w:t>
            </w:r>
          </w:p>
        </w:tc>
        <w:tc>
          <w:tcPr>
            <w:tcW w:type="dxa" w:w="2422"/>
          </w:tcPr>
          <w:p>
            <w:r>
              <w:t>Нормативная база для ОУД4: по нему пишут Задание по безопасности, спецификации и проводят оценку.</w:t>
            </w:r>
          </w:p>
        </w:tc>
        <w:tc>
          <w:tcPr>
            <w:tcW w:type="dxa" w:w="2422"/>
          </w:tcPr>
          <w:p>
            <w:r>
              <w:t>Все документы ASE, ADV_*, ALC_*, ATE_*, AVA_* оформляются в терминах этого стандарта.</w:t>
            </w:r>
          </w:p>
        </w:tc>
      </w:tr>
      <w:tr>
        <w:tc>
          <w:tcPr>
            <w:tcW w:type="dxa" w:w="2422"/>
          </w:tcPr>
          <w:p>
            <w:r>
              <w:t>ОУД4</w:t>
            </w:r>
          </w:p>
        </w:tc>
        <w:tc>
          <w:tcPr>
            <w:tcW w:type="dxa" w:w="2422"/>
          </w:tcPr>
          <w:p>
            <w:r>
              <w:t>Оценочный уровень доверия 4 (EAL4). Четвёртый из семи уровней строгости оценки по ГОСТ 15408.</w:t>
            </w:r>
          </w:p>
        </w:tc>
        <w:tc>
          <w:tcPr>
            <w:tcW w:type="dxa" w:w="2422"/>
          </w:tcPr>
          <w:p>
            <w:r>
              <w:t>Подтверждает, что ПО разработано и проверено по формализованным процедурам; для финсектора — типовое требование к критичным системам.</w:t>
            </w:r>
          </w:p>
        </w:tc>
        <w:tc>
          <w:tcPr>
            <w:tcW w:type="dxa" w:w="2422"/>
          </w:tcPr>
          <w:p>
            <w:r>
              <w:t>Целевой уровень ЛКК 2.0; этап СЦ-12 в плане проекта (132 ч).</w:t>
            </w:r>
          </w:p>
        </w:tc>
      </w:tr>
      <w:tr>
        <w:tc>
          <w:tcPr>
            <w:tcW w:type="dxa" w:w="2422"/>
          </w:tcPr>
          <w:p>
            <w:r>
              <w:t>ОО</w:t>
            </w:r>
          </w:p>
        </w:tc>
        <w:tc>
          <w:tcPr>
            <w:tcW w:type="dxa" w:w="2422"/>
          </w:tcPr>
          <w:p>
            <w:r>
              <w:t>Объект оценки — конкретный набор программ и документации, который подвергают оценке ОУД4.</w:t>
            </w:r>
          </w:p>
        </w:tc>
        <w:tc>
          <w:tcPr>
            <w:tcW w:type="dxa" w:w="2422"/>
          </w:tcPr>
          <w:p>
            <w:r>
              <w:t>Определяет границы работ: что сканируем, что описываем, за что отвечаем перед оценщиком.</w:t>
            </w:r>
          </w:p>
        </w:tc>
        <w:tc>
          <w:tcPr>
            <w:tcW w:type="dxa" w:w="2422"/>
          </w:tcPr>
          <w:p>
            <w:r>
              <w:t>Для ЛКК: как минимум frontend + BFF; вопрос — включать ли IAM, AdInsure, УЦС.</w:t>
            </w:r>
          </w:p>
        </w:tc>
      </w:tr>
      <w:tr>
        <w:tc>
          <w:tcPr>
            <w:tcW w:type="dxa" w:w="2422"/>
          </w:tcPr>
          <w:p>
            <w:r>
              <w:t>ASE</w:t>
            </w:r>
          </w:p>
        </w:tc>
        <w:tc>
          <w:tcPr>
            <w:tcW w:type="dxa" w:w="2422"/>
          </w:tcPr>
          <w:p>
            <w:r>
              <w:t>Задание по безопасности (ЗБ / Security Target) — главный документ ОУД4: границы ОО, среда, угрозы, модель нарушителя, цели безопасности, функциональные требования (ФТБ).</w:t>
            </w:r>
          </w:p>
        </w:tc>
        <w:tc>
          <w:tcPr>
            <w:tcW w:type="dxa" w:w="2422"/>
          </w:tcPr>
          <w:p>
            <w:r>
              <w:t>Краеугольный документ комплекта: задаёт требования к ADV, AGD, ATE, AVA; итеративно уточняется.</w:t>
            </w:r>
          </w:p>
        </w:tc>
        <w:tc>
          <w:tcPr>
            <w:tcW w:type="dxa" w:w="2422"/>
          </w:tcPr>
          <w:p>
            <w:r>
              <w:t>Этап 1 роадмапа ОУД4; требует эксперта ГОСТ 15408; согласуется с ИБ (п. 5.6 ТЗ).</w:t>
            </w:r>
          </w:p>
        </w:tc>
      </w:tr>
      <w:tr>
        <w:tc>
          <w:tcPr>
            <w:tcW w:type="dxa" w:w="2422"/>
          </w:tcPr>
          <w:p>
            <w:r>
              <w:t>ФТБ</w:t>
            </w:r>
          </w:p>
        </w:tc>
        <w:tc>
          <w:tcPr>
            <w:tcW w:type="dxa" w:w="2422"/>
          </w:tcPr>
          <w:p>
            <w:r>
              <w:t>Функциональные требования безопасности — требования к функциям защиты ОО (классы FIA, FAU, FMT…).</w:t>
            </w:r>
          </w:p>
        </w:tc>
        <w:tc>
          <w:tcPr>
            <w:tcW w:type="dxa" w:w="2422"/>
          </w:tcPr>
          <w:p>
            <w:r>
              <w:t>Набираются по ГОСТ 15408 с учётом фактической реализации; можно опираться на ПЗ ЦБ.</w:t>
            </w:r>
          </w:p>
        </w:tc>
        <w:tc>
          <w:tcPr>
            <w:tcW w:type="dxa" w:w="2422"/>
          </w:tcPr>
          <w:p>
            <w:r>
              <w:t>Закладываются в ЗБ (ASE); по ним строят тесты ATE и проверяют код ADV_IMP.</w:t>
            </w:r>
          </w:p>
        </w:tc>
      </w:tr>
      <w:tr>
        <w:tc>
          <w:tcPr>
            <w:tcW w:type="dxa" w:w="2422"/>
          </w:tcPr>
          <w:p>
            <w:r>
              <w:t>ПЗ ЦБ</w:t>
            </w:r>
          </w:p>
        </w:tc>
        <w:tc>
          <w:tcPr>
            <w:tcW w:type="dxa" w:w="2422"/>
          </w:tcPr>
          <w:p>
            <w:r>
              <w:t>Профиль защиты Банка России — типовой набор требований безопасности для финсектора.</w:t>
            </w:r>
          </w:p>
        </w:tc>
        <w:tc>
          <w:tcPr>
            <w:tcW w:type="dxa" w:w="2422"/>
          </w:tcPr>
          <w:p>
            <w:r>
              <w:t>Можно учитывать при наборе ФТБ в ЗБ; остальное — по ГОСТ 15408 и фактической реализации.</w:t>
            </w:r>
          </w:p>
        </w:tc>
        <w:tc>
          <w:tcPr>
            <w:tcW w:type="dxa" w:w="2422"/>
          </w:tcPr>
          <w:p>
            <w:r>
              <w:t>Уточнить с ИБ/оценщиком, применяем ли ПЗ ЦБ для ЛКК 2.0 целиком или выборочно.</w:t>
            </w:r>
          </w:p>
        </w:tc>
      </w:tr>
      <w:tr>
        <w:tc>
          <w:tcPr>
            <w:tcW w:type="dxa" w:w="2422"/>
          </w:tcPr>
          <w:p>
            <w:r>
              <w:t>Модель нарушителя</w:t>
            </w:r>
          </w:p>
        </w:tc>
        <w:tc>
          <w:tcPr>
            <w:tcW w:type="dxa" w:w="2422"/>
          </w:tcPr>
          <w:p>
            <w:r>
              <w:t>Описание возможностей и мотивов потенциального нарушителя (уровень атаки для ОУД4).</w:t>
            </w:r>
          </w:p>
        </w:tc>
        <w:tc>
          <w:tcPr>
            <w:tcW w:type="dxa" w:w="2422"/>
          </w:tcPr>
          <w:p>
            <w:r>
              <w:t>Часть ЗБ; влияет на глубину AVA и стойкость функций безопасности.</w:t>
            </w:r>
          </w:p>
        </w:tc>
        <w:tc>
          <w:tcPr>
            <w:tcW w:type="dxa" w:w="2422"/>
          </w:tcPr>
          <w:p>
            <w:r>
              <w:t>Согласовать с ИБ заказчика до финализации ASE.</w:t>
            </w:r>
          </w:p>
        </w:tc>
      </w:tr>
      <w:tr>
        <w:tc>
          <w:tcPr>
            <w:tcW w:type="dxa" w:w="2422"/>
          </w:tcPr>
          <w:p>
            <w:r>
              <w:t>AGD</w:t>
            </w:r>
          </w:p>
        </w:tc>
        <w:tc>
          <w:tcPr>
            <w:tcW w:type="dxa" w:w="2422"/>
          </w:tcPr>
          <w:p>
            <w:r>
              <w:t>Руководства (администратора и/или пользователя): установка, режимы, ограничения, восстановление, резервное копирование, обновление, типовые ошибки.</w:t>
            </w:r>
          </w:p>
        </w:tc>
        <w:tc>
          <w:tcPr>
            <w:tcW w:type="dxa" w:w="2422"/>
          </w:tcPr>
          <w:p>
            <w:r>
              <w:t>Обеспечивают безопасную приёмку и эксплуатацию; должны соответствовать реализации.</w:t>
            </w:r>
          </w:p>
        </w:tc>
        <w:tc>
          <w:tcPr>
            <w:tcW w:type="dxa" w:w="2422"/>
          </w:tcPr>
          <w:p>
            <w:r>
              <w:t>Этап 6 роадмапа; параллельно после финализации ЗБ; шаблон в пакет-ОУД4/06-AGD.</w:t>
            </w:r>
          </w:p>
        </w:tc>
      </w:tr>
      <w:tr>
        <w:tc>
          <w:tcPr>
            <w:tcW w:type="dxa" w:w="2422"/>
          </w:tcPr>
          <w:p>
            <w:r>
              <w:t>Комплект свидетельств</w:t>
            </w:r>
          </w:p>
        </w:tc>
        <w:tc>
          <w:tcPr>
            <w:tcW w:type="dxa" w:w="2422"/>
          </w:tcPr>
          <w:p>
            <w:r>
              <w:t>Итоговый согласованный набор документов ОУД4: ЗБ, ADV_*, ALC_*, ATE_*, AVA, AGD.</w:t>
            </w:r>
          </w:p>
        </w:tc>
        <w:tc>
          <w:tcPr>
            <w:tcW w:type="dxa" w:w="2422"/>
          </w:tcPr>
          <w:p>
            <w:r>
              <w:t>Этап 7 роадмапа: проверка непротиворечивости и трассируемости требований перед ТО.</w:t>
            </w:r>
          </w:p>
        </w:tc>
        <w:tc>
          <w:tcPr>
            <w:tcW w:type="dxa" w:w="2422"/>
          </w:tcPr>
          <w:p>
            <w:r>
              <w:t>Сборка перед техническим отчётом об оценке (этап 8).</w:t>
            </w:r>
          </w:p>
        </w:tc>
      </w:tr>
      <w:tr>
        <w:tc>
          <w:tcPr>
            <w:tcW w:type="dxa" w:w="2422"/>
          </w:tcPr>
          <w:p>
            <w:r>
              <w:t>ADV_TDS.3</w:t>
            </w:r>
          </w:p>
        </w:tc>
        <w:tc>
          <w:tcPr>
            <w:tcW w:type="dxa" w:w="2422"/>
          </w:tcPr>
          <w:p>
            <w:r>
              <w:t>Базовый модульный проект — декомпозиция ОО на подсистемы и модули (двухуровневая).</w:t>
            </w:r>
          </w:p>
        </w:tc>
        <w:tc>
          <w:tcPr>
            <w:tcW w:type="dxa" w:w="2422"/>
          </w:tcPr>
          <w:p>
            <w:r>
              <w:t>Показывает структуру ПО для оценщика.</w:t>
            </w:r>
          </w:p>
        </w:tc>
        <w:tc>
          <w:tcPr>
            <w:tcW w:type="dxa" w:w="2422"/>
          </w:tcPr>
          <w:p>
            <w:r>
              <w:t>Frontend (web/PWA) + BFF + связи между модулями.</w:t>
            </w:r>
          </w:p>
        </w:tc>
      </w:tr>
      <w:tr>
        <w:tc>
          <w:tcPr>
            <w:tcW w:type="dxa" w:w="2422"/>
          </w:tcPr>
          <w:p>
            <w:r>
              <w:t>ADV_FSP.4</w:t>
            </w:r>
          </w:p>
        </w:tc>
        <w:tc>
          <w:tcPr>
            <w:tcW w:type="dxa" w:w="2422"/>
          </w:tcPr>
          <w:p>
            <w:r>
              <w:t>Полная функциональная спецификация — описание всех интерфейсов ОО с внешними системами.</w:t>
            </w:r>
          </w:p>
        </w:tc>
        <w:tc>
          <w:tcPr>
            <w:tcW w:type="dxa" w:w="2422"/>
          </w:tcPr>
          <w:p>
            <w:r>
              <w:t>Фиксирует точки входа/выхода данных; по ним проверяют безопасность интеграций.</w:t>
            </w:r>
          </w:p>
        </w:tc>
        <w:tc>
          <w:tcPr>
            <w:tcW w:type="dxa" w:w="2422"/>
          </w:tcPr>
          <w:p>
            <w:r>
              <w:t>Источник — Swagger/OpenAPI BFF + матрица интеграций ТЗ (IAM, AdInsure, УЦС…).</w:t>
            </w:r>
          </w:p>
        </w:tc>
      </w:tr>
      <w:tr>
        <w:tc>
          <w:tcPr>
            <w:tcW w:type="dxa" w:w="2422"/>
          </w:tcPr>
          <w:p>
            <w:r>
              <w:t>ADV_IMP.1</w:t>
            </w:r>
          </w:p>
        </w:tc>
        <w:tc>
          <w:tcPr>
            <w:tcW w:type="dxa" w:w="2422"/>
          </w:tcPr>
          <w:p>
            <w:r>
              <w:t>Представления реализации ФБО — привязка функций безопасности к исходному коду.</w:t>
            </w:r>
          </w:p>
        </w:tc>
        <w:tc>
          <w:tcPr>
            <w:tcW w:type="dxa" w:w="2422"/>
          </w:tcPr>
          <w:p>
            <w:r>
              <w:t>Доказывает, где в коде реализованы требования из ASE.</w:t>
            </w:r>
          </w:p>
        </w:tc>
        <w:tc>
          <w:tcPr>
            <w:tcW w:type="dxa" w:w="2422"/>
          </w:tcPr>
          <w:p>
            <w:r>
              <w:t>Репозитории git.jarvis.su: rgs-lkk-frontend, rgs-lkk-bff.</w:t>
            </w:r>
          </w:p>
        </w:tc>
      </w:tr>
      <w:tr>
        <w:tc>
          <w:tcPr>
            <w:tcW w:type="dxa" w:w="2422"/>
          </w:tcPr>
          <w:p>
            <w:r>
              <w:t>ADV_ARC.1</w:t>
            </w:r>
          </w:p>
        </w:tc>
        <w:tc>
          <w:tcPr>
            <w:tcW w:type="dxa" w:w="2422"/>
          </w:tcPr>
          <w:p>
            <w:r>
              <w:t>Архитектура безопасности — домены безопасности, инициализация, защита от обхода ФБО.</w:t>
            </w:r>
          </w:p>
        </w:tc>
        <w:tc>
          <w:tcPr>
            <w:tcW w:type="dxa" w:w="2422"/>
          </w:tcPr>
          <w:p>
            <w:r>
              <w:t>Описывает, как устроена защита на уровне архитектуры.</w:t>
            </w:r>
          </w:p>
        </w:tc>
        <w:tc>
          <w:tcPr>
            <w:tcW w:type="dxa" w:w="2422"/>
          </w:tcPr>
          <w:p>
            <w:r>
              <w:t>Связка с solution architecture и Профилем защиты ЦБ.</w:t>
            </w:r>
          </w:p>
        </w:tc>
      </w:tr>
      <w:tr>
        <w:tc>
          <w:tcPr>
            <w:tcW w:type="dxa" w:w="2422"/>
          </w:tcPr>
          <w:p>
            <w:r>
              <w:t>ALC_*</w:t>
            </w:r>
          </w:p>
        </w:tc>
        <w:tc>
          <w:tcPr>
            <w:tcW w:type="dxa" w:w="2422"/>
          </w:tcPr>
          <w:p>
            <w:r>
              <w:t>Семейство «Поддержка жизненного цикла» (ALC) — документы о разработке, поставке, УК, инструментах.</w:t>
            </w:r>
          </w:p>
        </w:tc>
        <w:tc>
          <w:tcPr>
            <w:tcW w:type="dxa" w:w="2422"/>
          </w:tcPr>
          <w:p>
            <w:r>
              <w:t>Доказывает, что ПО создаётся и обновляется контролируемо.</w:t>
            </w:r>
          </w:p>
        </w:tc>
        <w:tc>
          <w:tcPr>
            <w:tcW w:type="dxa" w:w="2422"/>
          </w:tcPr>
          <w:p>
            <w:r>
              <w:t>ALC_LCD — модель Agile; ALC_DEL1 — поставка web-релиза; ALC_CMS4 — конфигурации и баги.</w:t>
            </w:r>
          </w:p>
        </w:tc>
      </w:tr>
      <w:tr>
        <w:tc>
          <w:tcPr>
            <w:tcW w:type="dxa" w:w="2422"/>
          </w:tcPr>
          <w:p>
            <w:r>
              <w:t>ATE_*</w:t>
            </w:r>
          </w:p>
        </w:tc>
        <w:tc>
          <w:tcPr>
            <w:tcW w:type="dxa" w:w="2422"/>
          </w:tcPr>
          <w:p>
            <w:r>
              <w:t>Семейство «Тестирование» — ПМИ, протоколы, покрытие тестами функций безопасности.</w:t>
            </w:r>
          </w:p>
        </w:tc>
        <w:tc>
          <w:tcPr>
            <w:tcW w:type="dxa" w:w="2422"/>
          </w:tcPr>
          <w:p>
            <w:r>
              <w:t>Формализует, как проверяли соответствие требованиям.</w:t>
            </w:r>
          </w:p>
        </w:tc>
        <w:tc>
          <w:tcPr>
            <w:tcW w:type="dxa" w:w="2422"/>
          </w:tcPr>
          <w:p>
            <w:r>
              <w:t>ATE_COV2, ATE_DPT — программа и методика; ATE_FAN, ATE_IND — протоколы.</w:t>
            </w:r>
          </w:p>
        </w:tc>
      </w:tr>
      <w:tr>
        <w:tc>
          <w:tcPr>
            <w:tcW w:type="dxa" w:w="2422"/>
          </w:tcPr>
          <w:p>
            <w:r>
              <w:t>AVA_VAN.3</w:t>
            </w:r>
          </w:p>
        </w:tc>
        <w:tc>
          <w:tcPr>
            <w:tcW w:type="dxa" w:w="2422"/>
          </w:tcPr>
          <w:p>
            <w:r>
              <w:t>Анализ уязвимостей — сканирование ОО на известные уязвимости (CVE), отчёт findings.</w:t>
            </w:r>
          </w:p>
        </w:tc>
        <w:tc>
          <w:tcPr>
            <w:tcW w:type="dxa" w:w="2422"/>
          </w:tcPr>
          <w:p>
            <w:r>
              <w:t>Обязательная часть ОУД4; выявляет дыры до сертификации.</w:t>
            </w:r>
          </w:p>
        </w:tc>
        <w:tc>
          <w:tcPr>
            <w:tcW w:type="dxa" w:w="2422"/>
          </w:tcPr>
          <w:p>
            <w:r>
              <w:t>СЦ-12.1; инструменты SAST/SCA/DAST + ручной анализ.</w:t>
            </w:r>
          </w:p>
        </w:tc>
      </w:tr>
      <w:tr>
        <w:tc>
          <w:tcPr>
            <w:tcW w:type="dxa" w:w="2422"/>
          </w:tcPr>
          <w:p>
            <w:r>
              <w:t>ФБО</w:t>
            </w:r>
          </w:p>
        </w:tc>
        <w:tc>
          <w:tcPr>
            <w:tcW w:type="dxa" w:w="2422"/>
          </w:tcPr>
          <w:p>
            <w:r>
              <w:t>Функции безопасности объекта оценки — то, что ОО делает для защиты (аутентификация, аудит, шифрование…).</w:t>
            </w:r>
          </w:p>
        </w:tc>
        <w:tc>
          <w:tcPr>
            <w:tcW w:type="dxa" w:w="2422"/>
          </w:tcPr>
          <w:p>
            <w:r>
              <w:t>Ядро требований в ASE; по ним пишут тесты и проверяют код.</w:t>
            </w:r>
          </w:p>
        </w:tc>
        <w:tc>
          <w:tcPr>
            <w:tcW w:type="dxa" w:w="2422"/>
          </w:tcPr>
          <w:p>
            <w:r>
              <w:t>СЦ-01 (auth), СЦ-02 (профиль), СЦ-06 (ПЭП), СЦ-08 (файлы), СЦ-09 (аудит — вне MVP).</w:t>
            </w:r>
          </w:p>
        </w:tc>
      </w:tr>
      <w:tr>
        <w:tc>
          <w:tcPr>
            <w:tcW w:type="dxa" w:w="2422"/>
          </w:tcPr>
          <w:p>
            <w:r>
              <w:t>BFF</w:t>
            </w:r>
          </w:p>
        </w:tc>
        <w:tc>
          <w:tcPr>
            <w:tcW w:type="dxa" w:w="2422"/>
          </w:tcPr>
          <w:p>
            <w:r>
              <w:t>Backend For Frontend — прослойка API между веб-клиентом и бэкенд-системами.</w:t>
            </w:r>
          </w:p>
        </w:tc>
        <w:tc>
          <w:tcPr>
            <w:tcW w:type="dxa" w:w="2422"/>
          </w:tcPr>
          <w:p>
            <w:r>
              <w:t>Скрывает интеграции, централизует auth и бизнес-логику для фронта.</w:t>
            </w:r>
          </w:p>
        </w:tc>
        <w:tc>
          <w:tcPr>
            <w:tcW w:type="dxa" w:w="2422"/>
          </w:tcPr>
          <w:p>
            <w:r>
              <w:t>Репозиторий rgs-lkk-bff; часть ОО вместе с frontend.</w:t>
            </w:r>
          </w:p>
        </w:tc>
      </w:tr>
      <w:tr>
        <w:tc>
          <w:tcPr>
            <w:tcW w:type="dxa" w:w="2422"/>
          </w:tcPr>
          <w:p>
            <w:r>
              <w:t>ПСИ</w:t>
            </w:r>
          </w:p>
        </w:tc>
        <w:tc>
          <w:tcPr>
            <w:tcW w:type="dxa" w:w="2422"/>
          </w:tcPr>
          <w:p>
            <w:r>
              <w:t>Приёмо-сдаточные испытания — формальная проверка системы заказчиком по ТЗ (раздел 6).</w:t>
            </w:r>
          </w:p>
        </w:tc>
        <w:tc>
          <w:tcPr>
            <w:tcW w:type="dxa" w:w="2422"/>
          </w:tcPr>
          <w:p>
            <w:r>
              <w:t>Финальная приёмка перед вводом в эксплуатацию.</w:t>
            </w:r>
          </w:p>
        </w:tc>
        <w:tc>
          <w:tcPr>
            <w:tcW w:type="dxa" w:w="2422"/>
          </w:tcPr>
          <w:p>
            <w:r>
              <w:t>ПСИ 6.1 — проверка журналирования в ELK; нужен отдельный контур (5.8.7).</w:t>
            </w:r>
          </w:p>
        </w:tc>
      </w:tr>
      <w:tr>
        <w:tc>
          <w:tcPr>
            <w:tcW w:type="dxa" w:w="2422"/>
          </w:tcPr>
          <w:p>
            <w:r>
              <w:t>ПМИ</w:t>
            </w:r>
          </w:p>
        </w:tc>
        <w:tc>
          <w:tcPr>
            <w:tcW w:type="dxa" w:w="2422"/>
          </w:tcPr>
          <w:p>
            <w:r>
              <w:t>Программа и методика испытаний — документ: что, как и чем тестируем.</w:t>
            </w:r>
          </w:p>
        </w:tc>
        <w:tc>
          <w:tcPr>
            <w:tcW w:type="dxa" w:w="2422"/>
          </w:tcPr>
          <w:p>
            <w:r>
              <w:t>Обязателен для ОУД4 и для приёмки заказчиком.</w:t>
            </w:r>
          </w:p>
        </w:tc>
        <w:tc>
          <w:tcPr>
            <w:tcW w:type="dxa" w:w="2422"/>
          </w:tcPr>
          <w:p>
            <w:r>
              <w:t>Готовится на этапе СЦ-12 совместно с QA и ИБ.</w:t>
            </w:r>
          </w:p>
        </w:tc>
      </w:tr>
      <w:tr>
        <w:tc>
          <w:tcPr>
            <w:tcW w:type="dxa" w:w="2422"/>
          </w:tcPr>
          <w:p>
            <w:r>
              <w:t>SAST / SCA / DAST</w:t>
            </w:r>
          </w:p>
        </w:tc>
        <w:tc>
          <w:tcPr>
            <w:tcW w:type="dxa" w:w="2422"/>
          </w:tcPr>
          <w:p>
            <w:r>
              <w:t>SAST — анализ исходного кода; SCA — анализ зависимостей/библиотек; DAST — тест работающего приложения снаружи.</w:t>
            </w:r>
          </w:p>
        </w:tc>
        <w:tc>
          <w:tcPr>
            <w:tcW w:type="dxa" w:w="2422"/>
          </w:tcPr>
          <w:p>
            <w:r>
              <w:t>Автоматизация поиска уязвимостей в CI и на стенде.</w:t>
            </w:r>
          </w:p>
        </w:tc>
        <w:tc>
          <w:tcPr>
            <w:tcW w:type="dxa" w:w="2422"/>
          </w:tcPr>
          <w:p>
            <w:r>
              <w:t>Сейчас не внедрены — вопрос выбора инструментов до СЦ-12.</w:t>
            </w:r>
          </w:p>
        </w:tc>
      </w:tr>
      <w:tr>
        <w:tc>
          <w:tcPr>
            <w:tcW w:type="dxa" w:w="2422"/>
          </w:tcPr>
          <w:p>
            <w:r>
              <w:t>SBOM</w:t>
            </w:r>
          </w:p>
        </w:tc>
        <w:tc>
          <w:tcPr>
            <w:tcW w:type="dxa" w:w="2422"/>
          </w:tcPr>
          <w:p>
            <w:r>
              <w:t>Software Bill of Materials — перечень всех компонентов и версий в составе ПО.</w:t>
            </w:r>
          </w:p>
        </w:tc>
        <w:tc>
          <w:tcPr>
            <w:tcW w:type="dxa" w:w="2422"/>
          </w:tcPr>
          <w:p>
            <w:r>
              <w:t>Нужен для реестра ПО, SCA и доказательства отсутствия запрещённых зависимостей.</w:t>
            </w:r>
          </w:p>
        </w:tc>
        <w:tc>
          <w:tcPr>
            <w:tcW w:type="dxa" w:w="2422"/>
          </w:tcPr>
          <w:p>
            <w:r>
              <w:t>Готовит TL; сверка с ru-ikt.ru/metodic.</w:t>
            </w:r>
          </w:p>
        </w:tc>
      </w:tr>
      <w:tr>
        <w:tc>
          <w:tcPr>
            <w:tcW w:type="dxa" w:w="2422"/>
          </w:tcPr>
          <w:p>
            <w:r>
              <w:t>РАДКОП</w:t>
            </w:r>
          </w:p>
        </w:tc>
        <w:tc>
          <w:tcPr>
            <w:tcW w:type="dxa" w:w="2422"/>
          </w:tcPr>
          <w:p>
            <w:r>
              <w:t>Процедура оценки соответствия ПО требованиям для включения в реестр российского ПО.</w:t>
            </w:r>
          </w:p>
        </w:tc>
        <w:tc>
          <w:tcPr>
            <w:tcW w:type="dxa" w:w="2422"/>
          </w:tcPr>
          <w:p>
            <w:r>
              <w:t>Допуск к госзакупкам и льготам для отечественного ПО.</w:t>
            </w:r>
          </w:p>
        </w:tc>
        <w:tc>
          <w:tcPr>
            <w:tcW w:type="dxa" w:w="2422"/>
          </w:tcPr>
          <w:p>
            <w:r>
              <w:t>Параллельный трек с ОУД4; опросник v1.3 в папке ОУД.</w:t>
            </w:r>
          </w:p>
        </w:tc>
      </w:tr>
      <w:tr>
        <w:tc>
          <w:tcPr>
            <w:tcW w:type="dxa" w:w="2422"/>
          </w:tcPr>
          <w:p>
            <w:r>
              <w:t>Реестр российского ПО</w:t>
            </w:r>
          </w:p>
        </w:tc>
        <w:tc>
          <w:tcPr>
            <w:tcW w:type="dxa" w:w="2422"/>
          </w:tcPr>
          <w:p>
            <w:r>
              <w:t>Единый реестр отечественного ПО Минцифры (reestr.digital.gov.ru).</w:t>
            </w:r>
          </w:p>
        </w:tc>
        <w:tc>
          <w:tcPr>
            <w:tcW w:type="dxa" w:w="2422"/>
          </w:tcPr>
          <w:p>
            <w:r>
              <w:t>Подтверждает российское происхождение и права на продукт.</w:t>
            </w:r>
          </w:p>
        </w:tc>
        <w:tc>
          <w:tcPr>
            <w:tcW w:type="dxa" w:w="2422"/>
          </w:tcPr>
          <w:p>
            <w:r>
              <w:t>ЛКК 2.0 — кандидат на включение после MVP.</w:t>
            </w:r>
          </w:p>
        </w:tc>
      </w:tr>
      <w:tr>
        <w:tc>
          <w:tcPr>
            <w:tcW w:type="dxa" w:w="2422"/>
          </w:tcPr>
          <w:p>
            <w:r>
              <w:t>ru-ikt / классификатор ПО</w:t>
            </w:r>
          </w:p>
        </w:tc>
        <w:tc>
          <w:tcPr>
            <w:tcW w:type="dxa" w:w="2422"/>
          </w:tcPr>
          <w:p>
            <w:r>
              <w:t>Методички и классификатор Минцифры для определения класса ПО и допустимого стека.</w:t>
            </w:r>
          </w:p>
        </w:tc>
        <w:tc>
          <w:tcPr>
            <w:tcW w:type="dxa" w:w="2422"/>
          </w:tcPr>
          <w:p>
            <w:r>
              <w:t>Проверка импортозамещения: нет ли запрещённых иностранных компонентов.</w:t>
            </w:r>
          </w:p>
        </w:tc>
        <w:tc>
          <w:tcPr>
            <w:tcW w:type="dxa" w:w="2422"/>
          </w:tcPr>
          <w:p>
            <w:r>
              <w:t>Вопрос ИБ: формальное заключение по стеку React/Node/Docker.</w:t>
            </w:r>
          </w:p>
        </w:tc>
      </w:tr>
      <w:tr>
        <w:tc>
          <w:tcPr>
            <w:tcW w:type="dxa" w:w="2422"/>
          </w:tcPr>
          <w:p>
            <w:r>
              <w:t>MVP</w:t>
            </w:r>
          </w:p>
        </w:tc>
        <w:tc>
          <w:tcPr>
            <w:tcW w:type="dxa" w:w="2422"/>
          </w:tcPr>
          <w:p>
            <w:r>
              <w:t>Minimum Viable Product — минимальный согласованный объём первой поставки.</w:t>
            </w:r>
          </w:p>
        </w:tc>
        <w:tc>
          <w:tcPr>
            <w:tcW w:type="dxa" w:w="2422"/>
          </w:tcPr>
          <w:p>
            <w:r>
              <w:t>Ограничивает scope разработки и оценки.</w:t>
            </w:r>
          </w:p>
        </w:tc>
        <w:tc>
          <w:tcPr>
            <w:tcW w:type="dxa" w:w="2422"/>
          </w:tcPr>
          <w:p>
            <w:r>
              <w:t>10 сценариев + СЦ-12; без СЦ-04 (ИИ) и СЦ-09 (админ-панель).</w:t>
            </w:r>
          </w:p>
        </w:tc>
      </w:tr>
      <w:tr>
        <w:tc>
          <w:tcPr>
            <w:tcW w:type="dxa" w:w="2422"/>
          </w:tcPr>
          <w:p>
            <w:r>
              <w:t>СЦ-09</w:t>
            </w:r>
          </w:p>
        </w:tc>
        <w:tc>
          <w:tcPr>
            <w:tcW w:type="dxa" w:w="2422"/>
          </w:tcPr>
          <w:p>
            <w:r>
              <w:t>Сценарий «Административная панель и аудит» — журнал аудита, настройки ИБ.</w:t>
            </w:r>
          </w:p>
        </w:tc>
        <w:tc>
          <w:tcPr>
            <w:tcW w:type="dxa" w:w="2422"/>
          </w:tcPr>
          <w:p>
            <w:r>
              <w:t>В ТЗ — требования 5.5.3 к неизменяемому журналу.</w:t>
            </w:r>
          </w:p>
        </w:tc>
        <w:tc>
          <w:tcPr>
            <w:tcW w:type="dxa" w:w="2422"/>
          </w:tcPr>
          <w:p>
            <w:r>
              <w:t>Вынесен за рамки MVP → риск для оценки 5.5.3, нужно решение ИБ.</w:t>
            </w:r>
          </w:p>
        </w:tc>
      </w:tr>
      <w:tr>
        <w:tc>
          <w:tcPr>
            <w:tcW w:type="dxa" w:w="2422"/>
          </w:tcPr>
          <w:p>
            <w:r>
              <w:t>СЦ-12</w:t>
            </w:r>
          </w:p>
        </w:tc>
        <w:tc>
          <w:tcPr>
            <w:tcW w:type="dxa" w:w="2422"/>
          </w:tcPr>
          <w:p>
            <w:r>
              <w:t>Сценарий «ОУД4: соответствие и верификация» — финальный этап проекта.</w:t>
            </w:r>
          </w:p>
        </w:tc>
        <w:tc>
          <w:tcPr>
            <w:tcW w:type="dxa" w:w="2422"/>
          </w:tcPr>
          <w:p>
            <w:r>
              <w:t>Сбор доказательной базы для оценки ОУД4.</w:t>
            </w:r>
          </w:p>
        </w:tc>
        <w:tc>
          <w:tcPr>
            <w:tcW w:type="dxa" w:w="2422"/>
          </w:tcPr>
          <w:p>
            <w:r>
              <w:t>132 ч в плане; 4 подэтапа: анализ, верификация, ПСИ, пакет документов.</w:t>
            </w:r>
          </w:p>
        </w:tc>
      </w:tr>
      <w:tr>
        <w:tc>
          <w:tcPr>
            <w:tcW w:type="dxa" w:w="2422"/>
          </w:tcPr>
          <w:p>
            <w:r>
              <w:t>5.5.2 / 5.5.3 / 5.5.4</w:t>
            </w:r>
          </w:p>
        </w:tc>
        <w:tc>
          <w:tcPr>
            <w:tcW w:type="dxa" w:w="2422"/>
          </w:tcPr>
          <w:p>
            <w:r>
              <w:t>Пункты ТЗ: функции безопасности (5.5.2), журнал аудита (5.5.3), верификация (5.5.4).</w:t>
            </w:r>
          </w:p>
        </w:tc>
        <w:tc>
          <w:tcPr>
            <w:tcW w:type="dxa" w:w="2422"/>
          </w:tcPr>
          <w:p>
            <w:r>
              <w:t>Конкретные требования, которые проверяют на СЦ-12.</w:t>
            </w:r>
          </w:p>
        </w:tc>
        <w:tc>
          <w:tcPr>
            <w:tcW w:type="dxa" w:w="2422"/>
          </w:tcPr>
          <w:p>
            <w:r>
              <w:t>Auth, OTP, сессии, файлы, аудит, тестирование.</w:t>
            </w:r>
          </w:p>
        </w:tc>
      </w:tr>
      <w:tr>
        <w:tc>
          <w:tcPr>
            <w:tcW w:type="dxa" w:w="2422"/>
          </w:tcPr>
          <w:p>
            <w:r>
              <w:t>ELK</w:t>
            </w:r>
          </w:p>
        </w:tc>
        <w:tc>
          <w:tcPr>
            <w:tcW w:type="dxa" w:w="2422"/>
          </w:tcPr>
          <w:p>
            <w:r>
              <w:t>Стек Elasticsearch + Logstash + Kibana для централизованного журналирования.</w:t>
            </w:r>
          </w:p>
        </w:tc>
        <w:tc>
          <w:tcPr>
            <w:tcW w:type="dxa" w:w="2422"/>
          </w:tcPr>
          <w:p>
            <w:r>
              <w:t>Сбор и поиск событий безопасности.</w:t>
            </w:r>
          </w:p>
        </w:tc>
        <w:tc>
          <w:tcPr>
            <w:tcW w:type="dxa" w:w="2422"/>
          </w:tcPr>
          <w:p>
            <w:r>
              <w:t>ПСИ 6.1: действие в ЛКК должно находиться в ELK.</w:t>
            </w:r>
          </w:p>
        </w:tc>
      </w:tr>
      <w:tr>
        <w:tc>
          <w:tcPr>
            <w:tcW w:type="dxa" w:w="2422"/>
          </w:tcPr>
          <w:p>
            <w:r>
              <w:t>IAM / AdInsure / УЦС</w:t>
            </w:r>
          </w:p>
        </w:tc>
        <w:tc>
          <w:tcPr>
            <w:tcW w:type="dxa" w:w="2422"/>
          </w:tcPr>
          <w:p>
            <w:r>
              <w:t>Внешние системы: Identity &amp; Access Management; ядро договоров; универсальный центр сервисов (платежи).</w:t>
            </w:r>
          </w:p>
        </w:tc>
        <w:tc>
          <w:tcPr>
            <w:tcW w:type="dxa" w:w="2422"/>
          </w:tcPr>
          <w:p>
            <w:r>
              <w:t>Интеграции ЛКК; вопрос — входят ли в границы ОО при оценке.</w:t>
            </w:r>
          </w:p>
        </w:tc>
        <w:tc>
          <w:tcPr>
            <w:tcW w:type="dxa" w:w="2422"/>
          </w:tcPr>
          <w:p>
            <w:r>
              <w:t>Описываются в ADV_FSP.4 как внешние интерфейсы.</w:t>
            </w:r>
          </w:p>
        </w:tc>
      </w:tr>
      <w:tr>
        <w:tc>
          <w:tcPr>
            <w:tcW w:type="dxa" w:w="2422"/>
          </w:tcPr>
          <w:p>
            <w:r>
              <w:t>DevSecOps / AppSec</w:t>
            </w:r>
          </w:p>
        </w:tc>
        <w:tc>
          <w:tcPr>
            <w:tcW w:type="dxa" w:w="2422"/>
          </w:tcPr>
          <w:p>
            <w:r>
              <w:t>Практики встраивания безопасности в разработку; AppSec — роль/функция ИБ в команде.</w:t>
            </w:r>
          </w:p>
        </w:tc>
        <w:tc>
          <w:tcPr>
            <w:tcW w:type="dxa" w:w="2422"/>
          </w:tcPr>
          <w:p>
            <w:r>
              <w:t>Снижает риски до формальной оценки ОУД4.</w:t>
            </w:r>
          </w:p>
        </w:tc>
        <w:tc>
          <w:tcPr>
            <w:tcW w:type="dxa" w:w="2422"/>
          </w:tcPr>
          <w:p>
            <w:r>
              <w:t>Назначить ответственного; внедрить SAST/SCA в CI.</w:t>
            </w:r>
          </w:p>
        </w:tc>
      </w:tr>
      <w:tr>
        <w:tc>
          <w:tcPr>
            <w:tcW w:type="dxa" w:w="2422"/>
          </w:tcPr>
          <w:p>
            <w:r>
              <w:t>NDA</w:t>
            </w:r>
          </w:p>
        </w:tc>
        <w:tc>
          <w:tcPr>
            <w:tcW w:type="dxa" w:w="2422"/>
          </w:tcPr>
          <w:p>
            <w:r>
              <w:t>Соглашение о неразглашении — для доступа оценщика к коду и стендам.</w:t>
            </w:r>
          </w:p>
        </w:tc>
        <w:tc>
          <w:tcPr>
            <w:tcW w:type="dxa" w:w="2422"/>
          </w:tcPr>
          <w:p>
            <w:r>
              <w:t>Юридическое условие передачи исходников в лабораторию.</w:t>
            </w:r>
          </w:p>
        </w:tc>
        <w:tc>
          <w:tcPr>
            <w:tcW w:type="dxa" w:w="2422"/>
          </w:tcPr>
          <w:p>
            <w:r>
              <w:t>Согласовать с юристами заказчика до передачи Git.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