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1A1A1A"/>
          <w:sz w:val="44"/>
        </w:rPr>
        <w:t>Шаблон ввода данных дайджеста</w:t>
      </w:r>
    </w:p>
    <w:p>
      <w:pPr>
        <w:spacing w:after="200"/>
      </w:pPr>
      <w:r>
        <w:rPr>
          <w:rFonts w:ascii="Calibri" w:hAnsi="Calibri"/>
          <w:b/>
          <w:i w:val="0"/>
          <w:color w:val="FB5A5A"/>
          <w:sz w:val="24"/>
        </w:rPr>
        <w:t>Virtu Systems · Корпоративный статус проектов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Заполните таблицы и поля ниже. Сохраните файл и передайте в проектный офис / AI-помощнику для обновления HTML / PPTX / MD. Не меняйте названия разделов и заголовки колонок.</w:t>
      </w:r>
    </w:p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1. МЕТАДАННЫЕ ПЕРИОДА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Период отчёта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 января по … 202… г.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Месяц дайджеста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например: май 2026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Рук. тех. дирекции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Столбов А.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Рук. проектного офиса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Сорванов О.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Дата подготовки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ДД.ММ.ГГГГ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Версия / комментарий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2. ПОРТФЕЛЬ ПО СТРАХОВЫМ КОМПАНИЯМ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Одна строка = один проект. «В работе» и «Выполнено» — число или краткий текст.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СК</w:t>
            </w:r>
          </w:p>
        </w:tc>
        <w:tc>
          <w:tcPr>
            <w:tcW w:type="dxa" w:w="4252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Проект</w:t>
            </w:r>
          </w:p>
        </w:tc>
        <w:tc>
          <w:tcPr>
            <w:tcW w:type="dxa" w:w="181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Выполнено</w:t>
            </w:r>
          </w:p>
        </w:tc>
        <w:tc>
          <w:tcPr>
            <w:tcW w:type="dxa" w:w="141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 работе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ОФР (ИФЛ, Базовая, Сервисная)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Аутстафф GuideWire / Импульс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 Ипотека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Ипотека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Вита / НПФ / Банки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 Согласие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Альфа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 Альфа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Райффайзен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 Райффайзен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Ренессанс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Ренессанс Ипотека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Инсайт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Инсайт Ипотека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ВСК/МСГ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ВСК Автострахование, ВСК ДМС, МСГ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Virtu Drive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3. КОМАНДЫ (ЧИСЛЕННОСТЬ, ЧЕЛ.)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Укажите роли и количество. Итог посчитается при сборке презентации.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Команда</w:t>
            </w:r>
          </w:p>
        </w:tc>
        <w:tc>
          <w:tcPr>
            <w:tcW w:type="dxa" w:w="181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 1 / чел.</w:t>
            </w:r>
          </w:p>
        </w:tc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 2 / чел.</w:t>
            </w:r>
          </w:p>
        </w:tc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 3 / чел.</w:t>
            </w:r>
          </w:p>
        </w:tc>
        <w:tc>
          <w:tcPr>
            <w:tcW w:type="dxa" w:w="158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 4 / чел.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Разработчики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QA / 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ОФР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TypeScript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QA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БА / 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Аутстафф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GoSu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TypeScript / 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Java / 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Ипотека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Аналитики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Разработчики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Настройщики / 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Вита/НПФ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Разработчики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Настройщики / 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Ипотека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Аналитики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Разработчики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Настройщики / 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ВСК / МСГ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Разработчики /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Virtu Drive</w:t>
            </w:r>
          </w:p>
        </w:tc>
        <w:tc>
          <w:tcPr>
            <w:tcW w:type="dxa" w:w="181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Аналитик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Java / 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4. VFOS — КЛЮЧЕВЫЕ АКТИВНОСТИ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PM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Сорванов О.Н.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Аккаунт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Черноус С.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Выполнено / в работе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СК</w:t>
            </w:r>
          </w:p>
        </w:tc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Направление</w:t>
            </w:r>
          </w:p>
        </w:tc>
        <w:tc>
          <w:tcPr>
            <w:tcW w:type="dxa" w:w="4535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Реализованный функционал</w:t>
            </w:r>
          </w:p>
        </w:tc>
        <w:tc>
          <w:tcPr>
            <w:tcW w:type="dxa" w:w="141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План на 1-й год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24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53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24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53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млн 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Альфа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Инфраструктура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24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Райффайзен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Архитектура</w:t>
            </w:r>
          </w:p>
        </w:tc>
        <w:tc>
          <w:tcPr>
            <w:tcW w:type="dxa" w:w="453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5. ОФР И АУТСТАФФ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PM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Сорванов О.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Аккаунт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Черноус С.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ОФР, чел.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Аутстафф, чел.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Блоки: ОФР.ИФЛ · ОФР.Базовая/Сервисная · ОФР.ИФЛ и Базовая · Аутстафф · В работе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Блок</w:t>
            </w:r>
          </w:p>
        </w:tc>
        <w:tc>
          <w:tcPr>
            <w:tcW w:type="dxa" w:w="5386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Активность (кратко)</w:t>
            </w:r>
          </w:p>
        </w:tc>
        <w:tc>
          <w:tcPr>
            <w:tcW w:type="dxa" w:w="1701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Статус (готово / в работе)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26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538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6. ИПОТЕЧНЫЙ ПОРТФЕЛЬ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PM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Кузнецова А.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Аккаунт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Черноус С., Клейн Т., Конкин М.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Команда, чел.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Инциденты за месяц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Площадка</w:t>
            </w:r>
          </w:p>
        </w:tc>
        <w:tc>
          <w:tcPr>
            <w:tcW w:type="dxa" w:w="5669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Реализованный функционал</w:t>
            </w:r>
          </w:p>
        </w:tc>
        <w:tc>
          <w:tcPr>
            <w:tcW w:type="dxa" w:w="1701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Сделано / в работе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РГС Ипотека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Ренессанс Ипотека</w:t>
            </w:r>
          </w:p>
        </w:tc>
        <w:tc>
          <w:tcPr>
            <w:tcW w:type="dxa" w:w="5669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Инсайт Ипотека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7. СОГЛАСИЕ / ВСК / МСГ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PM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Кочетков Н., Царёва А.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Аккаунт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Клейн Т., Конкин М.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Согласие Ипотека вып/в раб.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Вита/НПФ/Банки/… вып/в раб.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Блок</w:t>
            </w:r>
          </w:p>
        </w:tc>
        <w:tc>
          <w:tcPr>
            <w:tcW w:type="dxa" w:w="5216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Детализация</w:t>
            </w:r>
          </w:p>
        </w:tc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Интеграция ВТБ ELM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Спецусловия партнёров</w:t>
            </w:r>
          </w:p>
        </w:tc>
        <w:tc>
          <w:tcPr>
            <w:tcW w:type="dxa" w:w="521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Журнал пролонгации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Вита / НПФ / Банки</w:t>
            </w:r>
          </w:p>
        </w:tc>
        <w:tc>
          <w:tcPr>
            <w:tcW w:type="dxa" w:w="521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вып / … в работе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МП Эльбрус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ВСК / МСГ</w:t>
            </w:r>
          </w:p>
        </w:tc>
        <w:tc>
          <w:tcPr>
            <w:tcW w:type="dxa" w:w="5216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8. ТЕХНИЧЕСКАЯ ПОДДЕРЖКА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Рук. поддержки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Смирнова А.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Рук. тех. дирекции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Столбов А.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Период ТП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 января по 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Система / блок</w:t>
            </w:r>
          </w:p>
        </w:tc>
        <w:tc>
          <w:tcPr>
            <w:tcW w:type="dxa" w:w="141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 1</w:t>
            </w:r>
          </w:p>
        </w:tc>
        <w:tc>
          <w:tcPr>
            <w:tcW w:type="dxa" w:w="141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 2</w:t>
            </w:r>
          </w:p>
        </w:tc>
        <w:tc>
          <w:tcPr>
            <w:tcW w:type="dxa" w:w="141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 3</w:t>
            </w:r>
          </w:p>
        </w:tc>
        <w:tc>
          <w:tcPr>
            <w:tcW w:type="dxa" w:w="158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 4</w:t>
            </w:r>
          </w:p>
        </w:tc>
        <w:tc>
          <w:tcPr>
            <w:tcW w:type="dxa" w:w="1020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Всего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VFOS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Доступы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Изм. БД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Инцид. 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Прод./Проч. …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Ипотека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Конс. 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Нетип. 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020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Ипотека (РГС, Рен., Инс.)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Нетип.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Подкл.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Конс. 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Аварии …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Альфа VFOS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020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Virtu Drive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Конс.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Нетип. …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VFOS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41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020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9. VIRTUDRIVE / PRE-SALE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PM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Шейко Н.</w:t>
            </w:r>
          </w:p>
        </w:tc>
      </w:tr>
      <w:tr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Аккаунт</w:t>
            </w:r>
          </w:p>
        </w:tc>
        <w:tc>
          <w:tcPr>
            <w:tcW w:type="dxa" w:w="4986"/>
            <w:shd w:fill="F5F5F5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Чесноков Д.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Проект</w:t>
            </w:r>
          </w:p>
        </w:tc>
        <w:tc>
          <w:tcPr>
            <w:tcW w:type="dxa" w:w="1701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2835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Следующий шаг</w:t>
            </w:r>
          </w:p>
        </w:tc>
        <w:tc>
          <w:tcPr>
            <w:tcW w:type="dxa" w:w="1587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Дедлайн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Virtu Drive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Тендер Автофинанс — Модуль Страховки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283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ДД.ММ.ГГГГ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Мобильное приложение Агента ЛК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ДД.ММ.ГГГГ</w:t>
            </w:r>
          </w:p>
        </w:tc>
      </w:tr>
      <w:tr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Конструктор комиссионных продуктов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283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587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10. БЛАГОДАРНОСТЬ СОТРУДНИКАМ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Площадка</w:t>
            </w:r>
          </w:p>
        </w:tc>
        <w:tc>
          <w:tcPr>
            <w:tcW w:type="dxa" w:w="3118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Сотрудники (ФИО)</w:t>
            </w:r>
          </w:p>
        </w:tc>
        <w:tc>
          <w:tcPr>
            <w:tcW w:type="dxa" w:w="4252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Реализованный функционал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3118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4252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11. МАТРИЦА ОТВЕТСТВЕННОСТИ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PM</w:t>
            </w:r>
          </w:p>
        </w:tc>
        <w:tc>
          <w:tcPr>
            <w:tcW w:type="dxa" w:w="3685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Проекты</w:t>
            </w:r>
          </w:p>
        </w:tc>
        <w:tc>
          <w:tcPr>
            <w:tcW w:type="dxa" w:w="1984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Разработка (вып. / в раб.)</w:t>
            </w:r>
          </w:p>
        </w:tc>
        <w:tc>
          <w:tcPr>
            <w:tcW w:type="dxa" w:w="1701"/>
            <w:shd w:fill="C00000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ТП (задач)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Сорванов О.Н.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Кузнецова А.</w:t>
            </w:r>
          </w:p>
        </w:tc>
        <w:tc>
          <w:tcPr>
            <w:tcW w:type="dxa" w:w="368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Кочетков Н., Царёва А.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Кочетков Н., Царёва А.</w:t>
            </w:r>
          </w:p>
        </w:tc>
        <w:tc>
          <w:tcPr>
            <w:tcW w:type="dxa" w:w="368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Согласие Ипотека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Кочетков Н.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ВСК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 / 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15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Царёва А.</w:t>
            </w:r>
          </w:p>
        </w:tc>
        <w:tc>
          <w:tcPr>
            <w:tcW w:type="dxa" w:w="3685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МП Эльбрус</w:t>
            </w:r>
          </w:p>
        </w:tc>
        <w:tc>
          <w:tcPr>
            <w:tcW w:type="dxa" w:w="1984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701"/>
            <w:shd w:fill="FFF0F0" w:val="clear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Шейко Н.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Virtu Drive, …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…</w:t>
            </w:r>
          </w:p>
        </w:tc>
      </w:tr>
    </w:tbl>
    <w:p/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12. СВОБОДНЫЕ КОММЕНТАРИИ / РИСКИ / ФОКУС СЛЕДУЮЩЕГО МЕСЯЦА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Любой текст: блокеры, договорённости, что показать на статусе.</w:t>
      </w:r>
    </w:p>
    <w:p>
      <w:r>
        <w:rPr>
          <w:rFonts w:ascii="Calibri" w:hAnsi="Calibri"/>
          <w:b w:val="0"/>
          <w:i w:val="0"/>
          <w:color w:val="333333"/>
          <w:sz w:val="22"/>
        </w:rPr>
        <w:t>• …</w:t>
      </w:r>
    </w:p>
    <w:p>
      <w:r>
        <w:rPr>
          <w:rFonts w:ascii="Calibri" w:hAnsi="Calibri"/>
          <w:b w:val="0"/>
          <w:i w:val="0"/>
          <w:color w:val="333333"/>
          <w:sz w:val="22"/>
        </w:rPr>
        <w:t>• …</w:t>
      </w:r>
    </w:p>
    <w:p>
      <w:r>
        <w:rPr>
          <w:rFonts w:ascii="Calibri" w:hAnsi="Calibri"/>
          <w:b w:val="0"/>
          <w:i w:val="0"/>
          <w:color w:val="333333"/>
          <w:sz w:val="22"/>
        </w:rPr>
        <w:t>• …</w:t>
      </w:r>
    </w:p>
    <w:p>
      <w:r>
        <w:rPr>
          <w:rFonts w:ascii="Calibri" w:hAnsi="Calibri"/>
          <w:b w:val="0"/>
          <w:i w:val="0"/>
          <w:color w:val="333333"/>
          <w:sz w:val="22"/>
        </w:rPr>
        <w:t>• …</w:t>
      </w:r>
    </w:p>
    <w:p>
      <w:pPr>
        <w:spacing w:before="280" w:after="120"/>
        <w:pBdr>
          <w:bottom w:val="single" w:sz="12" w:space="4" w:color="C00000"/>
        </w:pBdr>
      </w:pPr>
      <w:r>
        <w:rPr>
          <w:rFonts w:ascii="Calibri" w:hAnsi="Calibri"/>
          <w:b/>
          <w:i w:val="0"/>
          <w:color w:val="C00000"/>
          <w:sz w:val="24"/>
        </w:rPr>
        <w:t>ИНСТРУКЦИЯ ДЛЯ СБОРКИ</w:t>
      </w:r>
    </w:p>
    <w:p>
      <w:r>
        <w:rPr>
          <w:rFonts w:ascii="Calibri" w:hAnsi="Calibri"/>
          <w:b w:val="0"/>
          <w:i w:val="0"/>
          <w:color w:val="333333"/>
          <w:sz w:val="20"/>
        </w:rPr>
        <w:t>1. Заполните разделы 1–12; пустые строки «…» замените фактами или удалите.</w:t>
      </w:r>
    </w:p>
    <w:p>
      <w:r>
        <w:rPr>
          <w:rFonts w:ascii="Calibri" w:hAnsi="Calibri"/>
          <w:b w:val="0"/>
          <w:i w:val="0"/>
          <w:color w:val="333333"/>
          <w:sz w:val="20"/>
        </w:rPr>
        <w:t>2. Сохраните файл как дайджест_&lt;месяц&gt;_&lt;год&gt;_ввод.docx.</w:t>
      </w:r>
    </w:p>
    <w:p>
      <w:r>
        <w:rPr>
          <w:rFonts w:ascii="Calibri" w:hAnsi="Calibri"/>
          <w:b w:val="0"/>
          <w:i w:val="0"/>
          <w:color w:val="333333"/>
          <w:sz w:val="20"/>
        </w:rPr>
        <w:t>3. Передайте файл / приложите в чат Cursor — по шаблону обновят HTML, MD и PPTX.</w:t>
      </w:r>
    </w:p>
    <w:p>
      <w:r>
        <w:rPr>
          <w:rFonts w:ascii="Calibri" w:hAnsi="Calibri"/>
          <w:b w:val="0"/>
          <w:i w:val="0"/>
          <w:color w:val="333333"/>
          <w:sz w:val="20"/>
        </w:rPr>
        <w:t>4. Не меняйте заголовки разделов — по ним парсится структура.</w:t>
      </w:r>
    </w:p>
    <w:p>
      <w:r>
        <w:rPr>
          <w:rFonts w:ascii="Calibri" w:hAnsi="Calibri"/>
          <w:b w:val="0"/>
          <w:i w:val="0"/>
          <w:color w:val="333333"/>
          <w:sz w:val="20"/>
        </w:rPr>
        <w:t>5. Числа: разделитель тысяч — пробел (3 897); доли — «вып / в раб.».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