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21F7" w14:textId="77777777" w:rsidR="002641CF" w:rsidRDefault="00000000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4"/>
          <w:lang w:eastAsia="zh-CN"/>
        </w:rPr>
        <w:t>你是什么样的投资者？</w:t>
      </w:r>
    </w:p>
    <w:p w14:paraId="5FD2AFDC" w14:textId="77777777" w:rsidR="002641CF" w:rsidRDefault="00000000">
      <w:pPr>
        <w:spacing w:after="280" w:line="360" w:lineRule="auto"/>
        <w:jc w:val="center"/>
        <w:rPr>
          <w:lang w:eastAsia="zh-CN"/>
        </w:rPr>
      </w:pPr>
      <w:r>
        <w:rPr>
          <w:rFonts w:ascii="Times New Roman" w:eastAsia="楷体" w:hAnsi="Times New Roman"/>
          <w:sz w:val="26"/>
          <w:lang w:eastAsia="zh-CN"/>
        </w:rPr>
        <w:t>——</w:t>
      </w:r>
      <w:r>
        <w:rPr>
          <w:rFonts w:ascii="Times New Roman" w:eastAsia="楷体" w:hAnsi="Times New Roman"/>
          <w:sz w:val="26"/>
          <w:lang w:eastAsia="zh-CN"/>
        </w:rPr>
        <w:t>中国主动权益投资经理画像研究</w:t>
      </w:r>
    </w:p>
    <w:p w14:paraId="30B179ED" w14:textId="77777777" w:rsidR="002641CF" w:rsidRDefault="00000000">
      <w:pPr>
        <w:spacing w:before="240" w:after="160" w:line="336" w:lineRule="auto"/>
        <w:rPr>
          <w:rFonts w:ascii="Times New Roman" w:eastAsia="黑体" w:hAnsi="Times New Roman"/>
          <w:b/>
          <w:sz w:val="28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引</w:t>
      </w:r>
      <w:r>
        <w:rPr>
          <w:rFonts w:ascii="Times New Roman" w:eastAsia="黑体" w:hAnsi="Times New Roman"/>
          <w:b/>
          <w:sz w:val="28"/>
          <w:lang w:eastAsia="zh-CN"/>
        </w:rPr>
        <w:t xml:space="preserve">  </w:t>
      </w:r>
      <w:r>
        <w:rPr>
          <w:rFonts w:ascii="Times New Roman" w:eastAsia="黑体" w:hAnsi="Times New Roman"/>
          <w:b/>
          <w:sz w:val="28"/>
          <w:lang w:eastAsia="zh-CN"/>
        </w:rPr>
        <w:t>言</w:t>
      </w:r>
    </w:p>
    <w:p w14:paraId="74E82C88" w14:textId="611BD7E1" w:rsidR="001C7CAA" w:rsidRPr="00492A01" w:rsidRDefault="001C7CAA" w:rsidP="00492A01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投资经理的行为直接影响组合业绩，对自身行为的充分认识有助于改善投资决策、提升业绩。围绕投资经理行为，学界已形成成熟的分析理论</w:t>
      </w:r>
      <w:r w:rsidR="00492A01">
        <w:rPr>
          <w:rFonts w:ascii="Times New Roman" w:eastAsia="宋体" w:hAnsi="Times New Roman" w:hint="eastAsia"/>
          <w:sz w:val="24"/>
          <w:lang w:eastAsia="zh-CN"/>
        </w:rPr>
        <w:t>，</w:t>
      </w:r>
      <w:r w:rsidR="00492A01">
        <w:rPr>
          <w:rFonts w:ascii="Times New Roman" w:eastAsia="宋体" w:hAnsi="Times New Roman"/>
          <w:sz w:val="24"/>
          <w:lang w:eastAsia="zh-CN"/>
        </w:rPr>
        <w:t>实务中，行为画像框架已获业界关注</w:t>
      </w:r>
      <w:r w:rsidR="00492A01">
        <w:rPr>
          <w:rFonts w:ascii="Times New Roman" w:eastAsia="宋体" w:hAnsi="Times New Roman" w:hint="eastAsia"/>
          <w:sz w:val="24"/>
          <w:lang w:eastAsia="zh-CN"/>
        </w:rPr>
        <w:t>与应用</w:t>
      </w:r>
      <w:r w:rsidR="00492A01">
        <w:rPr>
          <w:rFonts w:ascii="Times New Roman" w:eastAsia="宋体" w:hAnsi="Times New Roman"/>
          <w:sz w:val="24"/>
          <w:lang w:eastAsia="zh-CN"/>
        </w:rPr>
        <w:t>。民生证券从偏好、能力、行为刻画基金经理</w:t>
      </w:r>
      <w:r w:rsidR="00492A01">
        <w:rPr>
          <w:rFonts w:ascii="Times New Roman" w:eastAsia="宋体" w:hAnsi="Times New Roman" w:hint="eastAsia"/>
          <w:sz w:val="24"/>
          <w:lang w:eastAsia="zh-CN"/>
        </w:rPr>
        <w:t>，</w:t>
      </w:r>
      <w:r w:rsidR="00492A01">
        <w:rPr>
          <w:rFonts w:ascii="Times New Roman" w:eastAsia="宋体" w:hAnsi="Times New Roman"/>
          <w:sz w:val="24"/>
          <w:lang w:eastAsia="zh-CN"/>
        </w:rPr>
        <w:t>挪威主权基金（</w:t>
      </w:r>
      <w:r w:rsidR="00492A01">
        <w:rPr>
          <w:rFonts w:ascii="Times New Roman" w:eastAsia="宋体" w:hAnsi="Times New Roman"/>
          <w:sz w:val="24"/>
          <w:lang w:eastAsia="zh-CN"/>
        </w:rPr>
        <w:t>NBIM</w:t>
      </w:r>
      <w:r w:rsidR="00492A01">
        <w:rPr>
          <w:rFonts w:ascii="Times New Roman" w:eastAsia="宋体" w:hAnsi="Times New Roman"/>
          <w:sz w:val="24"/>
          <w:lang w:eastAsia="zh-CN"/>
        </w:rPr>
        <w:t>）更进一步，将行为分析延伸至实时决策干预。</w:t>
      </w:r>
      <w:r>
        <w:rPr>
          <w:rFonts w:ascii="Times New Roman" w:eastAsia="宋体" w:hAnsi="Times New Roman" w:hint="eastAsia"/>
          <w:sz w:val="23"/>
          <w:lang w:eastAsia="zh-CN"/>
        </w:rPr>
        <w:t>本文用</w:t>
      </w:r>
      <w:r>
        <w:rPr>
          <w:rFonts w:ascii="Times New Roman" w:eastAsia="宋体" w:hAnsi="Times New Roman" w:hint="eastAsia"/>
          <w:sz w:val="23"/>
          <w:lang w:eastAsia="zh-CN"/>
        </w:rPr>
        <w:t xml:space="preserve"> 400 </w:t>
      </w:r>
      <w:r>
        <w:rPr>
          <w:rFonts w:ascii="Times New Roman" w:eastAsia="宋体" w:hAnsi="Times New Roman" w:hint="eastAsia"/>
          <w:sz w:val="23"/>
          <w:lang w:eastAsia="zh-CN"/>
        </w:rPr>
        <w:t>只中国主动权益基金、</w:t>
      </w:r>
      <w:r>
        <w:rPr>
          <w:rFonts w:ascii="Times New Roman" w:eastAsia="宋体" w:hAnsi="Times New Roman" w:hint="eastAsia"/>
          <w:sz w:val="23"/>
          <w:lang w:eastAsia="zh-CN"/>
        </w:rPr>
        <w:t xml:space="preserve">2006Q3 </w:t>
      </w:r>
      <w:r>
        <w:rPr>
          <w:rFonts w:ascii="Times New Roman" w:eastAsia="宋体" w:hAnsi="Times New Roman" w:hint="eastAsia"/>
          <w:sz w:val="23"/>
          <w:lang w:eastAsia="zh-CN"/>
        </w:rPr>
        <w:t>至</w:t>
      </w:r>
      <w:r>
        <w:rPr>
          <w:rFonts w:ascii="Times New Roman" w:eastAsia="宋体" w:hAnsi="Times New Roman" w:hint="eastAsia"/>
          <w:sz w:val="23"/>
          <w:lang w:eastAsia="zh-CN"/>
        </w:rPr>
        <w:t xml:space="preserve"> 2026Q2 </w:t>
      </w:r>
      <w:r>
        <w:rPr>
          <w:rFonts w:ascii="Times New Roman" w:eastAsia="宋体" w:hAnsi="Times New Roman" w:hint="eastAsia"/>
          <w:sz w:val="23"/>
          <w:lang w:eastAsia="zh-CN"/>
        </w:rPr>
        <w:t>共</w:t>
      </w:r>
      <w:r>
        <w:rPr>
          <w:rFonts w:ascii="Times New Roman" w:eastAsia="宋体" w:hAnsi="Times New Roman" w:hint="eastAsia"/>
          <w:sz w:val="23"/>
          <w:lang w:eastAsia="zh-CN"/>
        </w:rPr>
        <w:t xml:space="preserve"> 80 </w:t>
      </w:r>
      <w:r>
        <w:rPr>
          <w:rFonts w:ascii="Times New Roman" w:eastAsia="宋体" w:hAnsi="Times New Roman" w:hint="eastAsia"/>
          <w:sz w:val="23"/>
          <w:lang w:eastAsia="zh-CN"/>
        </w:rPr>
        <w:t>个季度的数据，将投资经理的行为量化为</w:t>
      </w:r>
      <w:r>
        <w:rPr>
          <w:rFonts w:ascii="Times New Roman" w:eastAsia="宋体" w:hAnsi="Times New Roman" w:hint="eastAsia"/>
          <w:sz w:val="23"/>
          <w:lang w:eastAsia="zh-CN"/>
        </w:rPr>
        <w:t xml:space="preserve"> 15 </w:t>
      </w:r>
      <w:r>
        <w:rPr>
          <w:rFonts w:ascii="Times New Roman" w:eastAsia="宋体" w:hAnsi="Times New Roman" w:hint="eastAsia"/>
          <w:sz w:val="23"/>
          <w:lang w:eastAsia="zh-CN"/>
        </w:rPr>
        <w:t>个可计算的</w:t>
      </w:r>
      <w:r>
        <w:rPr>
          <w:rFonts w:ascii="Times New Roman" w:eastAsia="宋体" w:hAnsi="Times New Roman" w:hint="eastAsia"/>
          <w:sz w:val="23"/>
          <w:lang w:eastAsia="zh-CN"/>
        </w:rPr>
        <w:t>"</w:t>
      </w:r>
      <w:r>
        <w:rPr>
          <w:rFonts w:ascii="Times New Roman" w:eastAsia="宋体" w:hAnsi="Times New Roman" w:hint="eastAsia"/>
          <w:sz w:val="23"/>
          <w:lang w:eastAsia="zh-CN"/>
        </w:rPr>
        <w:t>行为指标</w:t>
      </w:r>
      <w:r>
        <w:rPr>
          <w:rFonts w:ascii="Times New Roman" w:eastAsia="宋体" w:hAnsi="Times New Roman" w:hint="eastAsia"/>
          <w:sz w:val="23"/>
          <w:lang w:eastAsia="zh-CN"/>
        </w:rPr>
        <w:t>"</w:t>
      </w:r>
      <w:r>
        <w:rPr>
          <w:rFonts w:ascii="Times New Roman" w:eastAsia="宋体" w:hAnsi="Times New Roman" w:hint="eastAsia"/>
          <w:sz w:val="23"/>
          <w:lang w:eastAsia="zh-CN"/>
        </w:rPr>
        <w:t>，检验哪些行为真的能带来超额收益。</w:t>
      </w:r>
      <w:r>
        <w:rPr>
          <w:rFonts w:ascii="Times New Roman" w:eastAsia="宋体" w:hAnsi="Times New Roman"/>
          <w:sz w:val="24"/>
          <w:lang w:eastAsia="zh-CN"/>
        </w:rPr>
        <w:t>据此使用实证检验有效的指标，刻画表现最好与最差</w:t>
      </w:r>
      <w:r>
        <w:rPr>
          <w:rFonts w:ascii="Times New Roman" w:eastAsia="宋体" w:hAnsi="Times New Roman"/>
          <w:sz w:val="24"/>
          <w:lang w:eastAsia="zh-CN"/>
        </w:rPr>
        <w:t xml:space="preserve"> 5% </w:t>
      </w:r>
      <w:r>
        <w:rPr>
          <w:rFonts w:ascii="Times New Roman" w:eastAsia="宋体" w:hAnsi="Times New Roman"/>
          <w:sz w:val="24"/>
          <w:lang w:eastAsia="zh-CN"/>
        </w:rPr>
        <w:t>投资经理的群体画像，并选取六位投资经理进行案例分析。</w:t>
      </w:r>
    </w:p>
    <w:p w14:paraId="51CC6E84" w14:textId="3C9C3FEB" w:rsidR="001C7CAA" w:rsidRDefault="001C7CAA" w:rsidP="001C7CAA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 w:hint="eastAsia"/>
          <w:b/>
          <w:sz w:val="28"/>
          <w:lang w:eastAsia="zh-CN"/>
        </w:rPr>
        <w:t>一、</w:t>
      </w:r>
      <w:r w:rsidR="00492A01">
        <w:rPr>
          <w:rFonts w:ascii="Times New Roman" w:eastAsia="黑体" w:hAnsi="Times New Roman"/>
          <w:b/>
          <w:sz w:val="28"/>
          <w:lang w:eastAsia="zh-CN"/>
        </w:rPr>
        <w:t>投资经理画像的指标体系</w:t>
      </w:r>
    </w:p>
    <w:p w14:paraId="2AB89F49" w14:textId="651F7820" w:rsidR="001C7CAA" w:rsidRDefault="001C7CAA" w:rsidP="001C7CAA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为什么有的基金经理能持续跑赢，有的却靠运气吃饭？行为金融学告诉我们：业绩差距背后，是决策习惯的差距。我们把经理的行为拆成三个层面——先看性格底色，再看思维方式，最后看他在压力下的临场反应。</w:t>
      </w:r>
    </w:p>
    <w:p w14:paraId="07C38B7D" w14:textId="7D32FDB9" w:rsidR="001C7CAA" w:rsidRPr="001C7CAA" w:rsidRDefault="001C7CAA" w:rsidP="001C7CAA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第一层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风格底色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，回答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他是谁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刻画投资经理稳定的、跨周期不变的底层投资偏好，包括选择偏好（行业集中度</w:t>
      </w:r>
      <w:r>
        <w:rPr>
          <w:rFonts w:ascii="Times New Roman" w:eastAsia="宋体" w:hAnsi="Times New Roman"/>
          <w:sz w:val="24"/>
          <w:lang w:eastAsia="zh-CN"/>
        </w:rPr>
        <w:t xml:space="preserve"> ICI</w:t>
      </w:r>
      <w:r>
        <w:rPr>
          <w:rFonts w:ascii="Times New Roman" w:eastAsia="宋体" w:hAnsi="Times New Roman"/>
          <w:sz w:val="24"/>
          <w:lang w:eastAsia="zh-CN"/>
        </w:rPr>
        <w:t>、行业风格漂移</w:t>
      </w:r>
      <w:r>
        <w:rPr>
          <w:rFonts w:ascii="Times New Roman" w:eastAsia="宋体" w:hAnsi="Times New Roman"/>
          <w:sz w:val="24"/>
          <w:lang w:eastAsia="zh-CN"/>
        </w:rPr>
        <w:t xml:space="preserve"> ISDI</w:t>
      </w:r>
      <w:r>
        <w:rPr>
          <w:rFonts w:ascii="Times New Roman" w:eastAsia="宋体" w:hAnsi="Times New Roman"/>
          <w:sz w:val="24"/>
          <w:lang w:eastAsia="zh-CN"/>
        </w:rPr>
        <w:t>）与基本面边界（任职年限、基金年龄、规模）两个维度。其中，选择偏好度量经理是否敢于在少数行业上集中押注、行业配置是否频繁变动；基本面边界不直接刻画偏好，而是界定经理所处的基本面约束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年轻经理面临更大的职业担忧、小基金有更高的灵活性与更低的交易成本冲击，故仅作为控制变量和群体画像的背景参照。</w:t>
      </w:r>
    </w:p>
    <w:p w14:paraId="73CAF753" w14:textId="799DE719" w:rsidR="001C7CAA" w:rsidRDefault="001C7CAA" w:rsidP="001C7CAA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第二层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认知偏差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，回答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他怎么思考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  <w:r w:rsidR="00D27536">
        <w:rPr>
          <w:rFonts w:ascii="Times New Roman" w:eastAsia="宋体" w:hAnsi="Times New Roman" w:hint="eastAsia"/>
          <w:sz w:val="24"/>
          <w:lang w:eastAsia="zh-CN"/>
        </w:rPr>
        <w:t>投资经理并非完全理性“经纪人”，投资决策受系统性心理偏差影响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  <w:r w:rsidR="00B6095B">
        <w:rPr>
          <w:rFonts w:ascii="Times New Roman" w:eastAsia="宋体" w:hAnsi="Times New Roman"/>
          <w:sz w:val="24"/>
          <w:lang w:eastAsia="zh-CN"/>
        </w:rPr>
        <w:t>该层聚焦三个可观测的行为投射</w:t>
      </w:r>
      <w:r>
        <w:rPr>
          <w:rFonts w:ascii="Times New Roman" w:eastAsia="宋体" w:hAnsi="Times New Roman" w:hint="eastAsia"/>
          <w:sz w:val="24"/>
          <w:lang w:eastAsia="zh-CN"/>
        </w:rPr>
        <w:t>：</w:t>
      </w:r>
      <w:r w:rsidR="00D27536">
        <w:rPr>
          <w:rFonts w:ascii="Times New Roman" w:eastAsia="宋体" w:hAnsi="Times New Roman"/>
          <w:sz w:val="24"/>
          <w:lang w:eastAsia="zh-CN"/>
        </w:rPr>
        <w:t>风险偏好不对称</w:t>
      </w:r>
      <w:r w:rsidR="00D27536" w:rsidRPr="00D27536">
        <w:rPr>
          <w:rFonts w:ascii="Times New Roman" w:eastAsia="宋体" w:hAnsi="Times New Roman"/>
          <w:sz w:val="24"/>
          <w:lang w:eastAsia="zh-CN"/>
        </w:rPr>
        <w:t>（</w:t>
      </w:r>
      <w:r w:rsidR="00D27536" w:rsidRPr="00D27536">
        <w:rPr>
          <w:rFonts w:ascii="Times New Roman" w:eastAsia="宋体" w:hAnsi="Times New Roman" w:hint="eastAsia"/>
          <w:sz w:val="24"/>
          <w:lang w:eastAsia="zh-CN"/>
        </w:rPr>
        <w:t>盈利和亏损时</w:t>
      </w:r>
      <w:r w:rsidR="009C3A26">
        <w:rPr>
          <w:rFonts w:ascii="Times New Roman" w:eastAsia="宋体" w:hAnsi="Times New Roman" w:hint="eastAsia"/>
          <w:sz w:val="24"/>
          <w:lang w:eastAsia="zh-CN"/>
        </w:rPr>
        <w:t>冒险</w:t>
      </w:r>
      <w:r w:rsidR="00D27536" w:rsidRPr="00D27536">
        <w:rPr>
          <w:rFonts w:ascii="Times New Roman" w:eastAsia="宋体" w:hAnsi="Times New Roman" w:hint="eastAsia"/>
          <w:sz w:val="24"/>
          <w:lang w:eastAsia="zh-CN"/>
        </w:rPr>
        <w:t>倾向</w:t>
      </w:r>
      <w:r w:rsidR="009C3A26">
        <w:rPr>
          <w:rFonts w:ascii="Times New Roman" w:eastAsia="宋体" w:hAnsi="Times New Roman" w:hint="eastAsia"/>
          <w:sz w:val="24"/>
          <w:lang w:eastAsia="zh-CN"/>
        </w:rPr>
        <w:t>不同</w:t>
      </w:r>
      <w:r w:rsidR="00D27536" w:rsidRPr="00D27536">
        <w:rPr>
          <w:rFonts w:ascii="Times New Roman" w:eastAsia="宋体" w:hAnsi="Times New Roman"/>
          <w:sz w:val="24"/>
          <w:lang w:eastAsia="zh-CN"/>
        </w:rPr>
        <w:t>）</w:t>
      </w:r>
      <w:r w:rsidR="00D27536">
        <w:rPr>
          <w:rFonts w:ascii="Times New Roman" w:eastAsia="宋体" w:hAnsi="Times New Roman"/>
          <w:sz w:val="24"/>
          <w:lang w:eastAsia="zh-CN"/>
        </w:rPr>
        <w:t>、处置效应（止盈与止损行为的不对称，</w:t>
      </w:r>
      <w:r w:rsidR="00D27536">
        <w:rPr>
          <w:rFonts w:ascii="Times New Roman" w:eastAsia="宋体" w:hAnsi="Times New Roman" w:hint="eastAsia"/>
          <w:sz w:val="24"/>
          <w:lang w:eastAsia="zh-CN"/>
        </w:rPr>
        <w:t>赚钱急着卖、亏钱死扛不认错</w:t>
      </w:r>
      <w:r w:rsidR="00D27536">
        <w:rPr>
          <w:rFonts w:ascii="Times New Roman" w:eastAsia="宋体" w:hAnsi="Times New Roman"/>
          <w:sz w:val="24"/>
          <w:lang w:eastAsia="zh-CN"/>
        </w:rPr>
        <w:t>）、过度自信（业绩向好后的交易放大行为，反映将好运归因于自身能力的倾向）</w:t>
      </w:r>
      <w:r w:rsidR="00D27536"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50E10287" w14:textId="77777777" w:rsidR="00D27536" w:rsidRDefault="001C7CAA" w:rsidP="00851A07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lastRenderedPageBreak/>
        <w:t>第三层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风险应对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，回答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他在压力下怎么行动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  <w:r w:rsidR="00851A07">
        <w:rPr>
          <w:rFonts w:ascii="Times New Roman" w:eastAsia="宋体" w:hAnsi="Times New Roman"/>
          <w:sz w:val="24"/>
          <w:lang w:eastAsia="zh-CN"/>
        </w:rPr>
        <w:t>刻画经理在市场压力下的实际应对质量，这是行为最终转化为业绩的关键环节</w:t>
      </w:r>
      <w:r w:rsidR="00851A07">
        <w:rPr>
          <w:rFonts w:ascii="Times New Roman" w:eastAsia="宋体" w:hAnsi="Times New Roman" w:hint="eastAsia"/>
          <w:sz w:val="24"/>
          <w:lang w:eastAsia="zh-CN"/>
        </w:rPr>
        <w:t>。本文将其分为两个部分</w:t>
      </w:r>
      <w:r>
        <w:rPr>
          <w:rFonts w:ascii="Times New Roman" w:eastAsia="宋体" w:hAnsi="Times New Roman" w:hint="eastAsia"/>
          <w:sz w:val="24"/>
          <w:lang w:eastAsia="zh-CN"/>
        </w:rPr>
        <w:t>：过程应对（调仓幅度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ARG</w:t>
      </w:r>
      <w:r>
        <w:rPr>
          <w:rFonts w:ascii="Times New Roman" w:eastAsia="宋体" w:hAnsi="Times New Roman" w:hint="eastAsia"/>
          <w:sz w:val="24"/>
          <w:lang w:eastAsia="zh-CN"/>
        </w:rPr>
        <w:t>——报表之外他到底动了多少；下行保护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timing</w:t>
      </w:r>
      <w:r>
        <w:rPr>
          <w:rFonts w:ascii="Times New Roman" w:eastAsia="宋体" w:hAnsi="Times New Roman" w:hint="eastAsia"/>
          <w:sz w:val="24"/>
          <w:lang w:eastAsia="zh-CN"/>
        </w:rPr>
        <w:t>——市场跌的时候他会不会主动收手）和转化效率（</w:t>
      </w:r>
      <w:r>
        <w:rPr>
          <w:rFonts w:ascii="Times New Roman" w:eastAsia="宋体" w:hAnsi="Times New Roman" w:hint="eastAsia"/>
          <w:sz w:val="24"/>
          <w:lang w:eastAsia="zh-CN"/>
        </w:rPr>
        <w:t>Sharpe</w:t>
      </w:r>
      <w:r>
        <w:rPr>
          <w:rFonts w:ascii="Times New Roman" w:eastAsia="宋体" w:hAnsi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hint="eastAsia"/>
          <w:sz w:val="24"/>
          <w:lang w:eastAsia="zh-CN"/>
        </w:rPr>
        <w:t>Sortino</w:t>
      </w:r>
      <w:r>
        <w:rPr>
          <w:rFonts w:ascii="Times New Roman" w:eastAsia="宋体" w:hAnsi="Times New Roman" w:hint="eastAsia"/>
          <w:sz w:val="24"/>
          <w:lang w:eastAsia="zh-CN"/>
        </w:rPr>
        <w:t>、</w:t>
      </w:r>
      <w:r>
        <w:rPr>
          <w:rFonts w:ascii="Times New Roman" w:eastAsia="宋体" w:hAnsi="Times New Roman" w:hint="eastAsia"/>
          <w:sz w:val="24"/>
          <w:lang w:eastAsia="zh-CN"/>
        </w:rPr>
        <w:t xml:space="preserve">MPPM </w:t>
      </w:r>
      <w:r>
        <w:rPr>
          <w:rFonts w:ascii="Times New Roman" w:eastAsia="宋体" w:hAnsi="Times New Roman" w:hint="eastAsia"/>
          <w:sz w:val="24"/>
          <w:lang w:eastAsia="zh-CN"/>
        </w:rPr>
        <w:t>三个比率——同样承担一份风险，他能换回多少收益）。</w:t>
      </w:r>
    </w:p>
    <w:p w14:paraId="03BDEA64" w14:textId="691B217F" w:rsidR="002641CF" w:rsidRPr="00851A07" w:rsidRDefault="00851A07" w:rsidP="00851A07">
      <w:pPr>
        <w:spacing w:after="120" w:line="360" w:lineRule="auto"/>
        <w:ind w:firstLine="480"/>
        <w:rPr>
          <w:rFonts w:eastAsia="宋体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此外，交易执行作为补充维度刻画经理与市场的互动方式，以策略偏离指数</w:t>
      </w:r>
      <w:r>
        <w:rPr>
          <w:rFonts w:ascii="Times New Roman" w:eastAsia="宋体" w:hAnsi="Times New Roman"/>
          <w:sz w:val="24"/>
          <w:lang w:eastAsia="zh-CN"/>
        </w:rPr>
        <w:t xml:space="preserve"> SDI </w:t>
      </w:r>
      <w:r>
        <w:rPr>
          <w:rFonts w:ascii="Times New Roman" w:eastAsia="宋体" w:hAnsi="Times New Roman"/>
          <w:sz w:val="24"/>
          <w:lang w:eastAsia="zh-CN"/>
        </w:rPr>
        <w:t>度量净值层面的风格漂移、以</w:t>
      </w:r>
      <w:r>
        <w:rPr>
          <w:rFonts w:ascii="Times New Roman" w:eastAsia="宋体" w:hAnsi="Times New Roman"/>
          <w:sz w:val="24"/>
          <w:lang w:eastAsia="zh-CN"/>
        </w:rPr>
        <w:t xml:space="preserve"> LSV </w:t>
      </w:r>
      <w:r>
        <w:rPr>
          <w:rFonts w:ascii="Times New Roman" w:eastAsia="宋体" w:hAnsi="Times New Roman"/>
          <w:sz w:val="24"/>
          <w:lang w:eastAsia="zh-CN"/>
        </w:rPr>
        <w:t>度量交易行为的同业趋同程度。</w:t>
      </w:r>
      <w:r w:rsidR="001C7CAA">
        <w:rPr>
          <w:rFonts w:ascii="Times New Roman" w:eastAsia="宋体" w:hAnsi="Times New Roman" w:hint="eastAsia"/>
          <w:sz w:val="24"/>
          <w:lang w:eastAsia="zh-CN"/>
        </w:rPr>
        <w:t>全部框架见表</w:t>
      </w:r>
      <w:r w:rsidR="001C7CAA">
        <w:rPr>
          <w:rFonts w:ascii="Times New Roman" w:eastAsia="宋体" w:hAnsi="Times New Roman" w:hint="eastAsia"/>
          <w:sz w:val="24"/>
          <w:lang w:eastAsia="zh-CN"/>
        </w:rPr>
        <w:t xml:space="preserve"> 1</w:t>
      </w:r>
      <w:r w:rsidR="001C7CAA"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3C41A55E" w14:textId="77777777" w:rsidR="00851A07" w:rsidRDefault="00851A07" w:rsidP="00851A07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表</w:t>
      </w:r>
      <w:r>
        <w:rPr>
          <w:rFonts w:ascii="Times New Roman" w:eastAsia="黑体" w:hAnsi="Times New Roman"/>
          <w:sz w:val="21"/>
          <w:lang w:eastAsia="zh-CN"/>
        </w:rPr>
        <w:t xml:space="preserve"> 1  </w:t>
      </w:r>
      <w:r>
        <w:rPr>
          <w:rFonts w:ascii="Times New Roman" w:eastAsia="黑体" w:hAnsi="Times New Roman"/>
          <w:sz w:val="21"/>
          <w:lang w:eastAsia="zh-CN"/>
        </w:rPr>
        <w:t>三层递进行为框架与指标体系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7"/>
        <w:gridCol w:w="677"/>
        <w:gridCol w:w="1984"/>
        <w:gridCol w:w="1165"/>
        <w:gridCol w:w="3024"/>
        <w:gridCol w:w="1647"/>
      </w:tblGrid>
      <w:tr w:rsidR="00851A07" w14:paraId="7AE71FD7" w14:textId="77777777" w:rsidTr="00B6095B">
        <w:trPr>
          <w:trHeight w:val="763"/>
          <w:jc w:val="center"/>
        </w:trPr>
        <w:tc>
          <w:tcPr>
            <w:tcW w:w="677" w:type="dxa"/>
          </w:tcPr>
          <w:p w14:paraId="3D71D599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层级</w:t>
            </w:r>
          </w:p>
        </w:tc>
        <w:tc>
          <w:tcPr>
            <w:tcW w:w="677" w:type="dxa"/>
          </w:tcPr>
          <w:p w14:paraId="531C2F3D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维度</w:t>
            </w:r>
          </w:p>
        </w:tc>
        <w:tc>
          <w:tcPr>
            <w:tcW w:w="1984" w:type="dxa"/>
          </w:tcPr>
          <w:p w14:paraId="7B4D1D22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影响渠道（理论依据）</w:t>
            </w:r>
          </w:p>
        </w:tc>
        <w:tc>
          <w:tcPr>
            <w:tcW w:w="1165" w:type="dxa"/>
          </w:tcPr>
          <w:p w14:paraId="5863A9B8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指标</w:t>
            </w:r>
          </w:p>
        </w:tc>
        <w:tc>
          <w:tcPr>
            <w:tcW w:w="3024" w:type="dxa"/>
          </w:tcPr>
          <w:p w14:paraId="0D415174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计算（公式）</w:t>
            </w:r>
          </w:p>
        </w:tc>
        <w:tc>
          <w:tcPr>
            <w:tcW w:w="1647" w:type="dxa"/>
          </w:tcPr>
          <w:p w14:paraId="1DDE797B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说明</w:t>
            </w:r>
          </w:p>
        </w:tc>
      </w:tr>
      <w:tr w:rsidR="00851A07" w14:paraId="62BB240D" w14:textId="77777777" w:rsidTr="00B6095B">
        <w:trPr>
          <w:trHeight w:val="1374"/>
          <w:jc w:val="center"/>
        </w:trPr>
        <w:tc>
          <w:tcPr>
            <w:tcW w:w="677" w:type="dxa"/>
          </w:tcPr>
          <w:p w14:paraId="0FBD6698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第一层</w:t>
            </w:r>
          </w:p>
          <w:p w14:paraId="70158B3D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风格底色</w:t>
            </w:r>
          </w:p>
        </w:tc>
        <w:tc>
          <w:tcPr>
            <w:tcW w:w="677" w:type="dxa"/>
          </w:tcPr>
          <w:p w14:paraId="058BA1F1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选择偏好</w:t>
            </w:r>
          </w:p>
        </w:tc>
        <w:tc>
          <w:tcPr>
            <w:tcW w:w="1984" w:type="dxa"/>
          </w:tcPr>
          <w:p w14:paraId="58D05AEA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行业集中押注体现私有信息与选股能力（</w:t>
            </w:r>
            <w:r>
              <w:rPr>
                <w:rFonts w:ascii="Times New Roman" w:eastAsia="宋体" w:hAnsi="Times New Roman"/>
                <w:sz w:val="18"/>
              </w:rPr>
              <w:t>Kacperczyk et al., 2005</w:t>
            </w:r>
            <w:r>
              <w:rPr>
                <w:rFonts w:ascii="Times New Roman" w:eastAsia="宋体" w:hAnsi="Times New Roman"/>
                <w:sz w:val="18"/>
              </w:rPr>
              <w:t>）；风格频繁切换损害业绩（</w:t>
            </w:r>
            <w:r>
              <w:rPr>
                <w:rFonts w:ascii="Times New Roman" w:eastAsia="宋体" w:hAnsi="Times New Roman"/>
                <w:sz w:val="18"/>
              </w:rPr>
              <w:t>Chen &amp; Wei, 2025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165" w:type="dxa"/>
          </w:tcPr>
          <w:p w14:paraId="4C3C9DF8" w14:textId="4A6BB787" w:rsidR="00851A07" w:rsidRDefault="00B6095B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①</w:t>
            </w:r>
            <w:r w:rsidR="00851A07">
              <w:rPr>
                <w:rFonts w:ascii="Times New Roman" w:eastAsia="宋体" w:hAnsi="Times New Roman"/>
                <w:sz w:val="18"/>
                <w:lang w:eastAsia="zh-CN"/>
              </w:rPr>
              <w:t>行业集中度</w:t>
            </w:r>
            <w:r w:rsidR="00851A07">
              <w:rPr>
                <w:rFonts w:ascii="Times New Roman" w:eastAsia="宋体" w:hAnsi="Times New Roman"/>
                <w:sz w:val="18"/>
                <w:lang w:eastAsia="zh-CN"/>
              </w:rPr>
              <w:t>ICI</w:t>
            </w: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、</w:t>
            </w:r>
          </w:p>
          <w:p w14:paraId="4C852090" w14:textId="355B75BA" w:rsidR="00851A07" w:rsidRDefault="00B6095B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②</w:t>
            </w:r>
            <w:r w:rsidR="00851A07">
              <w:rPr>
                <w:rFonts w:ascii="Times New Roman" w:eastAsia="宋体" w:hAnsi="Times New Roman"/>
                <w:sz w:val="18"/>
                <w:lang w:eastAsia="zh-CN"/>
              </w:rPr>
              <w:t>行业风格漂移</w:t>
            </w:r>
            <w:r w:rsidR="00851A07">
              <w:rPr>
                <w:rFonts w:ascii="Times New Roman" w:eastAsia="宋体" w:hAnsi="Times New Roman"/>
                <w:sz w:val="18"/>
                <w:lang w:eastAsia="zh-CN"/>
              </w:rPr>
              <w:t>ISDI</w:t>
            </w:r>
          </w:p>
        </w:tc>
        <w:tc>
          <w:tcPr>
            <w:tcW w:w="3024" w:type="dxa"/>
          </w:tcPr>
          <w:p w14:paraId="03F84966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ICI = </w:t>
            </w:r>
            <w:r>
              <w:rPr>
                <w:rFonts w:ascii="Times New Roman" w:eastAsia="宋体" w:hAnsi="Times New Roman"/>
                <w:sz w:val="18"/>
              </w:rPr>
              <w:t>Σ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ⱼ(wⱼ−w̄ⱼ)²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（申万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31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行业）</w:t>
            </w:r>
          </w:p>
          <w:p w14:paraId="6724717E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ISDI = </w:t>
            </w:r>
            <w:r>
              <w:rPr>
                <w:rFonts w:ascii="Times New Roman" w:eastAsia="宋体" w:hAnsi="Times New Roman"/>
                <w:sz w:val="18"/>
              </w:rPr>
              <w:t>Σ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_g |w_g,t−w_g,t−1|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（弹性组权重相邻期变动）</w:t>
            </w:r>
          </w:p>
        </w:tc>
        <w:tc>
          <w:tcPr>
            <w:tcW w:w="1647" w:type="dxa"/>
          </w:tcPr>
          <w:p w14:paraId="7C22EBC0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ICI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越高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→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越敢于集中押注；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ISDI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越高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→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风格越不稳定</w:t>
            </w:r>
          </w:p>
        </w:tc>
      </w:tr>
      <w:tr w:rsidR="00851A07" w14:paraId="0DC4A8E9" w14:textId="77777777" w:rsidTr="00B6095B">
        <w:trPr>
          <w:trHeight w:val="1412"/>
          <w:jc w:val="center"/>
        </w:trPr>
        <w:tc>
          <w:tcPr>
            <w:tcW w:w="677" w:type="dxa"/>
          </w:tcPr>
          <w:p w14:paraId="4062F7F1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第一层</w:t>
            </w:r>
          </w:p>
          <w:p w14:paraId="2FCE9DA3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风格底色</w:t>
            </w:r>
          </w:p>
        </w:tc>
        <w:tc>
          <w:tcPr>
            <w:tcW w:w="677" w:type="dxa"/>
          </w:tcPr>
          <w:p w14:paraId="24823BD3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基本面边界</w:t>
            </w:r>
          </w:p>
        </w:tc>
        <w:tc>
          <w:tcPr>
            <w:tcW w:w="1984" w:type="dxa"/>
          </w:tcPr>
          <w:p w14:paraId="333DDDAD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新任经理的职业担忧影响风险承担（</w:t>
            </w:r>
            <w:r>
              <w:rPr>
                <w:rFonts w:ascii="Times New Roman" w:eastAsia="宋体" w:hAnsi="Times New Roman"/>
                <w:sz w:val="18"/>
              </w:rPr>
              <w:t>Chevalier &amp; Ellison, 1999</w:t>
            </w:r>
            <w:r>
              <w:rPr>
                <w:rFonts w:ascii="Times New Roman" w:eastAsia="宋体" w:hAnsi="Times New Roman"/>
                <w:sz w:val="18"/>
              </w:rPr>
              <w:t>）；规模扩张稀释超额收益（</w:t>
            </w:r>
            <w:r>
              <w:rPr>
                <w:rFonts w:ascii="Times New Roman" w:eastAsia="宋体" w:hAnsi="Times New Roman"/>
                <w:sz w:val="18"/>
              </w:rPr>
              <w:t>Berk &amp; Green, 2004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165" w:type="dxa"/>
          </w:tcPr>
          <w:p w14:paraId="676E0F63" w14:textId="0302CB8D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任职年限</w:t>
            </w:r>
            <w:r w:rsidR="00B6095B">
              <w:rPr>
                <w:rFonts w:ascii="Times New Roman" w:eastAsia="宋体" w:hAnsi="Times New Roman" w:hint="eastAsia"/>
                <w:sz w:val="18"/>
                <w:lang w:eastAsia="zh-CN"/>
              </w:rPr>
              <w:t>、</w:t>
            </w:r>
          </w:p>
          <w:p w14:paraId="04512521" w14:textId="1D4795E0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基金年龄</w:t>
            </w:r>
            <w:r w:rsidR="00B6095B">
              <w:rPr>
                <w:rFonts w:ascii="Times New Roman" w:eastAsia="宋体" w:hAnsi="Times New Roman" w:hint="eastAsia"/>
                <w:sz w:val="18"/>
                <w:lang w:eastAsia="zh-CN"/>
              </w:rPr>
              <w:t>、</w:t>
            </w:r>
          </w:p>
          <w:p w14:paraId="380A2680" w14:textId="5E4D67F3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基金规模</w:t>
            </w:r>
            <w:r w:rsidR="00B6095B">
              <w:rPr>
                <w:rFonts w:ascii="Times New Roman" w:eastAsia="宋体" w:hAnsi="Times New Roman" w:hint="eastAsia"/>
                <w:sz w:val="18"/>
                <w:lang w:eastAsia="zh-CN"/>
              </w:rPr>
              <w:t>、</w:t>
            </w:r>
          </w:p>
        </w:tc>
        <w:tc>
          <w:tcPr>
            <w:tcW w:w="3024" w:type="dxa"/>
          </w:tcPr>
          <w:p w14:paraId="29CCAF65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 xml:space="preserve">tenure = </w:t>
            </w:r>
            <w:r>
              <w:rPr>
                <w:rFonts w:ascii="Times New Roman" w:eastAsia="宋体" w:hAnsi="Times New Roman"/>
                <w:sz w:val="18"/>
              </w:rPr>
              <w:t>观测日</w:t>
            </w:r>
            <w:r>
              <w:rPr>
                <w:rFonts w:ascii="Times New Roman" w:eastAsia="宋体" w:hAnsi="Times New Roman"/>
                <w:sz w:val="18"/>
              </w:rPr>
              <w:t>−</w:t>
            </w:r>
            <w:r>
              <w:rPr>
                <w:rFonts w:ascii="Times New Roman" w:eastAsia="宋体" w:hAnsi="Times New Roman"/>
                <w:sz w:val="18"/>
              </w:rPr>
              <w:t>首次任职日</w:t>
            </w:r>
          </w:p>
          <w:p w14:paraId="2C716FB0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log_age = ln(</w:t>
            </w:r>
            <w:r>
              <w:rPr>
                <w:rFonts w:ascii="Times New Roman" w:eastAsia="宋体" w:hAnsi="Times New Roman"/>
                <w:sz w:val="18"/>
              </w:rPr>
              <w:t>存续月数</w:t>
            </w:r>
            <w:r>
              <w:rPr>
                <w:rFonts w:ascii="Times New Roman" w:eastAsia="宋体" w:hAnsi="Times New Roman"/>
                <w:sz w:val="18"/>
              </w:rPr>
              <w:t>)</w:t>
            </w:r>
          </w:p>
          <w:p w14:paraId="16D67D0B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log_aum = ln(</w:t>
            </w:r>
            <w:r>
              <w:rPr>
                <w:rFonts w:ascii="Times New Roman" w:eastAsia="宋体" w:hAnsi="Times New Roman"/>
                <w:sz w:val="18"/>
              </w:rPr>
              <w:t>平均规模</w:t>
            </w:r>
            <w:r>
              <w:rPr>
                <w:rFonts w:ascii="Times New Roman" w:eastAsia="宋体" w:hAnsi="Times New Roman"/>
                <w:sz w:val="18"/>
              </w:rPr>
              <w:t>)</w:t>
            </w:r>
          </w:p>
          <w:p w14:paraId="3D87DB20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计分</w:t>
            </w:r>
            <w:r>
              <w:rPr>
                <w:rFonts w:ascii="Times New Roman" w:eastAsia="宋体" w:hAnsi="Times New Roman"/>
                <w:sz w:val="18"/>
              </w:rPr>
              <w:t xml:space="preserve"> = [z(−tenure)+z(−log_age)+z(−log_aum)]/3</w:t>
            </w:r>
          </w:p>
        </w:tc>
        <w:tc>
          <w:tcPr>
            <w:tcW w:w="1647" w:type="dxa"/>
          </w:tcPr>
          <w:p w14:paraId="1FEE2315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任职越久、基金越老、规模越大，理论上业绩越趋于平庸；本层为边界条件，计入综合得分但解读时须区分</w:t>
            </w:r>
          </w:p>
        </w:tc>
      </w:tr>
      <w:tr w:rsidR="00851A07" w14:paraId="4738DC19" w14:textId="77777777" w:rsidTr="00B6095B">
        <w:trPr>
          <w:trHeight w:val="1467"/>
          <w:jc w:val="center"/>
        </w:trPr>
        <w:tc>
          <w:tcPr>
            <w:tcW w:w="677" w:type="dxa"/>
          </w:tcPr>
          <w:p w14:paraId="4C90A2AC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第二层</w:t>
            </w:r>
          </w:p>
          <w:p w14:paraId="63BD8AE1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认知偏差</w:t>
            </w:r>
          </w:p>
        </w:tc>
        <w:tc>
          <w:tcPr>
            <w:tcW w:w="677" w:type="dxa"/>
          </w:tcPr>
          <w:p w14:paraId="7985D73D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参考点与风险态度</w:t>
            </w:r>
          </w:p>
        </w:tc>
        <w:tc>
          <w:tcPr>
            <w:tcW w:w="1984" w:type="dxa"/>
          </w:tcPr>
          <w:p w14:paraId="1E9F48E1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风险态度随盈亏状态改变（</w:t>
            </w:r>
            <w:r>
              <w:rPr>
                <w:rFonts w:ascii="Times New Roman" w:eastAsia="宋体" w:hAnsi="Times New Roman"/>
                <w:sz w:val="18"/>
              </w:rPr>
              <w:t>Kahneman &amp; Tversky, 1979</w:t>
            </w:r>
            <w:r>
              <w:rPr>
                <w:rFonts w:ascii="Times New Roman" w:eastAsia="宋体" w:hAnsi="Times New Roman"/>
                <w:sz w:val="18"/>
              </w:rPr>
              <w:t>）；过早止盈、拒绝止损的处置倾向（</w:t>
            </w:r>
            <w:r>
              <w:rPr>
                <w:rFonts w:ascii="Times New Roman" w:eastAsia="宋体" w:hAnsi="Times New Roman"/>
                <w:sz w:val="18"/>
              </w:rPr>
              <w:t>Shefrin &amp; Statman, 1985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165" w:type="dxa"/>
          </w:tcPr>
          <w:p w14:paraId="5FBBB42E" w14:textId="40AC2875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风险偏好不对称</w:t>
            </w:r>
          </w:p>
          <w:p w14:paraId="3EFC3DC0" w14:textId="2798F1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risk_asym</w:t>
            </w:r>
            <w:r w:rsidR="00B6095B">
              <w:rPr>
                <w:rFonts w:ascii="Times New Roman" w:eastAsia="宋体" w:hAnsi="Times New Roman" w:hint="eastAsia"/>
                <w:sz w:val="18"/>
                <w:lang w:eastAsia="zh-CN"/>
              </w:rPr>
              <w:t>、</w:t>
            </w:r>
          </w:p>
          <w:p w14:paraId="6DD9BDF2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处置效应</w:t>
            </w:r>
          </w:p>
          <w:p w14:paraId="5558ECE4" w14:textId="13185296" w:rsidR="00851A07" w:rsidRDefault="00B6095B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D</w:t>
            </w:r>
            <w:r w:rsidR="00851A07">
              <w:rPr>
                <w:rFonts w:ascii="Times New Roman" w:eastAsia="宋体" w:hAnsi="Times New Roman"/>
                <w:sz w:val="18"/>
              </w:rPr>
              <w:t>e</w:t>
            </w: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、</w:t>
            </w:r>
          </w:p>
        </w:tc>
        <w:tc>
          <w:tcPr>
            <w:tcW w:w="3024" w:type="dxa"/>
          </w:tcPr>
          <w:p w14:paraId="04327016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risk_asym = σ(</w:t>
            </w:r>
            <w:r>
              <w:rPr>
                <w:rFonts w:ascii="Times New Roman" w:eastAsia="宋体" w:hAnsi="Times New Roman"/>
                <w:sz w:val="18"/>
              </w:rPr>
              <w:t>盈利期收益</w:t>
            </w:r>
            <w:r>
              <w:rPr>
                <w:rFonts w:ascii="Times New Roman" w:eastAsia="宋体" w:hAnsi="Times New Roman"/>
                <w:sz w:val="18"/>
              </w:rPr>
              <w:t>)−σ(</w:t>
            </w:r>
            <w:r>
              <w:rPr>
                <w:rFonts w:ascii="Times New Roman" w:eastAsia="宋体" w:hAnsi="Times New Roman"/>
                <w:sz w:val="18"/>
              </w:rPr>
              <w:t>亏损期收益</w:t>
            </w:r>
            <w:r>
              <w:rPr>
                <w:rFonts w:ascii="Times New Roman" w:eastAsia="宋体" w:hAnsi="Times New Roman"/>
                <w:sz w:val="18"/>
              </w:rPr>
              <w:t>)</w:t>
            </w:r>
            <w:r>
              <w:rPr>
                <w:rFonts w:ascii="Times New Roman" w:eastAsia="宋体" w:hAnsi="Times New Roman"/>
                <w:sz w:val="18"/>
              </w:rPr>
              <w:t>（滚动</w:t>
            </w:r>
            <w:r>
              <w:rPr>
                <w:rFonts w:ascii="Times New Roman" w:eastAsia="宋体" w:hAnsi="Times New Roman"/>
                <w:sz w:val="18"/>
              </w:rPr>
              <w:t>8</w:t>
            </w:r>
            <w:r>
              <w:rPr>
                <w:rFonts w:ascii="Times New Roman" w:eastAsia="宋体" w:hAnsi="Times New Roman"/>
                <w:sz w:val="18"/>
              </w:rPr>
              <w:t>季）</w:t>
            </w:r>
          </w:p>
          <w:p w14:paraId="1E02B910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de = PGR−PLR</w:t>
            </w:r>
          </w:p>
        </w:tc>
        <w:tc>
          <w:tcPr>
            <w:tcW w:w="1647" w:type="dxa"/>
          </w:tcPr>
          <w:p w14:paraId="69824FB6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risk_asym&gt;0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表示盈时进攻、亏时防守（正贡献）；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de&gt;0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表示存在处置效应（损害业绩）</w:t>
            </w:r>
          </w:p>
        </w:tc>
      </w:tr>
      <w:tr w:rsidR="00851A07" w14:paraId="66880330" w14:textId="77777777" w:rsidTr="00B6095B">
        <w:trPr>
          <w:trHeight w:val="129"/>
          <w:jc w:val="center"/>
        </w:trPr>
        <w:tc>
          <w:tcPr>
            <w:tcW w:w="677" w:type="dxa"/>
          </w:tcPr>
          <w:p w14:paraId="6B6082E5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第二层</w:t>
            </w:r>
          </w:p>
          <w:p w14:paraId="708A86E5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认知偏差</w:t>
            </w:r>
          </w:p>
        </w:tc>
        <w:tc>
          <w:tcPr>
            <w:tcW w:w="677" w:type="dxa"/>
          </w:tcPr>
          <w:p w14:paraId="0D65FB33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过度自信</w:t>
            </w:r>
          </w:p>
        </w:tc>
        <w:tc>
          <w:tcPr>
            <w:tcW w:w="1984" w:type="dxa"/>
          </w:tcPr>
          <w:p w14:paraId="1C629EAF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过度自信导致过度交易，侵蚀收益（</w:t>
            </w:r>
            <w:r>
              <w:rPr>
                <w:rFonts w:ascii="Times New Roman" w:eastAsia="宋体" w:hAnsi="Times New Roman"/>
                <w:sz w:val="18"/>
              </w:rPr>
              <w:t>Gervais &amp; Odean, 2001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>Puetz &amp; Ruenzi, 2011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165" w:type="dxa"/>
          </w:tcPr>
          <w:p w14:paraId="0E6E5A2C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过度自信</w:t>
            </w:r>
          </w:p>
          <w:p w14:paraId="3A85FF1C" w14:textId="4FC85C96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</w:rPr>
              <w:t>oc_conf</w:t>
            </w:r>
          </w:p>
        </w:tc>
        <w:tc>
          <w:tcPr>
            <w:tcW w:w="3024" w:type="dxa"/>
          </w:tcPr>
          <w:p w14:paraId="61A0435D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oc_conf = (TO_t−TO_{t−1}) × 1(R_{t−1} &gt; 0)</w:t>
            </w:r>
          </w:p>
        </w:tc>
        <w:tc>
          <w:tcPr>
            <w:tcW w:w="1647" w:type="dxa"/>
          </w:tcPr>
          <w:p w14:paraId="5C453826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业绩变好后换手放大，反映过度自信（损害业绩）</w:t>
            </w:r>
          </w:p>
        </w:tc>
      </w:tr>
      <w:tr w:rsidR="00851A07" w14:paraId="117611CF" w14:textId="77777777" w:rsidTr="00B6095B">
        <w:trPr>
          <w:trHeight w:val="129"/>
          <w:jc w:val="center"/>
        </w:trPr>
        <w:tc>
          <w:tcPr>
            <w:tcW w:w="677" w:type="dxa"/>
          </w:tcPr>
          <w:p w14:paraId="0AEF2C2C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第三层</w:t>
            </w:r>
          </w:p>
          <w:p w14:paraId="147E3E66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风险应对</w:t>
            </w:r>
          </w:p>
        </w:tc>
        <w:tc>
          <w:tcPr>
            <w:tcW w:w="677" w:type="dxa"/>
          </w:tcPr>
          <w:p w14:paraId="4A2C7B30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过程应对</w:t>
            </w:r>
          </w:p>
        </w:tc>
        <w:tc>
          <w:tcPr>
            <w:tcW w:w="1984" w:type="dxa"/>
          </w:tcPr>
          <w:p w14:paraId="277EB9C1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持仓外调仓预示未来业绩（</w:t>
            </w:r>
            <w:r>
              <w:rPr>
                <w:rFonts w:ascii="Times New Roman" w:eastAsia="宋体" w:hAnsi="Times New Roman"/>
                <w:sz w:val="18"/>
              </w:rPr>
              <w:t>Kacperczyk et al., 2008</w:t>
            </w:r>
            <w:r>
              <w:rPr>
                <w:rFonts w:ascii="Times New Roman" w:eastAsia="宋体" w:hAnsi="Times New Roman"/>
                <w:sz w:val="18"/>
              </w:rPr>
              <w:t>）；下跌中的防御能力（</w:t>
            </w:r>
            <w:r>
              <w:rPr>
                <w:rFonts w:ascii="Times New Roman" w:eastAsia="宋体" w:hAnsi="Times New Roman"/>
                <w:sz w:val="18"/>
              </w:rPr>
              <w:t>Henriksson &amp; Merton, 1981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165" w:type="dxa"/>
          </w:tcPr>
          <w:p w14:paraId="43A8E85F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调仓幅度</w:t>
            </w:r>
          </w:p>
          <w:p w14:paraId="41E75463" w14:textId="5494B983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ARG</w:t>
            </w:r>
            <w:r w:rsidR="00B6095B">
              <w:rPr>
                <w:rFonts w:ascii="Times New Roman" w:eastAsia="宋体" w:hAnsi="Times New Roman" w:hint="eastAsia"/>
                <w:sz w:val="18"/>
                <w:lang w:eastAsia="zh-CN"/>
              </w:rPr>
              <w:t>、</w:t>
            </w:r>
          </w:p>
          <w:p w14:paraId="629D2591" w14:textId="77777777" w:rsidR="00851A07" w:rsidRDefault="00851A07" w:rsidP="00915BFD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下行保护</w:t>
            </w:r>
          </w:p>
          <w:p w14:paraId="41B71014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timing</w:t>
            </w:r>
          </w:p>
        </w:tc>
        <w:tc>
          <w:tcPr>
            <w:tcW w:w="3024" w:type="dxa"/>
          </w:tcPr>
          <w:p w14:paraId="27E3A3C5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 xml:space="preserve">ARG = </w:t>
            </w:r>
            <w:r>
              <w:rPr>
                <w:rFonts w:ascii="Times New Roman" w:eastAsia="宋体" w:hAnsi="Times New Roman"/>
                <w:sz w:val="18"/>
              </w:rPr>
              <w:t>季度内</w:t>
            </w:r>
            <w:r>
              <w:rPr>
                <w:rFonts w:ascii="Times New Roman" w:eastAsia="宋体" w:hAnsi="Times New Roman"/>
                <w:sz w:val="18"/>
              </w:rPr>
              <w:t>Σ_t |R_fund,t−Σ_i w_i R_i,t|</w:t>
            </w:r>
            <w:r>
              <w:rPr>
                <w:rFonts w:ascii="Times New Roman" w:eastAsia="宋体" w:hAnsi="Times New Roman"/>
                <w:sz w:val="18"/>
              </w:rPr>
              <w:t>（月度）</w:t>
            </w:r>
          </w:p>
          <w:p w14:paraId="630E8A91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timing = −γ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HM</w:t>
            </w:r>
            <w:r>
              <w:rPr>
                <w:rFonts w:ascii="Times New Roman" w:eastAsia="宋体" w:hAnsi="Times New Roman"/>
                <w:sz w:val="18"/>
              </w:rPr>
              <w:t>回归中</w:t>
            </w:r>
            <w:r>
              <w:rPr>
                <w:rFonts w:ascii="Times New Roman" w:eastAsia="宋体" w:hAnsi="Times New Roman"/>
                <w:sz w:val="18"/>
              </w:rPr>
              <w:t>min(0,MKT)</w:t>
            </w:r>
            <w:r>
              <w:rPr>
                <w:rFonts w:ascii="Times New Roman" w:eastAsia="宋体" w:hAnsi="Times New Roman"/>
                <w:sz w:val="18"/>
              </w:rPr>
              <w:t>项系数）</w:t>
            </w:r>
          </w:p>
        </w:tc>
        <w:tc>
          <w:tcPr>
            <w:tcW w:w="1647" w:type="dxa"/>
          </w:tcPr>
          <w:p w14:paraId="3FE6B9E3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ARG</w:t>
            </w:r>
            <w:r>
              <w:rPr>
                <w:rFonts w:ascii="Times New Roman" w:eastAsia="宋体" w:hAnsi="Times New Roman"/>
                <w:sz w:val="18"/>
              </w:rPr>
              <w:t>越大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Times New Roman" w:eastAsia="宋体" w:hAnsi="Times New Roman"/>
                <w:sz w:val="18"/>
              </w:rPr>
              <w:t>季报外操作越积极；</w:t>
            </w:r>
            <w:r>
              <w:rPr>
                <w:rFonts w:ascii="Times New Roman" w:eastAsia="宋体" w:hAnsi="Times New Roman"/>
                <w:sz w:val="18"/>
              </w:rPr>
              <w:t>timing</w:t>
            </w:r>
            <w:r>
              <w:rPr>
                <w:rFonts w:ascii="Times New Roman" w:eastAsia="宋体" w:hAnsi="Times New Roman"/>
                <w:sz w:val="18"/>
              </w:rPr>
              <w:t>越大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Times New Roman" w:eastAsia="宋体" w:hAnsi="Times New Roman"/>
                <w:sz w:val="18"/>
              </w:rPr>
              <w:t>下跌时保护越好</w:t>
            </w:r>
          </w:p>
        </w:tc>
      </w:tr>
      <w:tr w:rsidR="00851A07" w14:paraId="7384468F" w14:textId="77777777" w:rsidTr="00B6095B">
        <w:trPr>
          <w:trHeight w:val="129"/>
          <w:jc w:val="center"/>
        </w:trPr>
        <w:tc>
          <w:tcPr>
            <w:tcW w:w="677" w:type="dxa"/>
          </w:tcPr>
          <w:p w14:paraId="7995EB97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第三层</w:t>
            </w:r>
          </w:p>
          <w:p w14:paraId="077C054E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风险应对</w:t>
            </w:r>
          </w:p>
        </w:tc>
        <w:tc>
          <w:tcPr>
            <w:tcW w:w="677" w:type="dxa"/>
          </w:tcPr>
          <w:p w14:paraId="3BE44825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转化效率</w:t>
            </w:r>
          </w:p>
        </w:tc>
        <w:tc>
          <w:tcPr>
            <w:tcW w:w="1984" w:type="dxa"/>
          </w:tcPr>
          <w:p w14:paraId="3FB07FDE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单位风险的收益转化是绩效评价基础（</w:t>
            </w:r>
            <w:r>
              <w:rPr>
                <w:rFonts w:ascii="Times New Roman" w:eastAsia="宋体" w:hAnsi="Times New Roman"/>
                <w:sz w:val="18"/>
              </w:rPr>
              <w:t>Sharpe, 1966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Sortino &amp; Price, 1994</w:t>
            </w:r>
            <w:r>
              <w:rPr>
                <w:rFonts w:ascii="Times New Roman" w:eastAsia="宋体" w:hAnsi="Times New Roman"/>
                <w:sz w:val="18"/>
              </w:rPr>
              <w:t>）；传统比率可被极端风险操纵（</w:t>
            </w:r>
            <w:r>
              <w:rPr>
                <w:rFonts w:ascii="Times New Roman" w:eastAsia="宋体" w:hAnsi="Times New Roman"/>
                <w:sz w:val="18"/>
              </w:rPr>
              <w:t>Goetzmann et al., 2007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165" w:type="dxa"/>
          </w:tcPr>
          <w:p w14:paraId="71264BFA" w14:textId="689DBA51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Sharpe</w:t>
            </w:r>
            <w:r>
              <w:rPr>
                <w:rFonts w:ascii="Times New Roman" w:eastAsia="宋体" w:hAnsi="Times New Roman"/>
                <w:sz w:val="18"/>
              </w:rPr>
              <w:t>比率</w:t>
            </w:r>
            <w:r w:rsidR="00B6095B">
              <w:rPr>
                <w:rFonts w:ascii="Times New Roman" w:eastAsia="宋体" w:hAnsi="Times New Roman" w:hint="eastAsia"/>
                <w:sz w:val="18"/>
                <w:lang w:eastAsia="zh-CN"/>
              </w:rPr>
              <w:t>、</w:t>
            </w:r>
          </w:p>
          <w:p w14:paraId="653D97F9" w14:textId="0601AC91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Sortino</w:t>
            </w:r>
            <w:r>
              <w:rPr>
                <w:rFonts w:ascii="Times New Roman" w:eastAsia="宋体" w:hAnsi="Times New Roman"/>
                <w:sz w:val="18"/>
              </w:rPr>
              <w:t>比率</w:t>
            </w:r>
            <w:r w:rsidR="00B6095B">
              <w:rPr>
                <w:rFonts w:ascii="Times New Roman" w:eastAsia="宋体" w:hAnsi="Times New Roman" w:hint="eastAsia"/>
                <w:sz w:val="18"/>
                <w:lang w:eastAsia="zh-CN"/>
              </w:rPr>
              <w:t>、</w:t>
            </w:r>
          </w:p>
          <w:p w14:paraId="06FC29DD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MPPM</w:t>
            </w:r>
          </w:p>
        </w:tc>
        <w:tc>
          <w:tcPr>
            <w:tcW w:w="3024" w:type="dxa"/>
          </w:tcPr>
          <w:p w14:paraId="4C50C1D0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 xml:space="preserve">sharpe8 = </w:t>
            </w:r>
            <w:r>
              <w:rPr>
                <w:rFonts w:ascii="Times New Roman" w:eastAsia="宋体" w:hAnsi="Times New Roman"/>
                <w:sz w:val="18"/>
              </w:rPr>
              <w:t>平均收益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总波动</w:t>
            </w:r>
          </w:p>
          <w:p w14:paraId="512836B5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 xml:space="preserve">sortino8 = </w:t>
            </w:r>
            <w:r>
              <w:rPr>
                <w:rFonts w:ascii="Times New Roman" w:eastAsia="宋体" w:hAnsi="Times New Roman"/>
                <w:sz w:val="18"/>
              </w:rPr>
              <w:t>平均收益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下行波动</w:t>
            </w:r>
          </w:p>
          <w:p w14:paraId="0EC7980C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mppm8 = MPPM(RHO=3)</w:t>
            </w:r>
            <w:r>
              <w:rPr>
                <w:rFonts w:ascii="Times New Roman" w:eastAsia="宋体" w:hAnsi="Times New Roman"/>
                <w:sz w:val="18"/>
              </w:rPr>
              <w:t>（均滚动</w:t>
            </w:r>
            <w:r>
              <w:rPr>
                <w:rFonts w:ascii="Times New Roman" w:eastAsia="宋体" w:hAnsi="Times New Roman"/>
                <w:sz w:val="18"/>
              </w:rPr>
              <w:t>8</w:t>
            </w:r>
            <w:r>
              <w:rPr>
                <w:rFonts w:ascii="Times New Roman" w:eastAsia="宋体" w:hAnsi="Times New Roman"/>
                <w:sz w:val="18"/>
              </w:rPr>
              <w:t>季、滞后一期）</w:t>
            </w:r>
          </w:p>
        </w:tc>
        <w:tc>
          <w:tcPr>
            <w:tcW w:w="1647" w:type="dxa"/>
          </w:tcPr>
          <w:p w14:paraId="1A20B31E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lastRenderedPageBreak/>
              <w:t>三类比率均度量风险转化效率，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MPPM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额外防范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lastRenderedPageBreak/>
              <w:t>极端风险操纵</w:t>
            </w:r>
          </w:p>
        </w:tc>
      </w:tr>
      <w:tr w:rsidR="00851A07" w14:paraId="3ABC1D70" w14:textId="77777777" w:rsidTr="00B6095B">
        <w:trPr>
          <w:trHeight w:val="129"/>
          <w:jc w:val="center"/>
        </w:trPr>
        <w:tc>
          <w:tcPr>
            <w:tcW w:w="677" w:type="dxa"/>
          </w:tcPr>
          <w:p w14:paraId="3493D2C9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交易执行</w:t>
            </w:r>
          </w:p>
        </w:tc>
        <w:tc>
          <w:tcPr>
            <w:tcW w:w="677" w:type="dxa"/>
          </w:tcPr>
          <w:p w14:paraId="260A4628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风格稳定性</w:t>
            </w:r>
          </w:p>
        </w:tc>
        <w:tc>
          <w:tcPr>
            <w:tcW w:w="1984" w:type="dxa"/>
          </w:tcPr>
          <w:p w14:paraId="73323DE7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净值风格漂移损害业绩与资金流稳定性（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Wermers, 2012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1165" w:type="dxa"/>
          </w:tcPr>
          <w:p w14:paraId="697DAACC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策略偏离指数</w:t>
            </w:r>
          </w:p>
          <w:p w14:paraId="150E32E6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SDI</w:t>
            </w:r>
          </w:p>
        </w:tc>
        <w:tc>
          <w:tcPr>
            <w:tcW w:w="3024" w:type="dxa"/>
          </w:tcPr>
          <w:p w14:paraId="4B575473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 xml:space="preserve">SDI = 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风格回归权重相邻期曼哈顿距离（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8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季滚动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OLS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）</w:t>
            </w:r>
          </w:p>
        </w:tc>
        <w:tc>
          <w:tcPr>
            <w:tcW w:w="1647" w:type="dxa"/>
          </w:tcPr>
          <w:p w14:paraId="704FA6BA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SDI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越高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→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实际风格漂移越大（损害业绩）</w:t>
            </w:r>
          </w:p>
        </w:tc>
      </w:tr>
      <w:tr w:rsidR="00851A07" w14:paraId="080BC458" w14:textId="77777777" w:rsidTr="00B6095B">
        <w:trPr>
          <w:trHeight w:val="1455"/>
          <w:jc w:val="center"/>
        </w:trPr>
        <w:tc>
          <w:tcPr>
            <w:tcW w:w="677" w:type="dxa"/>
          </w:tcPr>
          <w:p w14:paraId="5DC232DE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交易执行</w:t>
            </w:r>
          </w:p>
        </w:tc>
        <w:tc>
          <w:tcPr>
            <w:tcW w:w="677" w:type="dxa"/>
          </w:tcPr>
          <w:p w14:paraId="7E265F0A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交易趋同</w:t>
            </w:r>
          </w:p>
        </w:tc>
        <w:tc>
          <w:tcPr>
            <w:tcW w:w="1984" w:type="dxa"/>
          </w:tcPr>
          <w:p w14:paraId="2118EE28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机构交易存在羊群行为（</w:t>
            </w:r>
            <w:r>
              <w:rPr>
                <w:rFonts w:ascii="Times New Roman" w:eastAsia="宋体" w:hAnsi="Times New Roman"/>
                <w:sz w:val="18"/>
              </w:rPr>
              <w:t>Lakonishok et al., 1992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>Wermers, 1999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165" w:type="dxa"/>
          </w:tcPr>
          <w:p w14:paraId="5475412F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交易趋同度</w:t>
            </w:r>
          </w:p>
          <w:p w14:paraId="31527AF2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LSV</w:t>
            </w:r>
          </w:p>
        </w:tc>
        <w:tc>
          <w:tcPr>
            <w:tcW w:w="3024" w:type="dxa"/>
          </w:tcPr>
          <w:p w14:paraId="1B6D7251" w14:textId="77777777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 xml:space="preserve">lsv = </w:t>
            </w:r>
            <w:r>
              <w:rPr>
                <w:rFonts w:ascii="Times New Roman" w:eastAsia="宋体" w:hAnsi="Times New Roman"/>
                <w:sz w:val="18"/>
              </w:rPr>
              <w:t>均值</w:t>
            </w:r>
            <w:r>
              <w:rPr>
                <w:rFonts w:ascii="Times New Roman" w:eastAsia="宋体" w:hAnsi="Times New Roman"/>
                <w:sz w:val="18"/>
              </w:rPr>
              <w:t>_i(|p_i−p̄_t|−AF)</w:t>
            </w:r>
          </w:p>
        </w:tc>
        <w:tc>
          <w:tcPr>
            <w:tcW w:w="1647" w:type="dxa"/>
          </w:tcPr>
          <w:p w14:paraId="50C7476B" w14:textId="77777777" w:rsidR="00851A07" w:rsidRDefault="00851A07" w:rsidP="00915BFD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度量买卖行为与同业的趋同程度</w:t>
            </w:r>
          </w:p>
        </w:tc>
      </w:tr>
    </w:tbl>
    <w:p w14:paraId="467809BC" w14:textId="77777777" w:rsidR="00851A07" w:rsidRDefault="00851A07" w:rsidP="00851A07">
      <w:pPr>
        <w:spacing w:after="160" w:line="360" w:lineRule="auto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>注：</w:t>
      </w:r>
      <w:r>
        <w:rPr>
          <w:rFonts w:ascii="Times New Roman" w:eastAsia="宋体" w:hAnsi="Times New Roman"/>
          <w:sz w:val="18"/>
          <w:lang w:eastAsia="zh-CN"/>
        </w:rPr>
        <w:t xml:space="preserve">w </w:t>
      </w:r>
      <w:r>
        <w:rPr>
          <w:rFonts w:ascii="Times New Roman" w:eastAsia="宋体" w:hAnsi="Times New Roman"/>
          <w:sz w:val="18"/>
          <w:lang w:eastAsia="zh-CN"/>
        </w:rPr>
        <w:t>为持仓权重，</w:t>
      </w:r>
      <w:r>
        <w:rPr>
          <w:rFonts w:ascii="Times New Roman" w:eastAsia="宋体" w:hAnsi="Times New Roman"/>
          <w:sz w:val="18"/>
        </w:rPr>
        <w:t>σ</w:t>
      </w:r>
      <w:r>
        <w:rPr>
          <w:rFonts w:ascii="Times New Roman" w:eastAsia="宋体" w:hAnsi="Times New Roman"/>
          <w:sz w:val="18"/>
          <w:lang w:eastAsia="zh-CN"/>
        </w:rPr>
        <w:t xml:space="preserve"> </w:t>
      </w:r>
      <w:r>
        <w:rPr>
          <w:rFonts w:ascii="Times New Roman" w:eastAsia="宋体" w:hAnsi="Times New Roman"/>
          <w:sz w:val="18"/>
          <w:lang w:eastAsia="zh-CN"/>
        </w:rPr>
        <w:t>为标准差，</w:t>
      </w:r>
      <w:r>
        <w:rPr>
          <w:rFonts w:ascii="Times New Roman" w:eastAsia="宋体" w:hAnsi="Times New Roman"/>
          <w:sz w:val="18"/>
          <w:lang w:eastAsia="zh-CN"/>
        </w:rPr>
        <w:t xml:space="preserve">TO </w:t>
      </w:r>
      <w:r>
        <w:rPr>
          <w:rFonts w:ascii="Times New Roman" w:eastAsia="宋体" w:hAnsi="Times New Roman"/>
          <w:sz w:val="18"/>
          <w:lang w:eastAsia="zh-CN"/>
        </w:rPr>
        <w:t>为换手率，</w:t>
      </w:r>
      <w:r>
        <w:rPr>
          <w:rFonts w:ascii="Times New Roman" w:eastAsia="宋体" w:hAnsi="Times New Roman"/>
          <w:sz w:val="18"/>
          <w:lang w:eastAsia="zh-CN"/>
        </w:rPr>
        <w:t xml:space="preserve">R </w:t>
      </w:r>
      <w:r>
        <w:rPr>
          <w:rFonts w:ascii="Times New Roman" w:eastAsia="宋体" w:hAnsi="Times New Roman"/>
          <w:sz w:val="18"/>
          <w:lang w:eastAsia="zh-CN"/>
        </w:rPr>
        <w:t>为收益率，</w:t>
      </w:r>
      <w:r>
        <w:rPr>
          <w:rFonts w:ascii="Times New Roman" w:eastAsia="宋体" w:hAnsi="Times New Roman"/>
          <w:sz w:val="18"/>
          <w:lang w:eastAsia="zh-CN"/>
        </w:rPr>
        <w:t xml:space="preserve">MKT </w:t>
      </w:r>
      <w:r>
        <w:rPr>
          <w:rFonts w:ascii="Times New Roman" w:eastAsia="宋体" w:hAnsi="Times New Roman"/>
          <w:sz w:val="18"/>
          <w:lang w:eastAsia="zh-CN"/>
        </w:rPr>
        <w:t>为市场超额收益，</w:t>
      </w:r>
      <w:r>
        <w:rPr>
          <w:rFonts w:ascii="Times New Roman" w:eastAsia="宋体" w:hAnsi="Times New Roman"/>
          <w:sz w:val="18"/>
        </w:rPr>
        <w:t>γ</w:t>
      </w:r>
      <w:r>
        <w:rPr>
          <w:rFonts w:ascii="Times New Roman" w:eastAsia="宋体" w:hAnsi="Times New Roman"/>
          <w:sz w:val="18"/>
          <w:lang w:eastAsia="zh-CN"/>
        </w:rPr>
        <w:t xml:space="preserve"> </w:t>
      </w:r>
      <w:r>
        <w:rPr>
          <w:rFonts w:ascii="Times New Roman" w:eastAsia="宋体" w:hAnsi="Times New Roman"/>
          <w:sz w:val="18"/>
          <w:lang w:eastAsia="zh-CN"/>
        </w:rPr>
        <w:t>为</w:t>
      </w:r>
      <w:r>
        <w:rPr>
          <w:rFonts w:ascii="Times New Roman" w:eastAsia="宋体" w:hAnsi="Times New Roman"/>
          <w:sz w:val="18"/>
          <w:lang w:eastAsia="zh-CN"/>
        </w:rPr>
        <w:t xml:space="preserve"> HM </w:t>
      </w:r>
      <w:r>
        <w:rPr>
          <w:rFonts w:ascii="Times New Roman" w:eastAsia="宋体" w:hAnsi="Times New Roman"/>
          <w:sz w:val="18"/>
          <w:lang w:eastAsia="zh-CN"/>
        </w:rPr>
        <w:t>回归中市场下行项系数。</w:t>
      </w:r>
    </w:p>
    <w:p w14:paraId="565241FF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二、实证检验：行为指标的业绩解释力</w:t>
      </w:r>
    </w:p>
    <w:p w14:paraId="2CBAC514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（一）样本与指标设计</w:t>
      </w:r>
    </w:p>
    <w:p w14:paraId="14276A42" w14:textId="0F406942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数据来源方面，基金净值、持仓与行业配置数据取自</w:t>
      </w:r>
      <w:r>
        <w:rPr>
          <w:rFonts w:ascii="Times New Roman" w:eastAsia="宋体" w:hAnsi="Times New Roman"/>
          <w:sz w:val="24"/>
          <w:lang w:eastAsia="zh-CN"/>
        </w:rPr>
        <w:t xml:space="preserve"> AKShare </w:t>
      </w:r>
      <w:r>
        <w:rPr>
          <w:rFonts w:ascii="Times New Roman" w:eastAsia="宋体" w:hAnsi="Times New Roman"/>
          <w:sz w:val="24"/>
          <w:lang w:eastAsia="zh-CN"/>
        </w:rPr>
        <w:t>与东方财富，换手率取自</w:t>
      </w:r>
      <w:r>
        <w:rPr>
          <w:rFonts w:ascii="Times New Roman" w:eastAsia="宋体" w:hAnsi="Times New Roman"/>
          <w:sz w:val="24"/>
          <w:lang w:eastAsia="zh-CN"/>
        </w:rPr>
        <w:t xml:space="preserve"> Wind</w:t>
      </w:r>
      <w:r>
        <w:rPr>
          <w:rFonts w:ascii="Times New Roman" w:eastAsia="宋体" w:hAnsi="Times New Roman"/>
          <w:sz w:val="24"/>
          <w:lang w:eastAsia="zh-CN"/>
        </w:rPr>
        <w:t>。因变量为</w:t>
      </w:r>
      <w:r>
        <w:rPr>
          <w:rFonts w:ascii="Times New Roman" w:eastAsia="宋体" w:hAnsi="Times New Roman"/>
          <w:sz w:val="24"/>
          <w:lang w:eastAsia="zh-CN"/>
        </w:rPr>
        <w:t xml:space="preserve"> FF5 </w:t>
      </w:r>
      <w:r>
        <w:rPr>
          <w:rFonts w:ascii="Times New Roman" w:eastAsia="宋体" w:hAnsi="Times New Roman"/>
          <w:sz w:val="24"/>
          <w:lang w:eastAsia="zh-CN"/>
        </w:rPr>
        <w:t>五因子模型调整后的超额收益（</w:t>
      </w:r>
      <w:r>
        <w:rPr>
          <w:rFonts w:ascii="Times New Roman" w:eastAsia="宋体" w:hAnsi="Times New Roman"/>
          <w:sz w:val="24"/>
          <w:lang w:eastAsia="zh-CN"/>
        </w:rPr>
        <w:t>alpha</w:t>
      </w:r>
      <w:r>
        <w:rPr>
          <w:rFonts w:ascii="Times New Roman" w:eastAsia="宋体" w:hAnsi="Times New Roman"/>
          <w:sz w:val="24"/>
          <w:lang w:eastAsia="zh-CN"/>
        </w:rPr>
        <w:t>），其在中国市场的适用性已有文献检验支持（</w:t>
      </w:r>
      <w:r>
        <w:rPr>
          <w:rFonts w:ascii="Times New Roman" w:eastAsia="宋体" w:hAnsi="Times New Roman"/>
          <w:sz w:val="24"/>
          <w:lang w:eastAsia="zh-CN"/>
        </w:rPr>
        <w:t>Li et al., 2017</w:t>
      </w:r>
      <w:r>
        <w:rPr>
          <w:rFonts w:ascii="Times New Roman" w:eastAsia="宋体" w:hAnsi="Times New Roman"/>
          <w:sz w:val="24"/>
          <w:lang w:eastAsia="zh-CN"/>
        </w:rPr>
        <w:t>）。样本覆盖</w:t>
      </w:r>
      <w:r>
        <w:rPr>
          <w:rFonts w:ascii="Times New Roman" w:eastAsia="宋体" w:hAnsi="Times New Roman"/>
          <w:sz w:val="24"/>
          <w:lang w:eastAsia="zh-CN"/>
        </w:rPr>
        <w:t xml:space="preserve"> 2006 </w:t>
      </w:r>
      <w:r>
        <w:rPr>
          <w:rFonts w:ascii="Times New Roman" w:eastAsia="宋体" w:hAnsi="Times New Roman"/>
          <w:sz w:val="24"/>
          <w:lang w:eastAsia="zh-CN"/>
        </w:rPr>
        <w:t>年三季度至</w:t>
      </w:r>
      <w:r>
        <w:rPr>
          <w:rFonts w:ascii="Times New Roman" w:eastAsia="宋体" w:hAnsi="Times New Roman"/>
          <w:sz w:val="24"/>
          <w:lang w:eastAsia="zh-CN"/>
        </w:rPr>
        <w:t xml:space="preserve"> 2026 </w:t>
      </w:r>
      <w:r>
        <w:rPr>
          <w:rFonts w:ascii="Times New Roman" w:eastAsia="宋体" w:hAnsi="Times New Roman"/>
          <w:sz w:val="24"/>
          <w:lang w:eastAsia="zh-CN"/>
        </w:rPr>
        <w:t>年二季度共</w:t>
      </w:r>
      <w:r>
        <w:rPr>
          <w:rFonts w:ascii="Times New Roman" w:eastAsia="宋体" w:hAnsi="Times New Roman"/>
          <w:sz w:val="24"/>
          <w:lang w:eastAsia="zh-CN"/>
        </w:rPr>
        <w:t xml:space="preserve"> 80 </w:t>
      </w:r>
      <w:r>
        <w:rPr>
          <w:rFonts w:ascii="Times New Roman" w:eastAsia="宋体" w:hAnsi="Times New Roman"/>
          <w:sz w:val="24"/>
          <w:lang w:eastAsia="zh-CN"/>
        </w:rPr>
        <w:t>个季度，其中</w:t>
      </w:r>
      <w:r>
        <w:rPr>
          <w:rFonts w:ascii="Times New Roman" w:eastAsia="宋体" w:hAnsi="Times New Roman"/>
          <w:sz w:val="24"/>
          <w:lang w:eastAsia="zh-CN"/>
        </w:rPr>
        <w:t xml:space="preserve"> 362 </w:t>
      </w:r>
      <w:r>
        <w:rPr>
          <w:rFonts w:ascii="Times New Roman" w:eastAsia="宋体" w:hAnsi="Times New Roman"/>
          <w:sz w:val="24"/>
          <w:lang w:eastAsia="zh-CN"/>
        </w:rPr>
        <w:t>只存续期不少于</w:t>
      </w:r>
      <w:r>
        <w:rPr>
          <w:rFonts w:ascii="Times New Roman" w:eastAsia="宋体" w:hAnsi="Times New Roman"/>
          <w:sz w:val="24"/>
          <w:lang w:eastAsia="zh-CN"/>
        </w:rPr>
        <w:t xml:space="preserve"> 12 </w:t>
      </w:r>
      <w:r>
        <w:rPr>
          <w:rFonts w:ascii="Times New Roman" w:eastAsia="宋体" w:hAnsi="Times New Roman"/>
          <w:sz w:val="24"/>
          <w:lang w:eastAsia="zh-CN"/>
        </w:rPr>
        <w:t>个季度的基金构成横截面回归样本。</w:t>
      </w:r>
    </w:p>
    <w:p w14:paraId="47241F39" w14:textId="363FAFC2" w:rsidR="002641CF" w:rsidRPr="00851A07" w:rsidRDefault="00851A07" w:rsidP="00851A07">
      <w:pPr>
        <w:spacing w:after="120" w:line="360" w:lineRule="auto"/>
        <w:ind w:firstLine="480"/>
        <w:rPr>
          <w:rFonts w:eastAsia="宋体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在报结果之前，先给每个指标立一个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理论预期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的靶子，</w:t>
      </w:r>
      <w:r>
        <w:rPr>
          <w:rFonts w:ascii="Times New Roman" w:eastAsia="宋体" w:hAnsi="Times New Roman"/>
          <w:sz w:val="24"/>
          <w:lang w:eastAsia="zh-CN"/>
        </w:rPr>
        <w:t>表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r>
        <w:rPr>
          <w:rFonts w:ascii="Times New Roman" w:eastAsia="宋体" w:hAnsi="Times New Roman"/>
          <w:sz w:val="24"/>
          <w:lang w:eastAsia="zh-CN"/>
        </w:rPr>
        <w:t>先汇总各指标的理论预期方向，作为回归结果的对照基准。</w:t>
      </w:r>
    </w:p>
    <w:p w14:paraId="5B43DA0A" w14:textId="5A9ADAE5" w:rsidR="00851A07" w:rsidRDefault="00851A07" w:rsidP="00851A07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 w:hint="eastAsia"/>
          <w:sz w:val="21"/>
          <w:lang w:eastAsia="zh-CN"/>
        </w:rPr>
        <w:t>表</w:t>
      </w:r>
      <w:r>
        <w:rPr>
          <w:rFonts w:ascii="Times New Roman" w:eastAsia="黑体" w:hAnsi="Times New Roman" w:hint="eastAsia"/>
          <w:sz w:val="21"/>
          <w:lang w:eastAsia="zh-CN"/>
        </w:rPr>
        <w:t xml:space="preserve"> 2  </w:t>
      </w:r>
      <w:r>
        <w:rPr>
          <w:rFonts w:ascii="Times New Roman" w:eastAsia="黑体" w:hAnsi="Times New Roman" w:hint="eastAsia"/>
          <w:sz w:val="21"/>
          <w:lang w:eastAsia="zh-CN"/>
        </w:rPr>
        <w:t>各行为指标的理论预期方向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792"/>
        <w:gridCol w:w="1867"/>
        <w:gridCol w:w="1792"/>
        <w:gridCol w:w="1792"/>
      </w:tblGrid>
      <w:tr w:rsidR="00851A07" w14:paraId="512F13ED" w14:textId="77777777" w:rsidTr="00E23763">
        <w:trPr>
          <w:jc w:val="center"/>
        </w:trPr>
        <w:tc>
          <w:tcPr>
            <w:tcW w:w="1792" w:type="dxa"/>
          </w:tcPr>
          <w:p w14:paraId="55109044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层级</w:t>
            </w:r>
          </w:p>
        </w:tc>
        <w:tc>
          <w:tcPr>
            <w:tcW w:w="1792" w:type="dxa"/>
          </w:tcPr>
          <w:p w14:paraId="777B6A59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维度</w:t>
            </w:r>
          </w:p>
        </w:tc>
        <w:tc>
          <w:tcPr>
            <w:tcW w:w="1867" w:type="dxa"/>
          </w:tcPr>
          <w:p w14:paraId="54ABDCE1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指标</w:t>
            </w:r>
          </w:p>
        </w:tc>
        <w:tc>
          <w:tcPr>
            <w:tcW w:w="1792" w:type="dxa"/>
          </w:tcPr>
          <w:p w14:paraId="60458A04" w14:textId="77777777" w:rsidR="00851A07" w:rsidRDefault="00851A07" w:rsidP="00915BFD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理论预期</w:t>
            </w:r>
          </w:p>
        </w:tc>
        <w:tc>
          <w:tcPr>
            <w:tcW w:w="1792" w:type="dxa"/>
          </w:tcPr>
          <w:p w14:paraId="66CC92F8" w14:textId="382EB918" w:rsidR="00851A07" w:rsidRDefault="00851A07" w:rsidP="00915BFD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理由</w:t>
            </w:r>
          </w:p>
        </w:tc>
      </w:tr>
      <w:tr w:rsidR="00E23763" w14:paraId="7C64A0F0" w14:textId="77777777" w:rsidTr="00E23763">
        <w:trPr>
          <w:jc w:val="center"/>
        </w:trPr>
        <w:tc>
          <w:tcPr>
            <w:tcW w:w="1792" w:type="dxa"/>
          </w:tcPr>
          <w:p w14:paraId="161C512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风格底色</w:t>
            </w:r>
          </w:p>
        </w:tc>
        <w:tc>
          <w:tcPr>
            <w:tcW w:w="1792" w:type="dxa"/>
          </w:tcPr>
          <w:p w14:paraId="576207C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基本面边界</w:t>
            </w:r>
          </w:p>
        </w:tc>
        <w:tc>
          <w:tcPr>
            <w:tcW w:w="1867" w:type="dxa"/>
          </w:tcPr>
          <w:p w14:paraId="66D1497D" w14:textId="77777777" w:rsidR="00E23763" w:rsidRDefault="00E23763" w:rsidP="00E23763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任职年限、基金年龄、规模</w:t>
            </w:r>
          </w:p>
        </w:tc>
        <w:tc>
          <w:tcPr>
            <w:tcW w:w="1792" w:type="dxa"/>
          </w:tcPr>
          <w:p w14:paraId="05FD2558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负（越小越好）</w:t>
            </w:r>
          </w:p>
        </w:tc>
        <w:tc>
          <w:tcPr>
            <w:tcW w:w="1792" w:type="dxa"/>
          </w:tcPr>
          <w:p w14:paraId="5B8E47C8" w14:textId="630C2CC3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职业关注激励年轻经理；规模稀释超额收益</w:t>
            </w:r>
          </w:p>
        </w:tc>
      </w:tr>
      <w:tr w:rsidR="00E23763" w14:paraId="365320C1" w14:textId="77777777" w:rsidTr="00E23763">
        <w:trPr>
          <w:jc w:val="center"/>
        </w:trPr>
        <w:tc>
          <w:tcPr>
            <w:tcW w:w="1792" w:type="dxa"/>
          </w:tcPr>
          <w:p w14:paraId="3B7F1CD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风格底色</w:t>
            </w:r>
          </w:p>
        </w:tc>
        <w:tc>
          <w:tcPr>
            <w:tcW w:w="1792" w:type="dxa"/>
          </w:tcPr>
          <w:p w14:paraId="1682FF9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选择偏好</w:t>
            </w:r>
          </w:p>
        </w:tc>
        <w:tc>
          <w:tcPr>
            <w:tcW w:w="1867" w:type="dxa"/>
          </w:tcPr>
          <w:p w14:paraId="3A92F069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行业集中度</w:t>
            </w:r>
            <w:r>
              <w:rPr>
                <w:rFonts w:ascii="Times New Roman" w:eastAsia="宋体" w:hAnsi="Times New Roman" w:hint="eastAsia"/>
                <w:sz w:val="18"/>
              </w:rPr>
              <w:t>ICI</w:t>
            </w:r>
          </w:p>
        </w:tc>
        <w:tc>
          <w:tcPr>
            <w:tcW w:w="1792" w:type="dxa"/>
          </w:tcPr>
          <w:p w14:paraId="321DAF5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正</w:t>
            </w:r>
          </w:p>
        </w:tc>
        <w:tc>
          <w:tcPr>
            <w:tcW w:w="1792" w:type="dxa"/>
          </w:tcPr>
          <w:p w14:paraId="37DD0D47" w14:textId="4EE0A6F7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集中押注反映私有信息优势</w:t>
            </w:r>
          </w:p>
        </w:tc>
      </w:tr>
      <w:tr w:rsidR="00E23763" w14:paraId="2CD5D0F7" w14:textId="77777777" w:rsidTr="00E23763">
        <w:trPr>
          <w:jc w:val="center"/>
        </w:trPr>
        <w:tc>
          <w:tcPr>
            <w:tcW w:w="1792" w:type="dxa"/>
          </w:tcPr>
          <w:p w14:paraId="2E1C5C4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风格底色</w:t>
            </w:r>
          </w:p>
        </w:tc>
        <w:tc>
          <w:tcPr>
            <w:tcW w:w="1792" w:type="dxa"/>
          </w:tcPr>
          <w:p w14:paraId="110D440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选择偏好</w:t>
            </w:r>
          </w:p>
        </w:tc>
        <w:tc>
          <w:tcPr>
            <w:tcW w:w="1867" w:type="dxa"/>
          </w:tcPr>
          <w:p w14:paraId="44F6618E" w14:textId="77777777" w:rsidR="00E23763" w:rsidRDefault="00E23763" w:rsidP="00E23763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行业风格漂移</w:t>
            </w: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ISDI</w:t>
            </w:r>
          </w:p>
        </w:tc>
        <w:tc>
          <w:tcPr>
            <w:tcW w:w="1792" w:type="dxa"/>
          </w:tcPr>
          <w:p w14:paraId="3B096F3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</w:t>
            </w:r>
          </w:p>
        </w:tc>
        <w:tc>
          <w:tcPr>
            <w:tcW w:w="1792" w:type="dxa"/>
          </w:tcPr>
          <w:p w14:paraId="73FC304C" w14:textId="088DB43A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风格频繁切换损害业绩</w:t>
            </w:r>
          </w:p>
        </w:tc>
      </w:tr>
      <w:tr w:rsidR="00E23763" w14:paraId="172F7499" w14:textId="77777777" w:rsidTr="00E23763">
        <w:trPr>
          <w:jc w:val="center"/>
        </w:trPr>
        <w:tc>
          <w:tcPr>
            <w:tcW w:w="1792" w:type="dxa"/>
          </w:tcPr>
          <w:p w14:paraId="21BE693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认知偏差</w:t>
            </w:r>
          </w:p>
        </w:tc>
        <w:tc>
          <w:tcPr>
            <w:tcW w:w="1792" w:type="dxa"/>
          </w:tcPr>
          <w:p w14:paraId="20D7933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参考点与风险态度</w:t>
            </w:r>
          </w:p>
        </w:tc>
        <w:tc>
          <w:tcPr>
            <w:tcW w:w="1867" w:type="dxa"/>
          </w:tcPr>
          <w:p w14:paraId="093760D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风险偏好不对称</w:t>
            </w:r>
            <w:r>
              <w:rPr>
                <w:rFonts w:ascii="Times New Roman" w:eastAsia="宋体" w:hAnsi="Times New Roman" w:hint="eastAsia"/>
                <w:sz w:val="18"/>
              </w:rPr>
              <w:t>risk_asym</w:t>
            </w:r>
          </w:p>
        </w:tc>
        <w:tc>
          <w:tcPr>
            <w:tcW w:w="1792" w:type="dxa"/>
          </w:tcPr>
          <w:p w14:paraId="2C8B43B1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正</w:t>
            </w:r>
          </w:p>
        </w:tc>
        <w:tc>
          <w:tcPr>
            <w:tcW w:w="1792" w:type="dxa"/>
          </w:tcPr>
          <w:p w14:paraId="75B0B57D" w14:textId="42BF93AF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盈利期进攻、亏损期防守体现情境适应</w:t>
            </w:r>
          </w:p>
        </w:tc>
      </w:tr>
      <w:tr w:rsidR="00E23763" w14:paraId="6C9A7320" w14:textId="77777777" w:rsidTr="00E23763">
        <w:trPr>
          <w:jc w:val="center"/>
        </w:trPr>
        <w:tc>
          <w:tcPr>
            <w:tcW w:w="1792" w:type="dxa"/>
          </w:tcPr>
          <w:p w14:paraId="1298D28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认知偏差</w:t>
            </w:r>
          </w:p>
        </w:tc>
        <w:tc>
          <w:tcPr>
            <w:tcW w:w="1792" w:type="dxa"/>
          </w:tcPr>
          <w:p w14:paraId="0BD20AD9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参考点与风险态度</w:t>
            </w:r>
          </w:p>
        </w:tc>
        <w:tc>
          <w:tcPr>
            <w:tcW w:w="1867" w:type="dxa"/>
          </w:tcPr>
          <w:p w14:paraId="13F6CCF9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处置效应</w:t>
            </w:r>
            <w:r>
              <w:rPr>
                <w:rFonts w:ascii="Times New Roman" w:eastAsia="宋体" w:hAnsi="Times New Roman" w:hint="eastAsia"/>
                <w:sz w:val="18"/>
              </w:rPr>
              <w:t>de</w:t>
            </w:r>
          </w:p>
        </w:tc>
        <w:tc>
          <w:tcPr>
            <w:tcW w:w="1792" w:type="dxa"/>
          </w:tcPr>
          <w:p w14:paraId="7E223163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</w:t>
            </w:r>
          </w:p>
        </w:tc>
        <w:tc>
          <w:tcPr>
            <w:tcW w:w="1792" w:type="dxa"/>
          </w:tcPr>
          <w:p w14:paraId="00CDA75E" w14:textId="485D19D6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售盈持亏损害收益</w:t>
            </w:r>
          </w:p>
        </w:tc>
      </w:tr>
      <w:tr w:rsidR="00E23763" w14:paraId="3F3F078D" w14:textId="77777777" w:rsidTr="00E23763">
        <w:trPr>
          <w:jc w:val="center"/>
        </w:trPr>
        <w:tc>
          <w:tcPr>
            <w:tcW w:w="1792" w:type="dxa"/>
          </w:tcPr>
          <w:p w14:paraId="7C3F726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认知偏差</w:t>
            </w:r>
          </w:p>
        </w:tc>
        <w:tc>
          <w:tcPr>
            <w:tcW w:w="1792" w:type="dxa"/>
          </w:tcPr>
          <w:p w14:paraId="2914043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过度自信</w:t>
            </w:r>
          </w:p>
        </w:tc>
        <w:tc>
          <w:tcPr>
            <w:tcW w:w="1867" w:type="dxa"/>
          </w:tcPr>
          <w:p w14:paraId="7FF2EAD3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过度自信</w:t>
            </w:r>
            <w:r>
              <w:rPr>
                <w:rFonts w:ascii="Times New Roman" w:eastAsia="宋体" w:hAnsi="Times New Roman" w:hint="eastAsia"/>
                <w:sz w:val="18"/>
              </w:rPr>
              <w:t>oc_conf</w:t>
            </w:r>
          </w:p>
        </w:tc>
        <w:tc>
          <w:tcPr>
            <w:tcW w:w="1792" w:type="dxa"/>
          </w:tcPr>
          <w:p w14:paraId="2527A4F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</w:t>
            </w:r>
          </w:p>
        </w:tc>
        <w:tc>
          <w:tcPr>
            <w:tcW w:w="1792" w:type="dxa"/>
          </w:tcPr>
          <w:p w14:paraId="7CF0DC44" w14:textId="5AB5D0D9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过度交易侵蚀收益</w:t>
            </w:r>
          </w:p>
        </w:tc>
      </w:tr>
      <w:tr w:rsidR="00E23763" w14:paraId="0492FEFF" w14:textId="77777777" w:rsidTr="00E23763">
        <w:trPr>
          <w:jc w:val="center"/>
        </w:trPr>
        <w:tc>
          <w:tcPr>
            <w:tcW w:w="1792" w:type="dxa"/>
          </w:tcPr>
          <w:p w14:paraId="701186F5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lastRenderedPageBreak/>
              <w:t>风险应对</w:t>
            </w:r>
          </w:p>
        </w:tc>
        <w:tc>
          <w:tcPr>
            <w:tcW w:w="1792" w:type="dxa"/>
          </w:tcPr>
          <w:p w14:paraId="6B7363EE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过程应对</w:t>
            </w:r>
          </w:p>
        </w:tc>
        <w:tc>
          <w:tcPr>
            <w:tcW w:w="1867" w:type="dxa"/>
          </w:tcPr>
          <w:p w14:paraId="44CD964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调仓幅度</w:t>
            </w:r>
            <w:r>
              <w:rPr>
                <w:rFonts w:ascii="Times New Roman" w:eastAsia="宋体" w:hAnsi="Times New Roman" w:hint="eastAsia"/>
                <w:sz w:val="18"/>
              </w:rPr>
              <w:t>ARG</w:t>
            </w:r>
          </w:p>
        </w:tc>
        <w:tc>
          <w:tcPr>
            <w:tcW w:w="1792" w:type="dxa"/>
          </w:tcPr>
          <w:p w14:paraId="1E0ADC2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正</w:t>
            </w:r>
          </w:p>
        </w:tc>
        <w:tc>
          <w:tcPr>
            <w:tcW w:w="1792" w:type="dxa"/>
          </w:tcPr>
          <w:p w14:paraId="21ACFDD8" w14:textId="5D44675B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披露外操作积极预示管理能力</w:t>
            </w:r>
          </w:p>
        </w:tc>
      </w:tr>
      <w:tr w:rsidR="00E23763" w14:paraId="382CB238" w14:textId="77777777" w:rsidTr="00E23763">
        <w:trPr>
          <w:jc w:val="center"/>
        </w:trPr>
        <w:tc>
          <w:tcPr>
            <w:tcW w:w="1792" w:type="dxa"/>
          </w:tcPr>
          <w:p w14:paraId="164D209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风险应对</w:t>
            </w:r>
          </w:p>
        </w:tc>
        <w:tc>
          <w:tcPr>
            <w:tcW w:w="1792" w:type="dxa"/>
          </w:tcPr>
          <w:p w14:paraId="27E894F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过程应对</w:t>
            </w:r>
          </w:p>
        </w:tc>
        <w:tc>
          <w:tcPr>
            <w:tcW w:w="1867" w:type="dxa"/>
          </w:tcPr>
          <w:p w14:paraId="20A81D4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下行保护</w:t>
            </w:r>
            <w:r>
              <w:rPr>
                <w:rFonts w:ascii="Times New Roman" w:eastAsia="宋体" w:hAnsi="Times New Roman" w:hint="eastAsia"/>
                <w:sz w:val="18"/>
              </w:rPr>
              <w:t>timing</w:t>
            </w:r>
          </w:p>
        </w:tc>
        <w:tc>
          <w:tcPr>
            <w:tcW w:w="1792" w:type="dxa"/>
          </w:tcPr>
          <w:p w14:paraId="6C77FA31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正</w:t>
            </w:r>
          </w:p>
        </w:tc>
        <w:tc>
          <w:tcPr>
            <w:tcW w:w="1792" w:type="dxa"/>
          </w:tcPr>
          <w:p w14:paraId="51C61BFE" w14:textId="7A5741C9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下行阶段收缩暴露提升业绩</w:t>
            </w:r>
          </w:p>
        </w:tc>
      </w:tr>
      <w:tr w:rsidR="00E23763" w14:paraId="0EA7162B" w14:textId="77777777" w:rsidTr="00E23763">
        <w:trPr>
          <w:jc w:val="center"/>
        </w:trPr>
        <w:tc>
          <w:tcPr>
            <w:tcW w:w="1792" w:type="dxa"/>
          </w:tcPr>
          <w:p w14:paraId="25BDEB1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风险应对</w:t>
            </w:r>
          </w:p>
        </w:tc>
        <w:tc>
          <w:tcPr>
            <w:tcW w:w="1792" w:type="dxa"/>
          </w:tcPr>
          <w:p w14:paraId="01F13FB5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转化效率</w:t>
            </w:r>
          </w:p>
        </w:tc>
        <w:tc>
          <w:tcPr>
            <w:tcW w:w="1867" w:type="dxa"/>
          </w:tcPr>
          <w:p w14:paraId="1F25AE84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Sharpe/Sortino/MPPM</w:t>
            </w:r>
          </w:p>
        </w:tc>
        <w:tc>
          <w:tcPr>
            <w:tcW w:w="1792" w:type="dxa"/>
          </w:tcPr>
          <w:p w14:paraId="03A4B46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正</w:t>
            </w:r>
          </w:p>
        </w:tc>
        <w:tc>
          <w:tcPr>
            <w:tcW w:w="1792" w:type="dxa"/>
          </w:tcPr>
          <w:p w14:paraId="60AAAC76" w14:textId="5962A23F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风险转化效率与业绩正相关</w:t>
            </w:r>
          </w:p>
        </w:tc>
      </w:tr>
      <w:tr w:rsidR="00E23763" w14:paraId="01E171EA" w14:textId="77777777" w:rsidTr="00E23763">
        <w:trPr>
          <w:jc w:val="center"/>
        </w:trPr>
        <w:tc>
          <w:tcPr>
            <w:tcW w:w="1792" w:type="dxa"/>
          </w:tcPr>
          <w:p w14:paraId="3B0A274B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交易执行</w:t>
            </w:r>
          </w:p>
        </w:tc>
        <w:tc>
          <w:tcPr>
            <w:tcW w:w="1792" w:type="dxa"/>
          </w:tcPr>
          <w:p w14:paraId="0F924084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风格稳定性</w:t>
            </w:r>
          </w:p>
        </w:tc>
        <w:tc>
          <w:tcPr>
            <w:tcW w:w="1867" w:type="dxa"/>
          </w:tcPr>
          <w:p w14:paraId="78C1BA6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策略偏离指数</w:t>
            </w:r>
            <w:r>
              <w:rPr>
                <w:rFonts w:ascii="Times New Roman" w:eastAsia="宋体" w:hAnsi="Times New Roman" w:hint="eastAsia"/>
                <w:sz w:val="18"/>
              </w:rPr>
              <w:t>SDI</w:t>
            </w:r>
          </w:p>
        </w:tc>
        <w:tc>
          <w:tcPr>
            <w:tcW w:w="1792" w:type="dxa"/>
          </w:tcPr>
          <w:p w14:paraId="3B17FE7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负</w:t>
            </w:r>
          </w:p>
        </w:tc>
        <w:tc>
          <w:tcPr>
            <w:tcW w:w="1792" w:type="dxa"/>
          </w:tcPr>
          <w:p w14:paraId="228921C6" w14:textId="1F5CEFCE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风格漂移损害业绩与资金流</w:t>
            </w:r>
          </w:p>
        </w:tc>
      </w:tr>
      <w:tr w:rsidR="00E23763" w14:paraId="48B928FB" w14:textId="77777777" w:rsidTr="00E23763">
        <w:trPr>
          <w:jc w:val="center"/>
        </w:trPr>
        <w:tc>
          <w:tcPr>
            <w:tcW w:w="1792" w:type="dxa"/>
          </w:tcPr>
          <w:p w14:paraId="40DBCE5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交易执行</w:t>
            </w:r>
          </w:p>
        </w:tc>
        <w:tc>
          <w:tcPr>
            <w:tcW w:w="1792" w:type="dxa"/>
          </w:tcPr>
          <w:p w14:paraId="4B87992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交易趋同</w:t>
            </w:r>
          </w:p>
        </w:tc>
        <w:tc>
          <w:tcPr>
            <w:tcW w:w="1867" w:type="dxa"/>
          </w:tcPr>
          <w:p w14:paraId="2C0B4AD4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交易趋同度</w:t>
            </w:r>
            <w:r>
              <w:rPr>
                <w:rFonts w:ascii="Times New Roman" w:eastAsia="宋体" w:hAnsi="Times New Roman" w:hint="eastAsia"/>
                <w:sz w:val="18"/>
              </w:rPr>
              <w:t>LSV</w:t>
            </w:r>
          </w:p>
        </w:tc>
        <w:tc>
          <w:tcPr>
            <w:tcW w:w="1792" w:type="dxa"/>
          </w:tcPr>
          <w:p w14:paraId="484282C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经典负</w:t>
            </w:r>
            <w:r>
              <w:rPr>
                <w:rFonts w:ascii="Times New Roman" w:eastAsia="宋体" w:hAnsi="Times New Roman" w:hint="eastAsia"/>
                <w:sz w:val="18"/>
              </w:rPr>
              <w:t>/</w:t>
            </w:r>
            <w:r>
              <w:rPr>
                <w:rFonts w:ascii="Times New Roman" w:eastAsia="宋体" w:hAnsi="Times New Roman" w:hint="eastAsia"/>
                <w:sz w:val="18"/>
              </w:rPr>
              <w:t>实证正</w:t>
            </w:r>
          </w:p>
        </w:tc>
        <w:tc>
          <w:tcPr>
            <w:tcW w:w="1792" w:type="dxa"/>
          </w:tcPr>
          <w:p w14:paraId="3AA0DFDE" w14:textId="7F2BBDEC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羊群行为影响定价效率；以实证方向为准</w:t>
            </w:r>
          </w:p>
        </w:tc>
      </w:tr>
    </w:tbl>
    <w:p w14:paraId="097C5AFE" w14:textId="737F987F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（二）检验结果</w:t>
      </w:r>
    </w:p>
    <w:p w14:paraId="092F7304" w14:textId="748A6343" w:rsidR="00851A07" w:rsidRDefault="00851A07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先用最朴素的单变量回归：基金层面横截面（</w:t>
      </w:r>
      <w:r w:rsidR="00B6095B">
        <w:rPr>
          <w:rFonts w:ascii="Times New Roman" w:eastAsia="宋体" w:hAnsi="Times New Roman" w:hint="eastAsia"/>
          <w:sz w:val="24"/>
          <w:lang w:eastAsia="zh-CN"/>
        </w:rPr>
        <w:t>回归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I</w:t>
      </w:r>
      <w:r>
        <w:rPr>
          <w:rFonts w:ascii="Times New Roman" w:eastAsia="宋体" w:hAnsi="Times New Roman" w:hint="eastAsia"/>
          <w:sz w:val="24"/>
          <w:lang w:eastAsia="zh-CN"/>
        </w:rPr>
        <w:t>）看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行为越好、业绩越高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是否成立；再用季度面板（</w:t>
      </w:r>
      <w:r w:rsidR="00B6095B">
        <w:rPr>
          <w:rFonts w:ascii="Times New Roman" w:eastAsia="宋体" w:hAnsi="Times New Roman" w:hint="eastAsia"/>
          <w:sz w:val="24"/>
          <w:lang w:eastAsia="zh-CN"/>
        </w:rPr>
        <w:t>回归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II</w:t>
      </w:r>
      <w:r>
        <w:rPr>
          <w:rFonts w:ascii="Times New Roman" w:eastAsia="宋体" w:hAnsi="Times New Roman" w:hint="eastAsia"/>
          <w:sz w:val="24"/>
          <w:lang w:eastAsia="zh-CN"/>
        </w:rPr>
        <w:t>）控制每个季度的市场大环境，看结果是否稳</w:t>
      </w:r>
      <w:r w:rsidR="00B6095B">
        <w:rPr>
          <w:rFonts w:ascii="Times New Roman" w:eastAsia="宋体" w:hAnsi="Times New Roman" w:hint="eastAsia"/>
          <w:sz w:val="24"/>
          <w:lang w:eastAsia="zh-CN"/>
        </w:rPr>
        <w:t>定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166CBA48" w14:textId="7C0EEC1C" w:rsidR="00851A07" w:rsidRDefault="00851A07" w:rsidP="00851A07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</w:rPr>
        <w:t xml:space="preserve">15 </w:t>
      </w:r>
      <w:r>
        <w:rPr>
          <w:rFonts w:ascii="Times New Roman" w:eastAsia="宋体" w:hAnsi="Times New Roman" w:hint="eastAsia"/>
          <w:sz w:val="24"/>
        </w:rPr>
        <w:t>个指标里，</w:t>
      </w:r>
      <w:r>
        <w:rPr>
          <w:rFonts w:ascii="Times New Roman" w:eastAsia="宋体" w:hAnsi="Times New Roman" w:hint="eastAsia"/>
          <w:sz w:val="24"/>
        </w:rPr>
        <w:t xml:space="preserve">12 </w:t>
      </w:r>
      <w:r>
        <w:rPr>
          <w:rFonts w:ascii="Times New Roman" w:eastAsia="宋体" w:hAnsi="Times New Roman" w:hint="eastAsia"/>
          <w:sz w:val="24"/>
        </w:rPr>
        <w:t>个</w:t>
      </w:r>
      <w:r>
        <w:rPr>
          <w:rFonts w:ascii="Times New Roman" w:eastAsia="宋体" w:hAnsi="Times New Roman" w:hint="eastAsia"/>
          <w:sz w:val="24"/>
        </w:rPr>
        <w:t>"</w:t>
      </w:r>
      <w:r>
        <w:rPr>
          <w:rFonts w:ascii="Times New Roman" w:eastAsia="宋体" w:hAnsi="Times New Roman" w:hint="eastAsia"/>
          <w:sz w:val="24"/>
        </w:rPr>
        <w:t>行为指标</w:t>
      </w:r>
      <w:r>
        <w:rPr>
          <w:rFonts w:ascii="Times New Roman" w:eastAsia="宋体" w:hAnsi="Times New Roman" w:hint="eastAsia"/>
          <w:sz w:val="24"/>
        </w:rPr>
        <w:t>"</w:t>
      </w:r>
      <w:r>
        <w:rPr>
          <w:rFonts w:ascii="Times New Roman" w:eastAsia="宋体" w:hAnsi="Times New Roman" w:hint="eastAsia"/>
          <w:sz w:val="24"/>
        </w:rPr>
        <w:t>在横截面口径下全部显著，方向</w:t>
      </w:r>
      <w:r w:rsidR="00E23763">
        <w:rPr>
          <w:rFonts w:ascii="Times New Roman" w:eastAsia="宋体" w:hAnsi="Times New Roman" w:hint="eastAsia"/>
          <w:sz w:val="24"/>
          <w:lang w:eastAsia="zh-CN"/>
        </w:rPr>
        <w:t>与预期一致</w:t>
      </w:r>
      <w:r>
        <w:rPr>
          <w:rFonts w:ascii="Times New Roman" w:eastAsia="宋体" w:hAnsi="Times New Roman" w:hint="eastAsia"/>
          <w:sz w:val="24"/>
        </w:rPr>
        <w:t>——这意味着：敢集中押注的（</w:t>
      </w:r>
      <w:r>
        <w:rPr>
          <w:rFonts w:ascii="Times New Roman" w:eastAsia="宋体" w:hAnsi="Times New Roman" w:hint="eastAsia"/>
          <w:sz w:val="24"/>
        </w:rPr>
        <w:t>ICI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t=+4.43</w:t>
      </w:r>
      <w:r>
        <w:rPr>
          <w:rFonts w:ascii="Times New Roman" w:eastAsia="宋体" w:hAnsi="Times New Roman" w:hint="eastAsia"/>
          <w:sz w:val="24"/>
        </w:rPr>
        <w:t>）、敢在盈利期加码的（</w:t>
      </w:r>
      <w:r>
        <w:rPr>
          <w:rFonts w:ascii="Times New Roman" w:eastAsia="宋体" w:hAnsi="Times New Roman" w:hint="eastAsia"/>
          <w:sz w:val="24"/>
        </w:rPr>
        <w:t>risk_asym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t=+3.10</w:t>
      </w:r>
      <w:r>
        <w:rPr>
          <w:rFonts w:ascii="Times New Roman" w:eastAsia="宋体" w:hAnsi="Times New Roman" w:hint="eastAsia"/>
          <w:sz w:val="24"/>
        </w:rPr>
        <w:t>）、报表外动作多的（</w:t>
      </w:r>
      <w:r>
        <w:rPr>
          <w:rFonts w:ascii="Times New Roman" w:eastAsia="宋体" w:hAnsi="Times New Roman" w:hint="eastAsia"/>
          <w:sz w:val="24"/>
        </w:rPr>
        <w:t>ARG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t=+3.06</w:t>
      </w:r>
      <w:r>
        <w:rPr>
          <w:rFonts w:ascii="Times New Roman" w:eastAsia="宋体" w:hAnsi="Times New Roman" w:hint="eastAsia"/>
          <w:sz w:val="24"/>
        </w:rPr>
        <w:t>）、</w:t>
      </w:r>
      <w:r w:rsidR="00E23763">
        <w:rPr>
          <w:rFonts w:ascii="Times New Roman" w:eastAsia="宋体" w:hAnsi="Times New Roman" w:hint="eastAsia"/>
          <w:sz w:val="24"/>
          <w:lang w:eastAsia="zh-CN"/>
        </w:rPr>
        <w:t>熊</w:t>
      </w:r>
      <w:r>
        <w:rPr>
          <w:rFonts w:ascii="Times New Roman" w:eastAsia="宋体" w:hAnsi="Times New Roman" w:hint="eastAsia"/>
          <w:sz w:val="24"/>
        </w:rPr>
        <w:t>市会防守的（</w:t>
      </w:r>
      <w:r>
        <w:rPr>
          <w:rFonts w:ascii="Times New Roman" w:eastAsia="宋体" w:hAnsi="Times New Roman" w:hint="eastAsia"/>
          <w:sz w:val="24"/>
        </w:rPr>
        <w:t>timing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t=+5.19</w:t>
      </w:r>
      <w:r>
        <w:rPr>
          <w:rFonts w:ascii="Times New Roman" w:eastAsia="宋体" w:hAnsi="Times New Roman" w:hint="eastAsia"/>
          <w:sz w:val="24"/>
        </w:rPr>
        <w:t>）、风险转化效率高的（</w:t>
      </w:r>
      <w:r>
        <w:rPr>
          <w:rFonts w:ascii="Times New Roman" w:eastAsia="宋体" w:hAnsi="Times New Roman" w:hint="eastAsia"/>
          <w:sz w:val="24"/>
        </w:rPr>
        <w:t>MPPM t=+11.22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Sortino t=+5.18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Sharpe t=+7.89</w:t>
      </w:r>
      <w:r>
        <w:rPr>
          <w:rFonts w:ascii="Times New Roman" w:eastAsia="宋体" w:hAnsi="Times New Roman" w:hint="eastAsia"/>
          <w:sz w:val="24"/>
        </w:rPr>
        <w:t>），</w:t>
      </w:r>
      <w:r>
        <w:rPr>
          <w:rFonts w:ascii="Times New Roman" w:eastAsia="宋体" w:hAnsi="Times New Roman" w:hint="eastAsia"/>
          <w:sz w:val="24"/>
        </w:rPr>
        <w:t xml:space="preserve">alpha </w:t>
      </w:r>
      <w:r>
        <w:rPr>
          <w:rFonts w:ascii="Times New Roman" w:eastAsia="宋体" w:hAnsi="Times New Roman" w:hint="eastAsia"/>
          <w:sz w:val="24"/>
        </w:rPr>
        <w:t>显著更高；而有处置效应</w:t>
      </w:r>
      <w:r w:rsidR="00B6095B">
        <w:rPr>
          <w:rStyle w:val="affb"/>
          <w:rFonts w:ascii="Times New Roman" w:eastAsia="宋体" w:hAnsi="Times New Roman"/>
          <w:sz w:val="24"/>
        </w:rPr>
        <w:footnoteReference w:id="1"/>
      </w:r>
      <w:r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de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t=-4.46</w:t>
      </w:r>
      <w:r>
        <w:rPr>
          <w:rFonts w:ascii="Times New Roman" w:eastAsia="宋体" w:hAnsi="Times New Roman" w:hint="eastAsia"/>
          <w:sz w:val="24"/>
        </w:rPr>
        <w:t>）、过度自信（</w:t>
      </w:r>
      <w:r>
        <w:rPr>
          <w:rFonts w:ascii="Times New Roman" w:eastAsia="宋体" w:hAnsi="Times New Roman" w:hint="eastAsia"/>
          <w:sz w:val="24"/>
        </w:rPr>
        <w:t>oc_conf</w:t>
      </w:r>
      <w:r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t=-4.11</w:t>
      </w:r>
      <w:r>
        <w:rPr>
          <w:rFonts w:ascii="Times New Roman" w:eastAsia="宋体" w:hAnsi="Times New Roman" w:hint="eastAsia"/>
          <w:sz w:val="24"/>
        </w:rPr>
        <w:t>）、风格漂移（</w:t>
      </w:r>
      <w:r>
        <w:rPr>
          <w:rFonts w:ascii="Times New Roman" w:eastAsia="宋体" w:hAnsi="Times New Roman" w:hint="eastAsia"/>
          <w:sz w:val="24"/>
        </w:rPr>
        <w:t>ISDI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SDI</w:t>
      </w:r>
      <w:r>
        <w:rPr>
          <w:rFonts w:ascii="Times New Roman" w:eastAsia="宋体" w:hAnsi="Times New Roman" w:hint="eastAsia"/>
          <w:sz w:val="24"/>
        </w:rPr>
        <w:t>）的，</w:t>
      </w:r>
      <w:r>
        <w:rPr>
          <w:rFonts w:ascii="Times New Roman" w:eastAsia="宋体" w:hAnsi="Times New Roman" w:hint="eastAsia"/>
          <w:sz w:val="24"/>
        </w:rPr>
        <w:t xml:space="preserve">alpha </w:t>
      </w:r>
      <w:r>
        <w:rPr>
          <w:rFonts w:ascii="Times New Roman" w:eastAsia="宋体" w:hAnsi="Times New Roman" w:hint="eastAsia"/>
          <w:sz w:val="24"/>
        </w:rPr>
        <w:t>显著更低。</w:t>
      </w:r>
      <w:r>
        <w:rPr>
          <w:rFonts w:ascii="Times New Roman" w:eastAsia="宋体" w:hAnsi="Times New Roman" w:hint="eastAsia"/>
          <w:sz w:val="24"/>
          <w:lang w:eastAsia="zh-CN"/>
        </w:rPr>
        <w:t>另外三个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基本面边界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指标方向全部为负——任职越短、基金越新、规模越小，</w:t>
      </w:r>
      <w:r>
        <w:rPr>
          <w:rFonts w:ascii="Times New Roman" w:eastAsia="宋体" w:hAnsi="Times New Roman" w:hint="eastAsia"/>
          <w:sz w:val="24"/>
          <w:lang w:eastAsia="zh-CN"/>
        </w:rPr>
        <w:t xml:space="preserve">alpha </w:t>
      </w:r>
      <w:r>
        <w:rPr>
          <w:rFonts w:ascii="Times New Roman" w:eastAsia="宋体" w:hAnsi="Times New Roman" w:hint="eastAsia"/>
          <w:sz w:val="24"/>
          <w:lang w:eastAsia="zh-CN"/>
        </w:rPr>
        <w:t>越高，其中基金年龄</w:t>
      </w:r>
      <w:r w:rsidR="00E23763">
        <w:rPr>
          <w:rFonts w:ascii="Times New Roman" w:eastAsia="宋体" w:hAnsi="Times New Roman" w:hint="eastAsia"/>
          <w:sz w:val="24"/>
          <w:lang w:eastAsia="zh-CN"/>
        </w:rPr>
        <w:t>解释力最强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  <w:r w:rsidR="00E23763">
        <w:rPr>
          <w:rFonts w:ascii="Times New Roman" w:eastAsia="宋体" w:hAnsi="Times New Roman"/>
          <w:sz w:val="24"/>
          <w:lang w:eastAsia="zh-CN"/>
        </w:rPr>
        <w:t>该结果与</w:t>
      </w:r>
      <w:r w:rsidR="00E23763">
        <w:rPr>
          <w:rFonts w:ascii="Times New Roman" w:eastAsia="宋体" w:hAnsi="Times New Roman"/>
          <w:sz w:val="24"/>
          <w:lang w:eastAsia="zh-CN"/>
        </w:rPr>
        <w:t>"</w:t>
      </w:r>
      <w:r w:rsidR="00E23763">
        <w:rPr>
          <w:rFonts w:ascii="Times New Roman" w:eastAsia="宋体" w:hAnsi="Times New Roman"/>
          <w:sz w:val="24"/>
          <w:lang w:eastAsia="zh-CN"/>
        </w:rPr>
        <w:t>职业关注激励</w:t>
      </w:r>
      <w:r w:rsidR="00E23763">
        <w:rPr>
          <w:rFonts w:ascii="Times New Roman" w:eastAsia="宋体" w:hAnsi="Times New Roman"/>
          <w:sz w:val="24"/>
          <w:lang w:eastAsia="zh-CN"/>
        </w:rPr>
        <w:t>"</w:t>
      </w:r>
      <w:r w:rsidR="00E23763">
        <w:rPr>
          <w:rFonts w:ascii="Times New Roman" w:eastAsia="宋体" w:hAnsi="Times New Roman"/>
          <w:sz w:val="24"/>
          <w:lang w:eastAsia="zh-CN"/>
        </w:rPr>
        <w:t>及</w:t>
      </w:r>
      <w:r w:rsidR="00E23763">
        <w:rPr>
          <w:rFonts w:ascii="Times New Roman" w:eastAsia="宋体" w:hAnsi="Times New Roman"/>
          <w:sz w:val="24"/>
          <w:lang w:eastAsia="zh-CN"/>
        </w:rPr>
        <w:t>"</w:t>
      </w:r>
      <w:r w:rsidR="00E23763">
        <w:rPr>
          <w:rFonts w:ascii="Times New Roman" w:eastAsia="宋体" w:hAnsi="Times New Roman"/>
          <w:sz w:val="24"/>
          <w:lang w:eastAsia="zh-CN"/>
        </w:rPr>
        <w:t>规模不经济</w:t>
      </w:r>
      <w:r w:rsidR="00E23763">
        <w:rPr>
          <w:rFonts w:ascii="Times New Roman" w:eastAsia="宋体" w:hAnsi="Times New Roman"/>
          <w:sz w:val="24"/>
          <w:lang w:eastAsia="zh-CN"/>
        </w:rPr>
        <w:t>"</w:t>
      </w:r>
      <w:r w:rsidR="00E23763">
        <w:rPr>
          <w:rFonts w:ascii="Times New Roman" w:eastAsia="宋体" w:hAnsi="Times New Roman"/>
          <w:sz w:val="24"/>
          <w:lang w:eastAsia="zh-CN"/>
        </w:rPr>
        <w:t>的理论预期一致。</w:t>
      </w:r>
    </w:p>
    <w:p w14:paraId="0125A709" w14:textId="77777777" w:rsidR="002641CF" w:rsidRDefault="00000000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表</w:t>
      </w:r>
      <w:r>
        <w:rPr>
          <w:rFonts w:ascii="Times New Roman" w:eastAsia="黑体" w:hAnsi="Times New Roman"/>
          <w:sz w:val="21"/>
          <w:lang w:eastAsia="zh-CN"/>
        </w:rPr>
        <w:t xml:space="preserve"> 3  15 </w:t>
      </w:r>
      <w:r>
        <w:rPr>
          <w:rFonts w:ascii="Times New Roman" w:eastAsia="黑体" w:hAnsi="Times New Roman"/>
          <w:sz w:val="21"/>
          <w:lang w:eastAsia="zh-CN"/>
        </w:rPr>
        <w:t>个成分指标的单变量显著性结果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2641CF" w14:paraId="2D159AF9" w14:textId="77777777">
        <w:trPr>
          <w:jc w:val="center"/>
        </w:trPr>
        <w:tc>
          <w:tcPr>
            <w:tcW w:w="1792" w:type="dxa"/>
          </w:tcPr>
          <w:p w14:paraId="1C85BAE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层级</w:t>
            </w:r>
          </w:p>
        </w:tc>
        <w:tc>
          <w:tcPr>
            <w:tcW w:w="1792" w:type="dxa"/>
          </w:tcPr>
          <w:p w14:paraId="515FA6A1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指标</w:t>
            </w:r>
          </w:p>
        </w:tc>
        <w:tc>
          <w:tcPr>
            <w:tcW w:w="1792" w:type="dxa"/>
          </w:tcPr>
          <w:p w14:paraId="5D883FBF" w14:textId="4DA1B8A3" w:rsidR="002641CF" w:rsidRDefault="00B6095B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sz w:val="18"/>
                <w:lang w:eastAsia="zh-CN"/>
              </w:rPr>
              <w:t>回归方法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I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（横截面）</w:t>
            </w:r>
          </w:p>
        </w:tc>
        <w:tc>
          <w:tcPr>
            <w:tcW w:w="1792" w:type="dxa"/>
          </w:tcPr>
          <w:p w14:paraId="4F026F08" w14:textId="7A4788F0" w:rsidR="002641CF" w:rsidRDefault="00B6095B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sz w:val="18"/>
                <w:lang w:eastAsia="zh-CN"/>
              </w:rPr>
              <w:t>回归方法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II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（面板）</w:t>
            </w:r>
          </w:p>
        </w:tc>
        <w:tc>
          <w:tcPr>
            <w:tcW w:w="1792" w:type="dxa"/>
          </w:tcPr>
          <w:p w14:paraId="2B6A6E48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经济含义</w:t>
            </w:r>
          </w:p>
        </w:tc>
      </w:tr>
      <w:tr w:rsidR="002641CF" w14:paraId="15970429" w14:textId="77777777">
        <w:trPr>
          <w:jc w:val="center"/>
        </w:trPr>
        <w:tc>
          <w:tcPr>
            <w:tcW w:w="1792" w:type="dxa"/>
          </w:tcPr>
          <w:p w14:paraId="30E6FBA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边界</w:t>
            </w:r>
          </w:p>
        </w:tc>
        <w:tc>
          <w:tcPr>
            <w:tcW w:w="1792" w:type="dxa"/>
          </w:tcPr>
          <w:p w14:paraId="285019AB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任职年限</w:t>
            </w:r>
          </w:p>
        </w:tc>
        <w:tc>
          <w:tcPr>
            <w:tcW w:w="1792" w:type="dxa"/>
          </w:tcPr>
          <w:p w14:paraId="23F5883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t=-1.85*</w:t>
            </w:r>
          </w:p>
        </w:tc>
        <w:tc>
          <w:tcPr>
            <w:tcW w:w="1792" w:type="dxa"/>
          </w:tcPr>
          <w:p w14:paraId="1D7790A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  <w:r>
              <w:rPr>
                <w:rFonts w:ascii="Times New Roman" w:eastAsia="宋体" w:hAnsi="Times New Roman"/>
                <w:sz w:val="18"/>
              </w:rPr>
              <w:t>（控制层）</w:t>
            </w:r>
          </w:p>
        </w:tc>
        <w:tc>
          <w:tcPr>
            <w:tcW w:w="1792" w:type="dxa"/>
          </w:tcPr>
          <w:p w14:paraId="0EF62FDE" w14:textId="05924008" w:rsidR="002641CF" w:rsidRDefault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任职越久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alpha </w:t>
            </w:r>
            <w:r>
              <w:rPr>
                <w:rFonts w:ascii="Times New Roman" w:eastAsia="宋体" w:hAnsi="Times New Roman" w:hint="eastAsia"/>
                <w:sz w:val="18"/>
              </w:rPr>
              <w:t>反而越低</w:t>
            </w:r>
          </w:p>
        </w:tc>
      </w:tr>
      <w:tr w:rsidR="002641CF" w14:paraId="11B35002" w14:textId="77777777">
        <w:trPr>
          <w:jc w:val="center"/>
        </w:trPr>
        <w:tc>
          <w:tcPr>
            <w:tcW w:w="1792" w:type="dxa"/>
          </w:tcPr>
          <w:p w14:paraId="5D87485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边界</w:t>
            </w:r>
          </w:p>
        </w:tc>
        <w:tc>
          <w:tcPr>
            <w:tcW w:w="1792" w:type="dxa"/>
          </w:tcPr>
          <w:p w14:paraId="29EE712B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log</w:t>
            </w:r>
            <w:r>
              <w:rPr>
                <w:rFonts w:ascii="Times New Roman" w:eastAsia="宋体" w:hAnsi="Times New Roman"/>
                <w:sz w:val="18"/>
              </w:rPr>
              <w:t>基金年龄</w:t>
            </w:r>
          </w:p>
        </w:tc>
        <w:tc>
          <w:tcPr>
            <w:tcW w:w="1792" w:type="dxa"/>
          </w:tcPr>
          <w:p w14:paraId="3B78505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t=-4.13***</w:t>
            </w:r>
          </w:p>
        </w:tc>
        <w:tc>
          <w:tcPr>
            <w:tcW w:w="1792" w:type="dxa"/>
          </w:tcPr>
          <w:p w14:paraId="11B0068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  <w:r>
              <w:rPr>
                <w:rFonts w:ascii="Times New Roman" w:eastAsia="宋体" w:hAnsi="Times New Roman"/>
                <w:sz w:val="18"/>
              </w:rPr>
              <w:t>（控制层）</w:t>
            </w:r>
          </w:p>
        </w:tc>
        <w:tc>
          <w:tcPr>
            <w:tcW w:w="1792" w:type="dxa"/>
          </w:tcPr>
          <w:p w14:paraId="28F67355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新基金</w:t>
            </w:r>
            <w:r>
              <w:rPr>
                <w:rFonts w:ascii="Times New Roman" w:eastAsia="宋体" w:hAnsi="Times New Roman"/>
                <w:sz w:val="18"/>
              </w:rPr>
              <w:t xml:space="preserve"> alpha </w:t>
            </w:r>
            <w:r>
              <w:rPr>
                <w:rFonts w:ascii="Times New Roman" w:eastAsia="宋体" w:hAnsi="Times New Roman"/>
                <w:sz w:val="18"/>
              </w:rPr>
              <w:t>更高</w:t>
            </w:r>
          </w:p>
        </w:tc>
      </w:tr>
      <w:tr w:rsidR="00E23763" w14:paraId="773F52F2" w14:textId="77777777">
        <w:trPr>
          <w:jc w:val="center"/>
        </w:trPr>
        <w:tc>
          <w:tcPr>
            <w:tcW w:w="1792" w:type="dxa"/>
          </w:tcPr>
          <w:p w14:paraId="2711252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边界</w:t>
            </w:r>
          </w:p>
        </w:tc>
        <w:tc>
          <w:tcPr>
            <w:tcW w:w="1792" w:type="dxa"/>
          </w:tcPr>
          <w:p w14:paraId="57CC485A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log</w:t>
            </w:r>
            <w:r>
              <w:rPr>
                <w:rFonts w:ascii="Times New Roman" w:eastAsia="宋体" w:hAnsi="Times New Roman"/>
                <w:sz w:val="18"/>
              </w:rPr>
              <w:t>基金规模</w:t>
            </w:r>
          </w:p>
        </w:tc>
        <w:tc>
          <w:tcPr>
            <w:tcW w:w="1792" w:type="dxa"/>
          </w:tcPr>
          <w:p w14:paraId="53007B1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t=-1.16</w:t>
            </w:r>
          </w:p>
        </w:tc>
        <w:tc>
          <w:tcPr>
            <w:tcW w:w="1792" w:type="dxa"/>
          </w:tcPr>
          <w:p w14:paraId="547EE564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  <w:r>
              <w:rPr>
                <w:rFonts w:ascii="Times New Roman" w:eastAsia="宋体" w:hAnsi="Times New Roman"/>
                <w:sz w:val="18"/>
              </w:rPr>
              <w:t>（控制层）</w:t>
            </w:r>
          </w:p>
        </w:tc>
        <w:tc>
          <w:tcPr>
            <w:tcW w:w="1792" w:type="dxa"/>
          </w:tcPr>
          <w:p w14:paraId="23330479" w14:textId="079DCE2E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</w:rPr>
              <w:t>规模越小</w:t>
            </w:r>
            <w:r>
              <w:rPr>
                <w:rFonts w:ascii="Times New Roman" w:eastAsia="宋体" w:hAnsi="Times New Roman" w:hint="eastAsia"/>
                <w:sz w:val="18"/>
              </w:rPr>
              <w:t xml:space="preserve"> alpha </w:t>
            </w:r>
            <w:r>
              <w:rPr>
                <w:rFonts w:ascii="Times New Roman" w:eastAsia="宋体" w:hAnsi="Times New Roman" w:hint="eastAsia"/>
                <w:sz w:val="18"/>
              </w:rPr>
              <w:t>越高</w:t>
            </w:r>
          </w:p>
        </w:tc>
      </w:tr>
      <w:tr w:rsidR="00E23763" w14:paraId="6D456F03" w14:textId="77777777">
        <w:trPr>
          <w:jc w:val="center"/>
        </w:trPr>
        <w:tc>
          <w:tcPr>
            <w:tcW w:w="1792" w:type="dxa"/>
          </w:tcPr>
          <w:p w14:paraId="535E089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选择</w:t>
            </w:r>
          </w:p>
        </w:tc>
        <w:tc>
          <w:tcPr>
            <w:tcW w:w="1792" w:type="dxa"/>
          </w:tcPr>
          <w:p w14:paraId="597BB037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行业集中度</w:t>
            </w:r>
            <w:r>
              <w:rPr>
                <w:rFonts w:ascii="Times New Roman" w:eastAsia="宋体" w:hAnsi="Times New Roman"/>
                <w:sz w:val="18"/>
              </w:rPr>
              <w:t>ICI</w:t>
            </w:r>
          </w:p>
        </w:tc>
        <w:tc>
          <w:tcPr>
            <w:tcW w:w="1792" w:type="dxa"/>
          </w:tcPr>
          <w:p w14:paraId="79240C63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t=+4.43***</w:t>
            </w:r>
          </w:p>
        </w:tc>
        <w:tc>
          <w:tcPr>
            <w:tcW w:w="1792" w:type="dxa"/>
          </w:tcPr>
          <w:p w14:paraId="76FC2D1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t=+8.80***</w:t>
            </w:r>
          </w:p>
        </w:tc>
        <w:tc>
          <w:tcPr>
            <w:tcW w:w="1792" w:type="dxa"/>
          </w:tcPr>
          <w:p w14:paraId="4359F62A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集中押注</w:t>
            </w:r>
            <w:r>
              <w:rPr>
                <w:rFonts w:ascii="Times New Roman" w:eastAsia="宋体" w:hAnsi="Times New Roman"/>
                <w:sz w:val="18"/>
              </w:rPr>
              <w:t>=</w:t>
            </w:r>
            <w:r>
              <w:rPr>
                <w:rFonts w:ascii="Times New Roman" w:eastAsia="宋体" w:hAnsi="Times New Roman"/>
                <w:sz w:val="18"/>
              </w:rPr>
              <w:t>信息优势</w:t>
            </w:r>
          </w:p>
        </w:tc>
      </w:tr>
      <w:tr w:rsidR="00E23763" w14:paraId="0DA6AB09" w14:textId="77777777">
        <w:trPr>
          <w:jc w:val="center"/>
        </w:trPr>
        <w:tc>
          <w:tcPr>
            <w:tcW w:w="1792" w:type="dxa"/>
          </w:tcPr>
          <w:p w14:paraId="1BC0CA6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选择</w:t>
            </w:r>
          </w:p>
        </w:tc>
        <w:tc>
          <w:tcPr>
            <w:tcW w:w="1792" w:type="dxa"/>
          </w:tcPr>
          <w:p w14:paraId="4E2215F4" w14:textId="77777777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行业风格漂移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ISDI</w:t>
            </w:r>
          </w:p>
        </w:tc>
        <w:tc>
          <w:tcPr>
            <w:tcW w:w="1792" w:type="dxa"/>
          </w:tcPr>
          <w:p w14:paraId="0CB11C7E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t=-3.33***</w:t>
            </w:r>
          </w:p>
        </w:tc>
        <w:tc>
          <w:tcPr>
            <w:tcW w:w="1792" w:type="dxa"/>
          </w:tcPr>
          <w:p w14:paraId="019EC201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t=-5.77***</w:t>
            </w:r>
          </w:p>
        </w:tc>
        <w:tc>
          <w:tcPr>
            <w:tcW w:w="1792" w:type="dxa"/>
          </w:tcPr>
          <w:p w14:paraId="428544A1" w14:textId="7FA64666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sz w:val="18"/>
              </w:rPr>
              <w:t>风格横跳伤业绩</w:t>
            </w:r>
          </w:p>
        </w:tc>
      </w:tr>
      <w:tr w:rsidR="00E23763" w14:paraId="0DEF446B" w14:textId="77777777">
        <w:trPr>
          <w:jc w:val="center"/>
        </w:trPr>
        <w:tc>
          <w:tcPr>
            <w:tcW w:w="1792" w:type="dxa"/>
          </w:tcPr>
          <w:p w14:paraId="4DFC2F5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</w:t>
            </w:r>
          </w:p>
        </w:tc>
        <w:tc>
          <w:tcPr>
            <w:tcW w:w="1792" w:type="dxa"/>
          </w:tcPr>
          <w:p w14:paraId="5EB109D9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风险偏好不对称</w:t>
            </w:r>
            <w:r>
              <w:rPr>
                <w:rFonts w:ascii="Times New Roman" w:eastAsia="宋体" w:hAnsi="Times New Roman"/>
                <w:sz w:val="18"/>
              </w:rPr>
              <w:t>risk_asym</w:t>
            </w:r>
          </w:p>
        </w:tc>
        <w:tc>
          <w:tcPr>
            <w:tcW w:w="1792" w:type="dxa"/>
          </w:tcPr>
          <w:p w14:paraId="48D3C39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t=+3.10***</w:t>
            </w:r>
          </w:p>
        </w:tc>
        <w:tc>
          <w:tcPr>
            <w:tcW w:w="1792" w:type="dxa"/>
          </w:tcPr>
          <w:p w14:paraId="7F03580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t=+11.68***</w:t>
            </w:r>
          </w:p>
        </w:tc>
        <w:tc>
          <w:tcPr>
            <w:tcW w:w="1792" w:type="dxa"/>
          </w:tcPr>
          <w:p w14:paraId="3E564058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盈攻亏守为正向贡献</w:t>
            </w:r>
          </w:p>
        </w:tc>
      </w:tr>
      <w:tr w:rsidR="00E23763" w14:paraId="22DE627E" w14:textId="77777777">
        <w:trPr>
          <w:jc w:val="center"/>
        </w:trPr>
        <w:tc>
          <w:tcPr>
            <w:tcW w:w="1792" w:type="dxa"/>
          </w:tcPr>
          <w:p w14:paraId="2F20652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</w:t>
            </w:r>
          </w:p>
        </w:tc>
        <w:tc>
          <w:tcPr>
            <w:tcW w:w="1792" w:type="dxa"/>
          </w:tcPr>
          <w:p w14:paraId="08D68B47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处置效应</w:t>
            </w:r>
            <w:r>
              <w:rPr>
                <w:rFonts w:ascii="Times New Roman" w:eastAsia="宋体" w:hAnsi="Times New Roman"/>
                <w:sz w:val="18"/>
              </w:rPr>
              <w:t>de</w:t>
            </w:r>
          </w:p>
        </w:tc>
        <w:tc>
          <w:tcPr>
            <w:tcW w:w="1792" w:type="dxa"/>
          </w:tcPr>
          <w:p w14:paraId="29A9D60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t=-4.46***</w:t>
            </w:r>
          </w:p>
        </w:tc>
        <w:tc>
          <w:tcPr>
            <w:tcW w:w="1792" w:type="dxa"/>
          </w:tcPr>
          <w:p w14:paraId="7385472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t=-10.17***</w:t>
            </w:r>
          </w:p>
        </w:tc>
        <w:tc>
          <w:tcPr>
            <w:tcW w:w="1792" w:type="dxa"/>
          </w:tcPr>
          <w:p w14:paraId="5B067C60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处置倾向损害业绩</w:t>
            </w:r>
          </w:p>
        </w:tc>
      </w:tr>
      <w:tr w:rsidR="00E23763" w14:paraId="2D920740" w14:textId="77777777">
        <w:trPr>
          <w:jc w:val="center"/>
        </w:trPr>
        <w:tc>
          <w:tcPr>
            <w:tcW w:w="1792" w:type="dxa"/>
          </w:tcPr>
          <w:p w14:paraId="487539A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认知</w:t>
            </w:r>
          </w:p>
        </w:tc>
        <w:tc>
          <w:tcPr>
            <w:tcW w:w="1792" w:type="dxa"/>
          </w:tcPr>
          <w:p w14:paraId="543209F2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过度自信</w:t>
            </w:r>
            <w:r>
              <w:rPr>
                <w:rFonts w:ascii="Times New Roman" w:eastAsia="宋体" w:hAnsi="Times New Roman"/>
                <w:sz w:val="18"/>
              </w:rPr>
              <w:t>oc_conf</w:t>
            </w:r>
          </w:p>
        </w:tc>
        <w:tc>
          <w:tcPr>
            <w:tcW w:w="1792" w:type="dxa"/>
          </w:tcPr>
          <w:p w14:paraId="1EB464EE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t=-4.11***</w:t>
            </w:r>
          </w:p>
        </w:tc>
        <w:tc>
          <w:tcPr>
            <w:tcW w:w="1792" w:type="dxa"/>
          </w:tcPr>
          <w:p w14:paraId="0990B40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t=-0.47</w:t>
            </w:r>
          </w:p>
        </w:tc>
        <w:tc>
          <w:tcPr>
            <w:tcW w:w="1792" w:type="dxa"/>
          </w:tcPr>
          <w:p w14:paraId="0F57923E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过度交易损害业绩</w:t>
            </w:r>
          </w:p>
        </w:tc>
      </w:tr>
      <w:tr w:rsidR="00E23763" w14:paraId="1EC64EB4" w14:textId="77777777">
        <w:trPr>
          <w:jc w:val="center"/>
        </w:trPr>
        <w:tc>
          <w:tcPr>
            <w:tcW w:w="1792" w:type="dxa"/>
          </w:tcPr>
          <w:p w14:paraId="562CFAF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过程应对</w:t>
            </w:r>
          </w:p>
        </w:tc>
        <w:tc>
          <w:tcPr>
            <w:tcW w:w="1792" w:type="dxa"/>
          </w:tcPr>
          <w:p w14:paraId="16A4B1F8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调仓幅度</w:t>
            </w:r>
            <w:r>
              <w:rPr>
                <w:rFonts w:ascii="Times New Roman" w:eastAsia="宋体" w:hAnsi="Times New Roman"/>
                <w:sz w:val="18"/>
              </w:rPr>
              <w:t>ARG</w:t>
            </w:r>
          </w:p>
        </w:tc>
        <w:tc>
          <w:tcPr>
            <w:tcW w:w="1792" w:type="dxa"/>
          </w:tcPr>
          <w:p w14:paraId="474C4193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t=+3.06***</w:t>
            </w:r>
          </w:p>
        </w:tc>
        <w:tc>
          <w:tcPr>
            <w:tcW w:w="1792" w:type="dxa"/>
          </w:tcPr>
          <w:p w14:paraId="537C6D02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t=+14.87***</w:t>
            </w:r>
          </w:p>
        </w:tc>
        <w:tc>
          <w:tcPr>
            <w:tcW w:w="1792" w:type="dxa"/>
          </w:tcPr>
          <w:p w14:paraId="676EBFF0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披露外操作预示能力</w:t>
            </w:r>
          </w:p>
        </w:tc>
      </w:tr>
      <w:tr w:rsidR="00E23763" w14:paraId="7BF203EA" w14:textId="77777777">
        <w:trPr>
          <w:jc w:val="center"/>
        </w:trPr>
        <w:tc>
          <w:tcPr>
            <w:tcW w:w="1792" w:type="dxa"/>
          </w:tcPr>
          <w:p w14:paraId="38C6142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过程应对</w:t>
            </w:r>
          </w:p>
        </w:tc>
        <w:tc>
          <w:tcPr>
            <w:tcW w:w="1792" w:type="dxa"/>
          </w:tcPr>
          <w:p w14:paraId="2200D273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下行保护</w:t>
            </w:r>
            <w:r>
              <w:rPr>
                <w:rFonts w:ascii="Times New Roman" w:eastAsia="宋体" w:hAnsi="Times New Roman"/>
                <w:sz w:val="18"/>
              </w:rPr>
              <w:t>timing</w:t>
            </w:r>
          </w:p>
        </w:tc>
        <w:tc>
          <w:tcPr>
            <w:tcW w:w="1792" w:type="dxa"/>
          </w:tcPr>
          <w:p w14:paraId="14963FE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t=+5.19***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n=355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631F18C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  <w:r>
              <w:rPr>
                <w:rFonts w:ascii="Times New Roman" w:eastAsia="宋体" w:hAnsi="Times New Roman"/>
                <w:sz w:val="18"/>
              </w:rPr>
              <w:t>（年度口径）</w:t>
            </w:r>
          </w:p>
        </w:tc>
        <w:tc>
          <w:tcPr>
            <w:tcW w:w="1792" w:type="dxa"/>
          </w:tcPr>
          <w:p w14:paraId="3B064E2E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下行防御提升业绩</w:t>
            </w:r>
          </w:p>
        </w:tc>
      </w:tr>
      <w:tr w:rsidR="00E23763" w14:paraId="446BF7BA" w14:textId="77777777">
        <w:trPr>
          <w:jc w:val="center"/>
        </w:trPr>
        <w:tc>
          <w:tcPr>
            <w:tcW w:w="1792" w:type="dxa"/>
          </w:tcPr>
          <w:p w14:paraId="0E8D139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效率</w:t>
            </w:r>
          </w:p>
        </w:tc>
        <w:tc>
          <w:tcPr>
            <w:tcW w:w="1792" w:type="dxa"/>
          </w:tcPr>
          <w:p w14:paraId="5535F4DA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MPPM</w:t>
            </w:r>
            <w:r>
              <w:rPr>
                <w:rFonts w:ascii="Times New Roman" w:eastAsia="宋体" w:hAnsi="Times New Roman"/>
                <w:sz w:val="18"/>
              </w:rPr>
              <w:t>（滞后）</w:t>
            </w:r>
          </w:p>
        </w:tc>
        <w:tc>
          <w:tcPr>
            <w:tcW w:w="1792" w:type="dxa"/>
          </w:tcPr>
          <w:p w14:paraId="11FF3D58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t=+11.22***</w:t>
            </w:r>
          </w:p>
        </w:tc>
        <w:tc>
          <w:tcPr>
            <w:tcW w:w="1792" w:type="dxa"/>
          </w:tcPr>
          <w:p w14:paraId="07E10CE6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t=+4.92***</w:t>
            </w:r>
          </w:p>
        </w:tc>
        <w:tc>
          <w:tcPr>
            <w:tcW w:w="1792" w:type="dxa"/>
          </w:tcPr>
          <w:p w14:paraId="5FB8824F" w14:textId="275059CD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抗操纵业绩越好</w:t>
            </w: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 xml:space="preserve"> alpha </w:t>
            </w: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越高</w:t>
            </w:r>
          </w:p>
        </w:tc>
      </w:tr>
      <w:tr w:rsidR="00E23763" w14:paraId="7C2F7B2E" w14:textId="77777777">
        <w:trPr>
          <w:jc w:val="center"/>
        </w:trPr>
        <w:tc>
          <w:tcPr>
            <w:tcW w:w="1792" w:type="dxa"/>
          </w:tcPr>
          <w:p w14:paraId="7D0B6B0A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效率</w:t>
            </w:r>
          </w:p>
        </w:tc>
        <w:tc>
          <w:tcPr>
            <w:tcW w:w="1792" w:type="dxa"/>
          </w:tcPr>
          <w:p w14:paraId="3A1661FC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Sortino</w:t>
            </w:r>
            <w:r>
              <w:rPr>
                <w:rFonts w:ascii="Times New Roman" w:eastAsia="宋体" w:hAnsi="Times New Roman"/>
                <w:sz w:val="18"/>
              </w:rPr>
              <w:t>比率（滞后）</w:t>
            </w:r>
          </w:p>
        </w:tc>
        <w:tc>
          <w:tcPr>
            <w:tcW w:w="1792" w:type="dxa"/>
          </w:tcPr>
          <w:p w14:paraId="07B9C410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t=+5.18***</w:t>
            </w:r>
          </w:p>
        </w:tc>
        <w:tc>
          <w:tcPr>
            <w:tcW w:w="1792" w:type="dxa"/>
          </w:tcPr>
          <w:p w14:paraId="7CA3402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t=+5.38***</w:t>
            </w:r>
          </w:p>
        </w:tc>
        <w:tc>
          <w:tcPr>
            <w:tcW w:w="1792" w:type="dxa"/>
          </w:tcPr>
          <w:p w14:paraId="1DE1D830" w14:textId="19576019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sz w:val="18"/>
              </w:rPr>
              <w:t>下行风险换收益越好</w:t>
            </w:r>
          </w:p>
        </w:tc>
      </w:tr>
      <w:tr w:rsidR="00E23763" w14:paraId="4F84283C" w14:textId="77777777">
        <w:trPr>
          <w:jc w:val="center"/>
        </w:trPr>
        <w:tc>
          <w:tcPr>
            <w:tcW w:w="1792" w:type="dxa"/>
          </w:tcPr>
          <w:p w14:paraId="44959A6F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效率</w:t>
            </w:r>
          </w:p>
        </w:tc>
        <w:tc>
          <w:tcPr>
            <w:tcW w:w="1792" w:type="dxa"/>
          </w:tcPr>
          <w:p w14:paraId="3A525E94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Sharpe</w:t>
            </w:r>
            <w:r>
              <w:rPr>
                <w:rFonts w:ascii="Times New Roman" w:eastAsia="宋体" w:hAnsi="Times New Roman"/>
                <w:sz w:val="18"/>
              </w:rPr>
              <w:t>比率（滞后）</w:t>
            </w:r>
          </w:p>
        </w:tc>
        <w:tc>
          <w:tcPr>
            <w:tcW w:w="1792" w:type="dxa"/>
          </w:tcPr>
          <w:p w14:paraId="05032DD5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t=+7.89***</w:t>
            </w:r>
          </w:p>
        </w:tc>
        <w:tc>
          <w:tcPr>
            <w:tcW w:w="1792" w:type="dxa"/>
          </w:tcPr>
          <w:p w14:paraId="66020497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t=+3.00***</w:t>
            </w:r>
          </w:p>
        </w:tc>
        <w:tc>
          <w:tcPr>
            <w:tcW w:w="1792" w:type="dxa"/>
          </w:tcPr>
          <w:p w14:paraId="7677083E" w14:textId="6BE062D2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sz w:val="18"/>
              </w:rPr>
              <w:t>总风险换收益越好</w:t>
            </w:r>
          </w:p>
        </w:tc>
      </w:tr>
      <w:tr w:rsidR="00E23763" w14:paraId="64A249B1" w14:textId="77777777">
        <w:trPr>
          <w:jc w:val="center"/>
        </w:trPr>
        <w:tc>
          <w:tcPr>
            <w:tcW w:w="1792" w:type="dxa"/>
          </w:tcPr>
          <w:p w14:paraId="1C086D6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</w:t>
            </w:r>
          </w:p>
        </w:tc>
        <w:tc>
          <w:tcPr>
            <w:tcW w:w="1792" w:type="dxa"/>
          </w:tcPr>
          <w:p w14:paraId="0A5AAA18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策略偏离指数</w:t>
            </w:r>
            <w:r>
              <w:rPr>
                <w:rFonts w:ascii="Times New Roman" w:eastAsia="宋体" w:hAnsi="Times New Roman"/>
                <w:sz w:val="18"/>
              </w:rPr>
              <w:t>SDI</w:t>
            </w:r>
          </w:p>
        </w:tc>
        <w:tc>
          <w:tcPr>
            <w:tcW w:w="1792" w:type="dxa"/>
          </w:tcPr>
          <w:p w14:paraId="533C16BC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t=-2.12**</w:t>
            </w:r>
          </w:p>
        </w:tc>
        <w:tc>
          <w:tcPr>
            <w:tcW w:w="1792" w:type="dxa"/>
          </w:tcPr>
          <w:p w14:paraId="43411718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t=-3.99***</w:t>
            </w:r>
          </w:p>
        </w:tc>
        <w:tc>
          <w:tcPr>
            <w:tcW w:w="1792" w:type="dxa"/>
          </w:tcPr>
          <w:p w14:paraId="331FC3AB" w14:textId="5A19704E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 w:hint="eastAsia"/>
                <w:sz w:val="18"/>
              </w:rPr>
              <w:t>风格漂移伤业绩</w:t>
            </w:r>
          </w:p>
        </w:tc>
      </w:tr>
      <w:tr w:rsidR="00E23763" w14:paraId="56660149" w14:textId="77777777">
        <w:trPr>
          <w:jc w:val="center"/>
        </w:trPr>
        <w:tc>
          <w:tcPr>
            <w:tcW w:w="1792" w:type="dxa"/>
          </w:tcPr>
          <w:p w14:paraId="40F1EB95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交易</w:t>
            </w:r>
          </w:p>
        </w:tc>
        <w:tc>
          <w:tcPr>
            <w:tcW w:w="1792" w:type="dxa"/>
          </w:tcPr>
          <w:p w14:paraId="1BE79CA1" w14:textId="77777777" w:rsidR="00E23763" w:rsidRDefault="00E23763" w:rsidP="00E23763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交易趋同度</w:t>
            </w:r>
            <w:r>
              <w:rPr>
                <w:rFonts w:ascii="Times New Roman" w:eastAsia="宋体" w:hAnsi="Times New Roman"/>
                <w:sz w:val="18"/>
              </w:rPr>
              <w:t>LSV</w:t>
            </w:r>
          </w:p>
        </w:tc>
        <w:tc>
          <w:tcPr>
            <w:tcW w:w="1792" w:type="dxa"/>
          </w:tcPr>
          <w:p w14:paraId="1F709CBD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t=+1.99**</w:t>
            </w:r>
          </w:p>
        </w:tc>
        <w:tc>
          <w:tcPr>
            <w:tcW w:w="1792" w:type="dxa"/>
          </w:tcPr>
          <w:p w14:paraId="3E39C6BE" w14:textId="77777777" w:rsidR="00E23763" w:rsidRDefault="00E23763" w:rsidP="00E23763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t=+1.19</w:t>
            </w:r>
          </w:p>
        </w:tc>
        <w:tc>
          <w:tcPr>
            <w:tcW w:w="1792" w:type="dxa"/>
          </w:tcPr>
          <w:p w14:paraId="498A36D2" w14:textId="498E3937" w:rsidR="00E23763" w:rsidRDefault="00E23763" w:rsidP="00E23763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8"/>
                <w:lang w:eastAsia="zh-CN"/>
              </w:rPr>
              <w:t>交易趋同是正的（与经典理论相反）</w:t>
            </w:r>
          </w:p>
        </w:tc>
      </w:tr>
    </w:tbl>
    <w:p w14:paraId="224C360C" w14:textId="151FA808" w:rsidR="002641CF" w:rsidRDefault="00000000">
      <w:pPr>
        <w:spacing w:after="160" w:line="360" w:lineRule="auto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>注：</w:t>
      </w:r>
      <w:r>
        <w:rPr>
          <w:rFonts w:ascii="Times New Roman" w:eastAsia="宋体" w:hAnsi="Times New Roman"/>
          <w:sz w:val="18"/>
          <w:lang w:eastAsia="zh-CN"/>
        </w:rPr>
        <w:t>***</w:t>
      </w:r>
      <w:r>
        <w:rPr>
          <w:rFonts w:ascii="Times New Roman" w:eastAsia="宋体" w:hAnsi="Times New Roman"/>
          <w:sz w:val="18"/>
          <w:lang w:eastAsia="zh-CN"/>
        </w:rPr>
        <w:t>、</w:t>
      </w:r>
      <w:r>
        <w:rPr>
          <w:rFonts w:ascii="Times New Roman" w:eastAsia="宋体" w:hAnsi="Times New Roman"/>
          <w:sz w:val="18"/>
          <w:lang w:eastAsia="zh-CN"/>
        </w:rPr>
        <w:t>**</w:t>
      </w:r>
      <w:r>
        <w:rPr>
          <w:rFonts w:ascii="Times New Roman" w:eastAsia="宋体" w:hAnsi="Times New Roman"/>
          <w:sz w:val="18"/>
          <w:lang w:eastAsia="zh-CN"/>
        </w:rPr>
        <w:t>、</w:t>
      </w:r>
      <w:r>
        <w:rPr>
          <w:rFonts w:ascii="Times New Roman" w:eastAsia="宋体" w:hAnsi="Times New Roman"/>
          <w:sz w:val="18"/>
          <w:lang w:eastAsia="zh-CN"/>
        </w:rPr>
        <w:t>*</w:t>
      </w:r>
      <w:r>
        <w:rPr>
          <w:rFonts w:ascii="Times New Roman" w:eastAsia="宋体" w:hAnsi="Times New Roman"/>
          <w:sz w:val="18"/>
          <w:lang w:eastAsia="zh-CN"/>
        </w:rPr>
        <w:t>分别表示在</w:t>
      </w:r>
      <w:r>
        <w:rPr>
          <w:rFonts w:ascii="Times New Roman" w:eastAsia="宋体" w:hAnsi="Times New Roman"/>
          <w:sz w:val="18"/>
          <w:lang w:eastAsia="zh-CN"/>
        </w:rPr>
        <w:t xml:space="preserve"> 1%</w:t>
      </w:r>
      <w:r>
        <w:rPr>
          <w:rFonts w:ascii="Times New Roman" w:eastAsia="宋体" w:hAnsi="Times New Roman"/>
          <w:sz w:val="18"/>
          <w:lang w:eastAsia="zh-CN"/>
        </w:rPr>
        <w:t>、</w:t>
      </w:r>
      <w:r>
        <w:rPr>
          <w:rFonts w:ascii="Times New Roman" w:eastAsia="宋体" w:hAnsi="Times New Roman"/>
          <w:sz w:val="18"/>
          <w:lang w:eastAsia="zh-CN"/>
        </w:rPr>
        <w:t>5%</w:t>
      </w:r>
      <w:r>
        <w:rPr>
          <w:rFonts w:ascii="Times New Roman" w:eastAsia="宋体" w:hAnsi="Times New Roman"/>
          <w:sz w:val="18"/>
          <w:lang w:eastAsia="zh-CN"/>
        </w:rPr>
        <w:t>、</w:t>
      </w:r>
      <w:r>
        <w:rPr>
          <w:rFonts w:ascii="Times New Roman" w:eastAsia="宋体" w:hAnsi="Times New Roman"/>
          <w:sz w:val="18"/>
          <w:lang w:eastAsia="zh-CN"/>
        </w:rPr>
        <w:t xml:space="preserve">10% </w:t>
      </w:r>
      <w:r>
        <w:rPr>
          <w:rFonts w:ascii="Times New Roman" w:eastAsia="宋体" w:hAnsi="Times New Roman"/>
          <w:sz w:val="18"/>
          <w:lang w:eastAsia="zh-CN"/>
        </w:rPr>
        <w:t>水平上显著。</w:t>
      </w:r>
      <w:r w:rsidR="00B44CD7">
        <w:rPr>
          <w:rFonts w:ascii="Times New Roman" w:eastAsia="宋体" w:hAnsi="Times New Roman" w:hint="eastAsia"/>
          <w:sz w:val="18"/>
          <w:lang w:eastAsia="zh-CN"/>
        </w:rPr>
        <w:t>回归方法</w:t>
      </w:r>
      <w:r>
        <w:rPr>
          <w:rFonts w:ascii="Times New Roman" w:eastAsia="宋体" w:hAnsi="Times New Roman"/>
          <w:sz w:val="18"/>
          <w:lang w:eastAsia="zh-CN"/>
        </w:rPr>
        <w:t xml:space="preserve"> I </w:t>
      </w:r>
      <w:r>
        <w:rPr>
          <w:rFonts w:ascii="Times New Roman" w:eastAsia="宋体" w:hAnsi="Times New Roman"/>
          <w:sz w:val="18"/>
          <w:lang w:eastAsia="zh-CN"/>
        </w:rPr>
        <w:t>为基金层横截面回归，控制任职年限、基金年龄与规模；</w:t>
      </w:r>
      <w:r w:rsidR="00B44CD7">
        <w:rPr>
          <w:rFonts w:ascii="Times New Roman" w:eastAsia="宋体" w:hAnsi="Times New Roman" w:hint="eastAsia"/>
          <w:sz w:val="18"/>
          <w:lang w:eastAsia="zh-CN"/>
        </w:rPr>
        <w:t>回归方法</w:t>
      </w:r>
      <w:r>
        <w:rPr>
          <w:rFonts w:ascii="Times New Roman" w:eastAsia="宋体" w:hAnsi="Times New Roman"/>
          <w:sz w:val="18"/>
          <w:lang w:eastAsia="zh-CN"/>
        </w:rPr>
        <w:t xml:space="preserve"> II </w:t>
      </w:r>
      <w:r>
        <w:rPr>
          <w:rFonts w:ascii="Times New Roman" w:eastAsia="宋体" w:hAnsi="Times New Roman"/>
          <w:sz w:val="18"/>
          <w:lang w:eastAsia="zh-CN"/>
        </w:rPr>
        <w:t>为季度面板回归，控制季度固定效应。</w:t>
      </w:r>
      <w:r>
        <w:rPr>
          <w:rFonts w:ascii="Times New Roman" w:eastAsia="宋体" w:hAnsi="Times New Roman"/>
          <w:sz w:val="18"/>
          <w:lang w:eastAsia="zh-CN"/>
        </w:rPr>
        <w:t xml:space="preserve">timing </w:t>
      </w:r>
      <w:r>
        <w:rPr>
          <w:rFonts w:ascii="Times New Roman" w:eastAsia="宋体" w:hAnsi="Times New Roman"/>
          <w:sz w:val="18"/>
          <w:lang w:eastAsia="zh-CN"/>
        </w:rPr>
        <w:t>系数来自</w:t>
      </w:r>
      <w:r>
        <w:rPr>
          <w:rFonts w:ascii="Times New Roman" w:eastAsia="宋体" w:hAnsi="Times New Roman"/>
          <w:sz w:val="18"/>
          <w:lang w:eastAsia="zh-CN"/>
        </w:rPr>
        <w:t xml:space="preserve"> Henriksson-Merton </w:t>
      </w:r>
      <w:r>
        <w:rPr>
          <w:rFonts w:ascii="Times New Roman" w:eastAsia="宋体" w:hAnsi="Times New Roman"/>
          <w:sz w:val="18"/>
          <w:lang w:eastAsia="zh-CN"/>
        </w:rPr>
        <w:t>分段回归，并入</w:t>
      </w:r>
      <w:r w:rsidR="00B44CD7">
        <w:rPr>
          <w:rFonts w:ascii="Times New Roman" w:eastAsia="宋体" w:hAnsi="Times New Roman" w:hint="eastAsia"/>
          <w:sz w:val="18"/>
          <w:lang w:eastAsia="zh-CN"/>
        </w:rPr>
        <w:t>回归方法</w:t>
      </w:r>
      <w:r>
        <w:rPr>
          <w:rFonts w:ascii="Times New Roman" w:eastAsia="宋体" w:hAnsi="Times New Roman"/>
          <w:sz w:val="18"/>
          <w:lang w:eastAsia="zh-CN"/>
        </w:rPr>
        <w:t xml:space="preserve"> I </w:t>
      </w:r>
      <w:r>
        <w:rPr>
          <w:rFonts w:ascii="Times New Roman" w:eastAsia="宋体" w:hAnsi="Times New Roman"/>
          <w:sz w:val="18"/>
          <w:lang w:eastAsia="zh-CN"/>
        </w:rPr>
        <w:t>报告。</w:t>
      </w:r>
    </w:p>
    <w:p w14:paraId="60C22CBF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（三）指标筛选的稳健性说明</w:t>
      </w:r>
    </w:p>
    <w:p w14:paraId="6BEDC233" w14:textId="77777777" w:rsidR="00810BFF" w:rsidRDefault="00000000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进入画像体系的指标须同时满足方向稳定、显著性稳健与群体差异显著三项标准，</w:t>
      </w:r>
      <w:r w:rsidR="00E23763">
        <w:rPr>
          <w:rFonts w:ascii="Times New Roman" w:eastAsia="宋体" w:hAnsi="Times New Roman" w:hint="eastAsia"/>
          <w:sz w:val="24"/>
          <w:lang w:eastAsia="zh-CN"/>
        </w:rPr>
        <w:t>即符号在不同口径间来回翻转、显著性要依赖控制变量、或者好经理和差经理没有差异的，将予以剔除。</w:t>
      </w:r>
      <w:r>
        <w:rPr>
          <w:rFonts w:ascii="Times New Roman" w:eastAsia="宋体" w:hAnsi="Times New Roman"/>
          <w:sz w:val="24"/>
          <w:lang w:eastAsia="zh-CN"/>
        </w:rPr>
        <w:t>据此，四项候选指标被排除：（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）改进主动份额（</w:t>
      </w:r>
      <w:r>
        <w:rPr>
          <w:rFonts w:ascii="Times New Roman" w:eastAsia="宋体" w:hAnsi="Times New Roman"/>
          <w:sz w:val="24"/>
          <w:lang w:eastAsia="zh-CN"/>
        </w:rPr>
        <w:t>AS_improved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系数符号在不同口径间翻转：横截面全模型显著为负（</w:t>
      </w:r>
      <w:r>
        <w:rPr>
          <w:rFonts w:ascii="Times New Roman" w:eastAsia="宋体" w:hAnsi="Times New Roman"/>
          <w:sz w:val="24"/>
          <w:lang w:eastAsia="zh-CN"/>
        </w:rPr>
        <w:t>t=-3.06</w:t>
      </w:r>
      <w:r>
        <w:rPr>
          <w:rFonts w:ascii="Times New Roman" w:eastAsia="宋体" w:hAnsi="Times New Roman"/>
          <w:sz w:val="24"/>
          <w:lang w:eastAsia="zh-CN"/>
        </w:rPr>
        <w:t>）而季度面板单变量显著为正（</w:t>
      </w:r>
      <w:r>
        <w:rPr>
          <w:rFonts w:ascii="Times New Roman" w:eastAsia="宋体" w:hAnsi="Times New Roman"/>
          <w:sz w:val="24"/>
          <w:lang w:eastAsia="zh-CN"/>
        </w:rPr>
        <w:t>t=+5.33</w:t>
      </w:r>
      <w:r>
        <w:rPr>
          <w:rFonts w:ascii="Times New Roman" w:eastAsia="宋体" w:hAnsi="Times New Roman"/>
          <w:sz w:val="24"/>
          <w:lang w:eastAsia="zh-CN"/>
        </w:rPr>
        <w:t>），且显著性依赖是否控制规模与年龄，表明其捕捉的主要是规模效应而非主动管理程度；六道检验见表</w:t>
      </w:r>
      <w:r>
        <w:rPr>
          <w:rFonts w:ascii="Times New Roman" w:eastAsia="宋体" w:hAnsi="Times New Roman"/>
          <w:sz w:val="24"/>
          <w:lang w:eastAsia="zh-CN"/>
        </w:rPr>
        <w:t xml:space="preserve"> 4</w:t>
      </w:r>
      <w:r>
        <w:rPr>
          <w:rFonts w:ascii="Times New Roman" w:eastAsia="宋体" w:hAnsi="Times New Roman"/>
          <w:sz w:val="24"/>
          <w:lang w:eastAsia="zh-CN"/>
        </w:rPr>
        <w:t>，与</w:t>
      </w:r>
      <w:r>
        <w:rPr>
          <w:rFonts w:ascii="Times New Roman" w:eastAsia="宋体" w:hAnsi="Times New Roman"/>
          <w:sz w:val="24"/>
          <w:lang w:eastAsia="zh-CN"/>
        </w:rPr>
        <w:t xml:space="preserve"> Frazzini </w:t>
      </w:r>
      <w:r>
        <w:rPr>
          <w:rFonts w:ascii="Times New Roman" w:eastAsia="宋体" w:hAnsi="Times New Roman"/>
          <w:sz w:val="24"/>
          <w:lang w:eastAsia="zh-CN"/>
        </w:rPr>
        <w:t>等（</w:t>
      </w:r>
      <w:r>
        <w:rPr>
          <w:rFonts w:ascii="Times New Roman" w:eastAsia="宋体" w:hAnsi="Times New Roman"/>
          <w:sz w:val="24"/>
          <w:lang w:eastAsia="zh-CN"/>
        </w:rPr>
        <w:t>2016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去激活主动份额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的结论一致。（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）换手率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双口径均不显著。（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）追涨杀跌指标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样本覆盖率仅</w:t>
      </w:r>
      <w:r>
        <w:rPr>
          <w:rFonts w:ascii="Times New Roman" w:eastAsia="宋体" w:hAnsi="Times New Roman"/>
          <w:sz w:val="24"/>
          <w:lang w:eastAsia="zh-CN"/>
        </w:rPr>
        <w:t xml:space="preserve"> 53.5%</w:t>
      </w:r>
      <w:r>
        <w:rPr>
          <w:rFonts w:ascii="Times New Roman" w:eastAsia="宋体" w:hAnsi="Times New Roman"/>
          <w:sz w:val="24"/>
          <w:lang w:eastAsia="zh-CN"/>
        </w:rPr>
        <w:t>，数据基础不足。（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）风险稳定性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与收益波动率相关系数达</w:t>
      </w:r>
      <w:r>
        <w:rPr>
          <w:rFonts w:ascii="Times New Roman" w:eastAsia="宋体" w:hAnsi="Times New Roman"/>
          <w:sz w:val="24"/>
          <w:lang w:eastAsia="zh-CN"/>
        </w:rPr>
        <w:t xml:space="preserve"> -0.749</w:t>
      </w:r>
      <w:r>
        <w:rPr>
          <w:rFonts w:ascii="Times New Roman" w:eastAsia="宋体" w:hAnsi="Times New Roman"/>
          <w:sz w:val="24"/>
          <w:lang w:eastAsia="zh-CN"/>
        </w:rPr>
        <w:t>，正交化后不再显著。</w:t>
      </w:r>
    </w:p>
    <w:p w14:paraId="33F77DC8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（四）维度复合与业绩预测</w:t>
      </w:r>
    </w:p>
    <w:p w14:paraId="38A11EB9" w14:textId="67A2DDA7" w:rsidR="002641CF" w:rsidRPr="00810BFF" w:rsidRDefault="00000000" w:rsidP="00810BFF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通过筛选的指标</w:t>
      </w:r>
      <w:r w:rsidR="00810BFF">
        <w:rPr>
          <w:rFonts w:ascii="Times New Roman" w:eastAsia="宋体" w:hAnsi="Times New Roman" w:hint="eastAsia"/>
          <w:sz w:val="24"/>
          <w:lang w:eastAsia="zh-CN"/>
        </w:rPr>
        <w:t>标准化和等权</w:t>
      </w:r>
      <w:r>
        <w:rPr>
          <w:rFonts w:ascii="Times New Roman" w:eastAsia="宋体" w:hAnsi="Times New Roman"/>
          <w:sz w:val="24"/>
          <w:lang w:eastAsia="zh-CN"/>
        </w:rPr>
        <w:t>复合为综合能力得分（</w:t>
      </w:r>
      <w:r>
        <w:rPr>
          <w:rFonts w:ascii="Times New Roman" w:eastAsia="宋体" w:hAnsi="Times New Roman"/>
          <w:sz w:val="24"/>
          <w:lang w:eastAsia="zh-CN"/>
        </w:rPr>
        <w:t xml:space="preserve">L4 </w:t>
      </w:r>
      <w:r>
        <w:rPr>
          <w:rFonts w:ascii="Times New Roman" w:eastAsia="宋体" w:hAnsi="Times New Roman"/>
          <w:sz w:val="24"/>
          <w:lang w:eastAsia="zh-CN"/>
        </w:rPr>
        <w:t>层拆分为过程应对与转化效率两个维度）。</w:t>
      </w:r>
      <w:r w:rsidR="00810BFF">
        <w:rPr>
          <w:rFonts w:ascii="Times New Roman" w:eastAsia="宋体" w:hAnsi="Times New Roman" w:hint="eastAsia"/>
          <w:sz w:val="24"/>
          <w:lang w:eastAsia="zh-CN"/>
        </w:rPr>
        <w:t>结果（表</w:t>
      </w:r>
      <w:r w:rsidR="00810BFF">
        <w:rPr>
          <w:rFonts w:ascii="Times New Roman" w:eastAsia="宋体" w:hAnsi="Times New Roman" w:hint="eastAsia"/>
          <w:sz w:val="24"/>
          <w:lang w:eastAsia="zh-CN"/>
        </w:rPr>
        <w:t xml:space="preserve"> 5</w:t>
      </w:r>
      <w:r w:rsidR="00810BFF">
        <w:rPr>
          <w:rFonts w:ascii="Times New Roman" w:eastAsia="宋体" w:hAnsi="Times New Roman" w:hint="eastAsia"/>
          <w:sz w:val="24"/>
          <w:lang w:eastAsia="zh-CN"/>
        </w:rPr>
        <w:t>）非常直观：六个维度单独看全部显著为正，综合能力分对</w:t>
      </w:r>
      <w:r w:rsidR="00810BFF">
        <w:rPr>
          <w:rFonts w:ascii="Times New Roman" w:eastAsia="宋体" w:hAnsi="Times New Roman" w:hint="eastAsia"/>
          <w:sz w:val="24"/>
          <w:lang w:eastAsia="zh-CN"/>
        </w:rPr>
        <w:t xml:space="preserve"> alpha </w:t>
      </w:r>
      <w:r w:rsidR="00810BFF">
        <w:rPr>
          <w:rFonts w:ascii="Times New Roman" w:eastAsia="宋体" w:hAnsi="Times New Roman" w:hint="eastAsia"/>
          <w:sz w:val="24"/>
          <w:lang w:eastAsia="zh-CN"/>
        </w:rPr>
        <w:t>的回归系数</w:t>
      </w:r>
      <w:r w:rsidR="00810BFF">
        <w:rPr>
          <w:rFonts w:ascii="Times New Roman" w:eastAsia="宋体" w:hAnsi="Times New Roman" w:hint="eastAsia"/>
          <w:sz w:val="24"/>
          <w:lang w:eastAsia="zh-CN"/>
        </w:rPr>
        <w:t xml:space="preserve"> 0.0425</w:t>
      </w:r>
      <w:r w:rsidR="00810BFF">
        <w:rPr>
          <w:rFonts w:ascii="Times New Roman" w:eastAsia="宋体" w:hAnsi="Times New Roman" w:hint="eastAsia"/>
          <w:sz w:val="24"/>
          <w:lang w:eastAsia="zh-CN"/>
        </w:rPr>
        <w:t>（</w:t>
      </w:r>
      <w:r w:rsidR="00810BFF">
        <w:rPr>
          <w:rFonts w:ascii="Times New Roman" w:eastAsia="宋体" w:hAnsi="Times New Roman" w:hint="eastAsia"/>
          <w:sz w:val="24"/>
          <w:lang w:eastAsia="zh-CN"/>
        </w:rPr>
        <w:t>t=11.40</w:t>
      </w:r>
      <w:r w:rsidR="00810BFF">
        <w:rPr>
          <w:rFonts w:ascii="Times New Roman" w:eastAsia="宋体" w:hAnsi="Times New Roman" w:hint="eastAsia"/>
          <w:sz w:val="24"/>
          <w:lang w:eastAsia="zh-CN"/>
        </w:rPr>
        <w:t>），单维解释力最高接近</w:t>
      </w:r>
      <w:r w:rsidR="00810BFF">
        <w:rPr>
          <w:rFonts w:ascii="Times New Roman" w:eastAsia="宋体" w:hAnsi="Times New Roman" w:hint="eastAsia"/>
          <w:sz w:val="24"/>
          <w:lang w:eastAsia="zh-CN"/>
        </w:rPr>
        <w:t xml:space="preserve"> 40%</w:t>
      </w:r>
      <w:r w:rsidR="00810BFF">
        <w:rPr>
          <w:rFonts w:ascii="Times New Roman" w:eastAsia="宋体" w:hAnsi="Times New Roman" w:hint="eastAsia"/>
          <w:sz w:val="24"/>
          <w:lang w:eastAsia="zh-CN"/>
        </w:rPr>
        <w:t>。六维一起进模型时，转化效率（</w:t>
      </w:r>
      <w:r w:rsidR="00810BFF">
        <w:rPr>
          <w:rFonts w:ascii="Times New Roman" w:eastAsia="宋体" w:hAnsi="Times New Roman" w:hint="eastAsia"/>
          <w:sz w:val="24"/>
          <w:lang w:eastAsia="zh-CN"/>
        </w:rPr>
        <w:t>L4b</w:t>
      </w:r>
      <w:r w:rsidR="00810BFF">
        <w:rPr>
          <w:rFonts w:ascii="Times New Roman" w:eastAsia="宋体" w:hAnsi="Times New Roman" w:hint="eastAsia"/>
          <w:sz w:val="24"/>
          <w:lang w:eastAsia="zh-CN"/>
        </w:rPr>
        <w:t>）系数最大（</w:t>
      </w:r>
      <w:r w:rsidR="00810BFF">
        <w:rPr>
          <w:rFonts w:ascii="Times New Roman" w:eastAsia="宋体" w:hAnsi="Times New Roman" w:hint="eastAsia"/>
          <w:sz w:val="24"/>
        </w:rPr>
        <w:t>β</w:t>
      </w:r>
      <w:r w:rsidR="00810BFF">
        <w:rPr>
          <w:rFonts w:ascii="Times New Roman" w:eastAsia="宋体" w:hAnsi="Times New Roman" w:hint="eastAsia"/>
          <w:sz w:val="24"/>
          <w:lang w:eastAsia="zh-CN"/>
        </w:rPr>
        <w:t>=0.0132</w:t>
      </w:r>
      <w:r w:rsidR="00810BFF">
        <w:rPr>
          <w:rFonts w:ascii="Times New Roman" w:eastAsia="宋体" w:hAnsi="Times New Roman" w:hint="eastAsia"/>
          <w:sz w:val="24"/>
          <w:lang w:eastAsia="zh-CN"/>
        </w:rPr>
        <w:t>，</w:t>
      </w:r>
      <w:r w:rsidR="00810BFF">
        <w:rPr>
          <w:rFonts w:ascii="Times New Roman" w:eastAsia="宋体" w:hAnsi="Times New Roman" w:hint="eastAsia"/>
          <w:sz w:val="24"/>
          <w:lang w:eastAsia="zh-CN"/>
        </w:rPr>
        <w:t>t=5.50</w:t>
      </w:r>
      <w:r w:rsidR="00810BFF">
        <w:rPr>
          <w:rFonts w:ascii="Times New Roman" w:eastAsia="宋体" w:hAnsi="Times New Roman" w:hint="eastAsia"/>
          <w:sz w:val="24"/>
          <w:lang w:eastAsia="zh-CN"/>
        </w:rPr>
        <w:t>），</w:t>
      </w:r>
      <w:r>
        <w:rPr>
          <w:rFonts w:ascii="Times New Roman" w:eastAsia="宋体" w:hAnsi="Times New Roman"/>
          <w:sz w:val="24"/>
          <w:lang w:eastAsia="zh-CN"/>
        </w:rPr>
        <w:t>交易执行与基本面边界</w:t>
      </w:r>
      <w:r>
        <w:rPr>
          <w:rFonts w:ascii="Times New Roman" w:eastAsia="宋体" w:hAnsi="Times New Roman"/>
          <w:sz w:val="24"/>
          <w:lang w:eastAsia="zh-CN"/>
        </w:rPr>
        <w:lastRenderedPageBreak/>
        <w:t>因与其他维度信息重叠而联立不显著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规模与年龄的作用主要经由行为维度间接传导。维度间相关系数最高</w:t>
      </w:r>
      <w:r>
        <w:rPr>
          <w:rFonts w:ascii="Times New Roman" w:eastAsia="宋体" w:hAnsi="Times New Roman"/>
          <w:sz w:val="24"/>
          <w:lang w:eastAsia="zh-CN"/>
        </w:rPr>
        <w:t xml:space="preserve"> 0.589</w:t>
      </w:r>
      <w:r>
        <w:rPr>
          <w:rFonts w:ascii="Times New Roman" w:eastAsia="宋体" w:hAnsi="Times New Roman"/>
          <w:sz w:val="24"/>
          <w:lang w:eastAsia="zh-CN"/>
        </w:rPr>
        <w:t>、最低</w:t>
      </w:r>
      <w:r>
        <w:rPr>
          <w:rFonts w:ascii="Times New Roman" w:eastAsia="宋体" w:hAnsi="Times New Roman"/>
          <w:sz w:val="24"/>
          <w:lang w:eastAsia="zh-CN"/>
        </w:rPr>
        <w:t xml:space="preserve"> 0.183</w:t>
      </w:r>
      <w:r>
        <w:rPr>
          <w:rFonts w:ascii="Times New Roman" w:eastAsia="宋体" w:hAnsi="Times New Roman"/>
          <w:sz w:val="24"/>
          <w:lang w:eastAsia="zh-CN"/>
        </w:rPr>
        <w:t>，不存在严重共线性（图</w:t>
      </w:r>
      <w:r>
        <w:rPr>
          <w:rFonts w:ascii="Times New Roman" w:eastAsia="宋体" w:hAnsi="Times New Roman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sz w:val="24"/>
          <w:lang w:eastAsia="zh-CN"/>
        </w:rPr>
        <w:t>）。</w:t>
      </w:r>
    </w:p>
    <w:p w14:paraId="18247A79" w14:textId="77777777" w:rsidR="002641C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A917E88" wp14:editId="4AB0128E">
            <wp:extent cx="4680000" cy="3799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六维相关系数热力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9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3093" w14:textId="77777777" w:rsidR="002641CF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图</w:t>
      </w:r>
      <w:r>
        <w:rPr>
          <w:rFonts w:ascii="Times New Roman" w:eastAsia="黑体" w:hAnsi="Times New Roman"/>
          <w:sz w:val="21"/>
          <w:lang w:eastAsia="zh-CN"/>
        </w:rPr>
        <w:t xml:space="preserve"> 1  </w:t>
      </w:r>
      <w:r>
        <w:rPr>
          <w:rFonts w:ascii="Times New Roman" w:eastAsia="黑体" w:hAnsi="Times New Roman"/>
          <w:sz w:val="21"/>
          <w:lang w:eastAsia="zh-CN"/>
        </w:rPr>
        <w:t>六个计分维度的两两相关系数热力图</w:t>
      </w:r>
    </w:p>
    <w:p w14:paraId="73034F37" w14:textId="77777777" w:rsidR="002641CF" w:rsidRDefault="00000000">
      <w:pPr>
        <w:spacing w:after="80" w:line="360" w:lineRule="auto"/>
        <w:jc w:val="center"/>
      </w:pPr>
      <w:r>
        <w:rPr>
          <w:rFonts w:ascii="Times New Roman" w:eastAsia="黑体" w:hAnsi="Times New Roman"/>
          <w:sz w:val="21"/>
        </w:rPr>
        <w:t>表</w:t>
      </w:r>
      <w:r>
        <w:rPr>
          <w:rFonts w:ascii="Times New Roman" w:eastAsia="黑体" w:hAnsi="Times New Roman"/>
          <w:sz w:val="21"/>
        </w:rPr>
        <w:t xml:space="preserve"> 5  </w:t>
      </w:r>
      <w:r>
        <w:rPr>
          <w:rFonts w:ascii="Times New Roman" w:eastAsia="黑体" w:hAnsi="Times New Roman"/>
          <w:sz w:val="21"/>
        </w:rPr>
        <w:t>能力复合得分对</w:t>
      </w:r>
      <w:r>
        <w:rPr>
          <w:rFonts w:ascii="Times New Roman" w:eastAsia="黑体" w:hAnsi="Times New Roman"/>
          <w:sz w:val="21"/>
        </w:rPr>
        <w:t xml:space="preserve"> FF5 alpha </w:t>
      </w:r>
      <w:r>
        <w:rPr>
          <w:rFonts w:ascii="Times New Roman" w:eastAsia="黑体" w:hAnsi="Times New Roman"/>
          <w:sz w:val="21"/>
        </w:rPr>
        <w:t>的回归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1493"/>
        <w:gridCol w:w="1493"/>
        <w:gridCol w:w="1493"/>
        <w:gridCol w:w="1493"/>
        <w:gridCol w:w="1493"/>
      </w:tblGrid>
      <w:tr w:rsidR="002641CF" w14:paraId="3A06FF7A" w14:textId="77777777">
        <w:trPr>
          <w:jc w:val="center"/>
        </w:trPr>
        <w:tc>
          <w:tcPr>
            <w:tcW w:w="1493" w:type="dxa"/>
          </w:tcPr>
          <w:p w14:paraId="6102ECAF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维度</w:t>
            </w:r>
          </w:p>
        </w:tc>
        <w:tc>
          <w:tcPr>
            <w:tcW w:w="1493" w:type="dxa"/>
          </w:tcPr>
          <w:p w14:paraId="483EF19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单维系数</w:t>
            </w:r>
          </w:p>
        </w:tc>
        <w:tc>
          <w:tcPr>
            <w:tcW w:w="1493" w:type="dxa"/>
          </w:tcPr>
          <w:p w14:paraId="31C6AC3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单维</w:t>
            </w:r>
            <w:r>
              <w:rPr>
                <w:rFonts w:ascii="Times New Roman" w:eastAsia="宋体" w:hAnsi="Times New Roman"/>
                <w:b/>
                <w:sz w:val="18"/>
              </w:rPr>
              <w:t>t</w:t>
            </w:r>
          </w:p>
        </w:tc>
        <w:tc>
          <w:tcPr>
            <w:tcW w:w="1493" w:type="dxa"/>
          </w:tcPr>
          <w:p w14:paraId="2DC9473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单维</w:t>
            </w:r>
            <w:r>
              <w:rPr>
                <w:rFonts w:ascii="Times New Roman" w:eastAsia="宋体" w:hAnsi="Times New Roman"/>
                <w:b/>
                <w:sz w:val="18"/>
              </w:rPr>
              <w:t>R²</w:t>
            </w:r>
          </w:p>
        </w:tc>
        <w:tc>
          <w:tcPr>
            <w:tcW w:w="1493" w:type="dxa"/>
          </w:tcPr>
          <w:p w14:paraId="1DBEF52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联立系数</w:t>
            </w:r>
          </w:p>
        </w:tc>
        <w:tc>
          <w:tcPr>
            <w:tcW w:w="1493" w:type="dxa"/>
          </w:tcPr>
          <w:p w14:paraId="41CEEA8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联立</w:t>
            </w:r>
            <w:r>
              <w:rPr>
                <w:rFonts w:ascii="Times New Roman" w:eastAsia="宋体" w:hAnsi="Times New Roman"/>
                <w:b/>
                <w:sz w:val="18"/>
              </w:rPr>
              <w:t>t</w:t>
            </w:r>
          </w:p>
        </w:tc>
      </w:tr>
      <w:tr w:rsidR="002641CF" w14:paraId="5F53EDB1" w14:textId="77777777">
        <w:trPr>
          <w:jc w:val="center"/>
        </w:trPr>
        <w:tc>
          <w:tcPr>
            <w:tcW w:w="1493" w:type="dxa"/>
          </w:tcPr>
          <w:p w14:paraId="3983B008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基本面边界（</w:t>
            </w:r>
            <w:r>
              <w:rPr>
                <w:rFonts w:ascii="Times New Roman" w:eastAsia="宋体" w:hAnsi="Times New Roman"/>
                <w:sz w:val="18"/>
              </w:rPr>
              <w:t>L1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0C04EC0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0.0040</w:t>
            </w:r>
          </w:p>
        </w:tc>
        <w:tc>
          <w:tcPr>
            <w:tcW w:w="1493" w:type="dxa"/>
          </w:tcPr>
          <w:p w14:paraId="33DFF9E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2.86***</w:t>
            </w:r>
          </w:p>
        </w:tc>
        <w:tc>
          <w:tcPr>
            <w:tcW w:w="1493" w:type="dxa"/>
          </w:tcPr>
          <w:p w14:paraId="3282C43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0.0222</w:t>
            </w:r>
          </w:p>
        </w:tc>
        <w:tc>
          <w:tcPr>
            <w:tcW w:w="1493" w:type="dxa"/>
          </w:tcPr>
          <w:p w14:paraId="5DAE861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-1.80e-04</w:t>
            </w:r>
          </w:p>
        </w:tc>
        <w:tc>
          <w:tcPr>
            <w:tcW w:w="1493" w:type="dxa"/>
          </w:tcPr>
          <w:p w14:paraId="0B5BE45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-0.17</w:t>
            </w:r>
          </w:p>
        </w:tc>
      </w:tr>
      <w:tr w:rsidR="002641CF" w14:paraId="3305DE20" w14:textId="77777777">
        <w:trPr>
          <w:jc w:val="center"/>
        </w:trPr>
        <w:tc>
          <w:tcPr>
            <w:tcW w:w="1493" w:type="dxa"/>
          </w:tcPr>
          <w:p w14:paraId="31D28475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认知偏差（</w:t>
            </w:r>
            <w:r>
              <w:rPr>
                <w:rFonts w:ascii="Times New Roman" w:eastAsia="宋体" w:hAnsi="Times New Roman"/>
                <w:sz w:val="18"/>
              </w:rPr>
              <w:t>L2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7430383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0.0171</w:t>
            </w:r>
          </w:p>
        </w:tc>
        <w:tc>
          <w:tcPr>
            <w:tcW w:w="1493" w:type="dxa"/>
          </w:tcPr>
          <w:p w14:paraId="78E9B3A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7.69***</w:t>
            </w:r>
          </w:p>
        </w:tc>
        <w:tc>
          <w:tcPr>
            <w:tcW w:w="1493" w:type="dxa"/>
          </w:tcPr>
          <w:p w14:paraId="389D07E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0.1984</w:t>
            </w:r>
          </w:p>
        </w:tc>
        <w:tc>
          <w:tcPr>
            <w:tcW w:w="1493" w:type="dxa"/>
          </w:tcPr>
          <w:p w14:paraId="7B45B9E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0.0083</w:t>
            </w:r>
          </w:p>
        </w:tc>
        <w:tc>
          <w:tcPr>
            <w:tcW w:w="1493" w:type="dxa"/>
          </w:tcPr>
          <w:p w14:paraId="3CF8E21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4.00***</w:t>
            </w:r>
          </w:p>
        </w:tc>
      </w:tr>
      <w:tr w:rsidR="002641CF" w14:paraId="1EC3F7B3" w14:textId="77777777">
        <w:trPr>
          <w:jc w:val="center"/>
        </w:trPr>
        <w:tc>
          <w:tcPr>
            <w:tcW w:w="1493" w:type="dxa"/>
          </w:tcPr>
          <w:p w14:paraId="032748B2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选择偏好（</w:t>
            </w:r>
            <w:r>
              <w:rPr>
                <w:rFonts w:ascii="Times New Roman" w:eastAsia="宋体" w:hAnsi="Times New Roman"/>
                <w:sz w:val="18"/>
              </w:rPr>
              <w:t>L3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151C8AB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0.0065</w:t>
            </w:r>
          </w:p>
        </w:tc>
        <w:tc>
          <w:tcPr>
            <w:tcW w:w="1493" w:type="dxa"/>
          </w:tcPr>
          <w:p w14:paraId="03015A5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4.22***</w:t>
            </w:r>
          </w:p>
        </w:tc>
        <w:tc>
          <w:tcPr>
            <w:tcW w:w="1493" w:type="dxa"/>
          </w:tcPr>
          <w:p w14:paraId="65F42C6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0.1202</w:t>
            </w:r>
          </w:p>
        </w:tc>
        <w:tc>
          <w:tcPr>
            <w:tcW w:w="1493" w:type="dxa"/>
          </w:tcPr>
          <w:p w14:paraId="6359237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0.0031</w:t>
            </w:r>
          </w:p>
        </w:tc>
        <w:tc>
          <w:tcPr>
            <w:tcW w:w="1493" w:type="dxa"/>
          </w:tcPr>
          <w:p w14:paraId="6DB39E1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2.44**</w:t>
            </w:r>
          </w:p>
        </w:tc>
      </w:tr>
      <w:tr w:rsidR="002641CF" w14:paraId="5C1DC46A" w14:textId="77777777">
        <w:trPr>
          <w:jc w:val="center"/>
        </w:trPr>
        <w:tc>
          <w:tcPr>
            <w:tcW w:w="1493" w:type="dxa"/>
          </w:tcPr>
          <w:p w14:paraId="5F025BE0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过程应对（</w:t>
            </w:r>
            <w:r>
              <w:rPr>
                <w:rFonts w:ascii="Times New Roman" w:eastAsia="宋体" w:hAnsi="Times New Roman"/>
                <w:sz w:val="18"/>
              </w:rPr>
              <w:t>L4a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788B960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0.0138</w:t>
            </w:r>
          </w:p>
        </w:tc>
        <w:tc>
          <w:tcPr>
            <w:tcW w:w="1493" w:type="dxa"/>
          </w:tcPr>
          <w:p w14:paraId="1E06D1A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7.03***</w:t>
            </w:r>
          </w:p>
        </w:tc>
        <w:tc>
          <w:tcPr>
            <w:tcW w:w="1493" w:type="dxa"/>
          </w:tcPr>
          <w:p w14:paraId="06A6929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0.2012</w:t>
            </w:r>
          </w:p>
        </w:tc>
        <w:tc>
          <w:tcPr>
            <w:tcW w:w="1493" w:type="dxa"/>
          </w:tcPr>
          <w:p w14:paraId="3F51B1C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0.0092</w:t>
            </w:r>
          </w:p>
        </w:tc>
        <w:tc>
          <w:tcPr>
            <w:tcW w:w="1493" w:type="dxa"/>
          </w:tcPr>
          <w:p w14:paraId="3C1DBE6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3.83***</w:t>
            </w:r>
          </w:p>
        </w:tc>
      </w:tr>
      <w:tr w:rsidR="002641CF" w14:paraId="256B6150" w14:textId="77777777">
        <w:trPr>
          <w:jc w:val="center"/>
        </w:trPr>
        <w:tc>
          <w:tcPr>
            <w:tcW w:w="1493" w:type="dxa"/>
          </w:tcPr>
          <w:p w14:paraId="7D04F849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转化效率（</w:t>
            </w:r>
            <w:r>
              <w:rPr>
                <w:rFonts w:ascii="Times New Roman" w:eastAsia="宋体" w:hAnsi="Times New Roman"/>
                <w:sz w:val="18"/>
              </w:rPr>
              <w:t>L4b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42B60A4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0.0145</w:t>
            </w:r>
          </w:p>
        </w:tc>
        <w:tc>
          <w:tcPr>
            <w:tcW w:w="1493" w:type="dxa"/>
          </w:tcPr>
          <w:p w14:paraId="5CB5D02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6.87***</w:t>
            </w:r>
          </w:p>
        </w:tc>
        <w:tc>
          <w:tcPr>
            <w:tcW w:w="1493" w:type="dxa"/>
          </w:tcPr>
          <w:p w14:paraId="45FFAAD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0.2845</w:t>
            </w:r>
          </w:p>
        </w:tc>
        <w:tc>
          <w:tcPr>
            <w:tcW w:w="1493" w:type="dxa"/>
          </w:tcPr>
          <w:p w14:paraId="7C49837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0.0132</w:t>
            </w:r>
          </w:p>
        </w:tc>
        <w:tc>
          <w:tcPr>
            <w:tcW w:w="1493" w:type="dxa"/>
          </w:tcPr>
          <w:p w14:paraId="2B45877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5.50***</w:t>
            </w:r>
          </w:p>
        </w:tc>
      </w:tr>
      <w:tr w:rsidR="002641CF" w14:paraId="36C8AB40" w14:textId="77777777">
        <w:trPr>
          <w:jc w:val="center"/>
        </w:trPr>
        <w:tc>
          <w:tcPr>
            <w:tcW w:w="1493" w:type="dxa"/>
          </w:tcPr>
          <w:p w14:paraId="2380F58F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交易执行（</w:t>
            </w:r>
            <w:r>
              <w:rPr>
                <w:rFonts w:ascii="Times New Roman" w:eastAsia="宋体" w:hAnsi="Times New Roman"/>
                <w:sz w:val="18"/>
              </w:rPr>
              <w:t>L5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493" w:type="dxa"/>
          </w:tcPr>
          <w:p w14:paraId="25592AF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0.0051</w:t>
            </w:r>
          </w:p>
        </w:tc>
        <w:tc>
          <w:tcPr>
            <w:tcW w:w="1493" w:type="dxa"/>
          </w:tcPr>
          <w:p w14:paraId="68D2328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3.20***</w:t>
            </w:r>
          </w:p>
        </w:tc>
        <w:tc>
          <w:tcPr>
            <w:tcW w:w="1493" w:type="dxa"/>
          </w:tcPr>
          <w:p w14:paraId="62E934F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0.0823</w:t>
            </w:r>
          </w:p>
        </w:tc>
        <w:tc>
          <w:tcPr>
            <w:tcW w:w="1493" w:type="dxa"/>
          </w:tcPr>
          <w:p w14:paraId="27A2C6D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0.0016</w:t>
            </w:r>
          </w:p>
        </w:tc>
        <w:tc>
          <w:tcPr>
            <w:tcW w:w="1493" w:type="dxa"/>
          </w:tcPr>
          <w:p w14:paraId="2AB32CC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1.23</w:t>
            </w:r>
          </w:p>
        </w:tc>
      </w:tr>
      <w:tr w:rsidR="002641CF" w14:paraId="02B4B6BA" w14:textId="77777777">
        <w:trPr>
          <w:jc w:val="center"/>
        </w:trPr>
        <w:tc>
          <w:tcPr>
            <w:tcW w:w="1493" w:type="dxa"/>
          </w:tcPr>
          <w:p w14:paraId="4B5E867F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综合能力</w:t>
            </w:r>
          </w:p>
        </w:tc>
        <w:tc>
          <w:tcPr>
            <w:tcW w:w="1493" w:type="dxa"/>
          </w:tcPr>
          <w:p w14:paraId="045AA49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0.0425</w:t>
            </w:r>
          </w:p>
        </w:tc>
        <w:tc>
          <w:tcPr>
            <w:tcW w:w="1493" w:type="dxa"/>
          </w:tcPr>
          <w:p w14:paraId="2468B7E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11.40***</w:t>
            </w:r>
          </w:p>
        </w:tc>
        <w:tc>
          <w:tcPr>
            <w:tcW w:w="1493" w:type="dxa"/>
          </w:tcPr>
          <w:p w14:paraId="6064EA1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0.3838</w:t>
            </w:r>
          </w:p>
        </w:tc>
        <w:tc>
          <w:tcPr>
            <w:tcW w:w="1493" w:type="dxa"/>
          </w:tcPr>
          <w:p w14:paraId="1A75833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——</w:t>
            </w:r>
          </w:p>
        </w:tc>
        <w:tc>
          <w:tcPr>
            <w:tcW w:w="1493" w:type="dxa"/>
          </w:tcPr>
          <w:p w14:paraId="2938CA4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——</w:t>
            </w:r>
          </w:p>
        </w:tc>
      </w:tr>
    </w:tbl>
    <w:p w14:paraId="69D2A222" w14:textId="77777777" w:rsidR="002641CF" w:rsidRDefault="00000000">
      <w:pPr>
        <w:spacing w:after="160" w:line="360" w:lineRule="auto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>注：联立模型</w:t>
      </w:r>
      <w:r>
        <w:rPr>
          <w:rFonts w:ascii="Times New Roman" w:eastAsia="宋体" w:hAnsi="Times New Roman"/>
          <w:sz w:val="18"/>
          <w:lang w:eastAsia="zh-CN"/>
        </w:rPr>
        <w:t xml:space="preserve"> N=362</w:t>
      </w:r>
      <w:r>
        <w:rPr>
          <w:rFonts w:ascii="Times New Roman" w:eastAsia="宋体" w:hAnsi="Times New Roman"/>
          <w:sz w:val="18"/>
          <w:lang w:eastAsia="zh-CN"/>
        </w:rPr>
        <w:t>，</w:t>
      </w:r>
      <w:r>
        <w:rPr>
          <w:rFonts w:ascii="Times New Roman" w:eastAsia="宋体" w:hAnsi="Times New Roman"/>
          <w:sz w:val="18"/>
          <w:lang w:eastAsia="zh-CN"/>
        </w:rPr>
        <w:t>R²=0.4557</w:t>
      </w:r>
      <w:r>
        <w:rPr>
          <w:rFonts w:ascii="Times New Roman" w:eastAsia="宋体" w:hAnsi="Times New Roman"/>
          <w:sz w:val="18"/>
          <w:lang w:eastAsia="zh-CN"/>
        </w:rPr>
        <w:t>。</w:t>
      </w:r>
      <w:r>
        <w:rPr>
          <w:rFonts w:ascii="Times New Roman" w:eastAsia="宋体" w:hAnsi="Times New Roman"/>
          <w:sz w:val="18"/>
          <w:lang w:eastAsia="zh-CN"/>
        </w:rPr>
        <w:t xml:space="preserve">L1 </w:t>
      </w:r>
      <w:r>
        <w:rPr>
          <w:rFonts w:ascii="Times New Roman" w:eastAsia="宋体" w:hAnsi="Times New Roman"/>
          <w:sz w:val="18"/>
          <w:lang w:eastAsia="zh-CN"/>
        </w:rPr>
        <w:t>得分为三个控制变量的线性组合，联立时不叠加控制变量以避免完全共线。</w:t>
      </w:r>
    </w:p>
    <w:p w14:paraId="50A2E4C5" w14:textId="059FB2D3" w:rsidR="002641CF" w:rsidRPr="00810BFF" w:rsidRDefault="00810BFF" w:rsidP="00810BFF">
      <w:pPr>
        <w:spacing w:after="120" w:line="360" w:lineRule="auto"/>
        <w:ind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lastRenderedPageBreak/>
        <w:t>能力分到底灵不灵？最直观的检验是分组看收益（图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2</w:t>
      </w:r>
      <w:r>
        <w:rPr>
          <w:rFonts w:ascii="Times New Roman" w:eastAsia="宋体" w:hAnsi="Times New Roman" w:hint="eastAsia"/>
          <w:sz w:val="24"/>
          <w:lang w:eastAsia="zh-CN"/>
        </w:rPr>
        <w:t>）：把基金按综合能力从低到高五等分，</w:t>
      </w:r>
      <w:r>
        <w:rPr>
          <w:rFonts w:ascii="Times New Roman" w:eastAsia="宋体" w:hAnsi="Times New Roman" w:hint="eastAsia"/>
          <w:sz w:val="24"/>
          <w:lang w:eastAsia="zh-CN"/>
        </w:rPr>
        <w:t xml:space="preserve">FF5 alpha </w:t>
      </w:r>
      <w:r>
        <w:rPr>
          <w:rFonts w:ascii="Times New Roman" w:eastAsia="宋体" w:hAnsi="Times New Roman" w:hint="eastAsia"/>
          <w:sz w:val="24"/>
          <w:lang w:eastAsia="zh-CN"/>
        </w:rPr>
        <w:t>从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Q1 </w:t>
      </w:r>
      <w:r>
        <w:rPr>
          <w:rFonts w:ascii="Times New Roman" w:eastAsia="宋体" w:hAnsi="Times New Roman" w:hint="eastAsia"/>
          <w:sz w:val="24"/>
          <w:lang w:eastAsia="zh-CN"/>
        </w:rPr>
        <w:t>的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0.64% </w:t>
      </w:r>
      <w:r>
        <w:rPr>
          <w:rFonts w:ascii="Times New Roman" w:eastAsia="宋体" w:hAnsi="Times New Roman" w:hint="eastAsia"/>
          <w:sz w:val="24"/>
          <w:lang w:eastAsia="zh-CN"/>
        </w:rPr>
        <w:t>一路单调升到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Q5 </w:t>
      </w:r>
      <w:r>
        <w:rPr>
          <w:rFonts w:ascii="Times New Roman" w:eastAsia="宋体" w:hAnsi="Times New Roman" w:hint="eastAsia"/>
          <w:sz w:val="24"/>
          <w:lang w:eastAsia="zh-CN"/>
        </w:rPr>
        <w:t>的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3.77%</w:t>
      </w:r>
      <w:r>
        <w:rPr>
          <w:rFonts w:ascii="Times New Roman" w:eastAsia="宋体" w:hAnsi="Times New Roman" w:hint="eastAsia"/>
          <w:sz w:val="24"/>
          <w:lang w:eastAsia="zh-CN"/>
        </w:rPr>
        <w:t>（季度均值），头尾差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3.13 </w:t>
      </w:r>
      <w:r>
        <w:rPr>
          <w:rFonts w:ascii="Times New Roman" w:eastAsia="宋体" w:hAnsi="Times New Roman" w:hint="eastAsia"/>
          <w:sz w:val="24"/>
          <w:lang w:eastAsia="zh-CN"/>
        </w:rPr>
        <w:t>个百分点（</w:t>
      </w:r>
      <w:r>
        <w:rPr>
          <w:rFonts w:ascii="Times New Roman" w:eastAsia="宋体" w:hAnsi="Times New Roman" w:hint="eastAsia"/>
          <w:sz w:val="24"/>
          <w:lang w:eastAsia="zh-CN"/>
        </w:rPr>
        <w:t>t=10.28</w:t>
      </w:r>
      <w:r>
        <w:rPr>
          <w:rFonts w:ascii="Times New Roman" w:eastAsia="宋体" w:hAnsi="Times New Roman" w:hint="eastAsia"/>
          <w:sz w:val="24"/>
          <w:lang w:eastAsia="zh-CN"/>
        </w:rPr>
        <w:t>）；季度原始收益同样严格单调（</w:t>
      </w:r>
      <w:r>
        <w:rPr>
          <w:rFonts w:ascii="Times New Roman" w:eastAsia="宋体" w:hAnsi="Times New Roman" w:hint="eastAsia"/>
          <w:sz w:val="24"/>
          <w:lang w:eastAsia="zh-CN"/>
        </w:rPr>
        <w:t>4.37%</w:t>
      </w:r>
      <w:r>
        <w:rPr>
          <w:rFonts w:ascii="Times New Roman" w:eastAsia="宋体" w:hAnsi="Times New Roman" w:hint="eastAsia"/>
          <w:sz w:val="24"/>
          <w:lang w:eastAsia="zh-CN"/>
        </w:rPr>
        <w:t>→</w:t>
      </w:r>
      <w:r>
        <w:rPr>
          <w:rFonts w:ascii="Times New Roman" w:eastAsia="宋体" w:hAnsi="Times New Roman" w:hint="eastAsia"/>
          <w:sz w:val="24"/>
          <w:lang w:eastAsia="zh-CN"/>
        </w:rPr>
        <w:t>9.82%</w:t>
      </w:r>
      <w:r>
        <w:rPr>
          <w:rFonts w:ascii="Times New Roman" w:eastAsia="宋体" w:hAnsi="Times New Roman" w:hint="eastAsia"/>
          <w:sz w:val="24"/>
          <w:lang w:eastAsia="zh-CN"/>
        </w:rPr>
        <w:t>）。换句话说，能力分高的一组，每个季度平均比最低一组多赚约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3 </w:t>
      </w:r>
      <w:r>
        <w:rPr>
          <w:rFonts w:ascii="Times New Roman" w:eastAsia="宋体" w:hAnsi="Times New Roman" w:hint="eastAsia"/>
          <w:sz w:val="24"/>
          <w:lang w:eastAsia="zh-CN"/>
        </w:rPr>
        <w:t>个百分点——</w:t>
      </w:r>
      <w:r>
        <w:rPr>
          <w:rFonts w:ascii="Times New Roman" w:eastAsia="宋体" w:hAnsi="Times New Roman"/>
          <w:sz w:val="24"/>
          <w:lang w:eastAsia="zh-CN"/>
        </w:rPr>
        <w:t>该结果表明，行为维度的复合得分对投资经理的业绩具有清晰、稳健的区分能力。</w:t>
      </w:r>
    </w:p>
    <w:p w14:paraId="142F320F" w14:textId="77777777" w:rsidR="002641C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FC4A1AF" wp14:editId="157B9716">
            <wp:extent cx="5040000" cy="3064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_五等分组合超额收益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30C7" w14:textId="77777777" w:rsidR="002641CF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图</w:t>
      </w:r>
      <w:r>
        <w:rPr>
          <w:rFonts w:ascii="Times New Roman" w:eastAsia="黑体" w:hAnsi="Times New Roman"/>
          <w:sz w:val="21"/>
          <w:lang w:eastAsia="zh-CN"/>
        </w:rPr>
        <w:t xml:space="preserve"> 2  </w:t>
      </w:r>
      <w:r>
        <w:rPr>
          <w:rFonts w:ascii="Times New Roman" w:eastAsia="黑体" w:hAnsi="Times New Roman"/>
          <w:sz w:val="21"/>
          <w:lang w:eastAsia="zh-CN"/>
        </w:rPr>
        <w:t>按综合能力五等分的组合超额收益（</w:t>
      </w:r>
      <w:r>
        <w:rPr>
          <w:rFonts w:ascii="Times New Roman" w:eastAsia="黑体" w:hAnsi="Times New Roman"/>
          <w:sz w:val="21"/>
          <w:lang w:eastAsia="zh-CN"/>
        </w:rPr>
        <w:t>FF5 alpha</w:t>
      </w:r>
      <w:r>
        <w:rPr>
          <w:rFonts w:ascii="Times New Roman" w:eastAsia="黑体" w:hAnsi="Times New Roman"/>
          <w:sz w:val="21"/>
          <w:lang w:eastAsia="zh-CN"/>
        </w:rPr>
        <w:t>，季度均值）</w:t>
      </w:r>
    </w:p>
    <w:p w14:paraId="297C3F80" w14:textId="675B0A1F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三、投资经理画像</w:t>
      </w:r>
      <w:r w:rsidR="00810BFF">
        <w:rPr>
          <w:rFonts w:ascii="Times New Roman" w:eastAsia="黑体" w:hAnsi="Times New Roman" w:hint="eastAsia"/>
          <w:b/>
          <w:sz w:val="28"/>
          <w:lang w:eastAsia="zh-CN"/>
        </w:rPr>
        <w:t>——好经理和差经理，差在哪？</w:t>
      </w:r>
    </w:p>
    <w:p w14:paraId="1E9CD90F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（一）群体画像：绩优与绩差经理的维度差异</w:t>
      </w:r>
    </w:p>
    <w:p w14:paraId="3367B7ED" w14:textId="460F0E90" w:rsidR="00810BFF" w:rsidRPr="00587971" w:rsidRDefault="00810BFF" w:rsidP="00587971">
      <w:pPr>
        <w:spacing w:after="120" w:line="360" w:lineRule="auto"/>
        <w:ind w:firstLine="480"/>
        <w:rPr>
          <w:rFonts w:eastAsia="宋体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按真实业绩（</w:t>
      </w:r>
      <w:r>
        <w:rPr>
          <w:rFonts w:ascii="Times New Roman" w:eastAsia="宋体" w:hAnsi="Times New Roman" w:hint="eastAsia"/>
          <w:sz w:val="24"/>
          <w:lang w:eastAsia="zh-CN"/>
        </w:rPr>
        <w:t>FF5 alpha</w:t>
      </w:r>
      <w:r>
        <w:rPr>
          <w:rFonts w:ascii="Times New Roman" w:eastAsia="宋体" w:hAnsi="Times New Roman" w:hint="eastAsia"/>
          <w:sz w:val="24"/>
          <w:lang w:eastAsia="zh-CN"/>
        </w:rPr>
        <w:t>，而不是能力分）取最好和最差各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5% </w:t>
      </w:r>
      <w:r>
        <w:rPr>
          <w:rFonts w:ascii="Times New Roman" w:eastAsia="宋体" w:hAnsi="Times New Roman" w:hint="eastAsia"/>
          <w:sz w:val="24"/>
          <w:lang w:eastAsia="zh-CN"/>
        </w:rPr>
        <w:t>的基金（各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19 </w:t>
      </w:r>
      <w:r>
        <w:rPr>
          <w:rFonts w:ascii="Times New Roman" w:eastAsia="宋体" w:hAnsi="Times New Roman" w:hint="eastAsia"/>
          <w:sz w:val="24"/>
          <w:lang w:eastAsia="zh-CN"/>
        </w:rPr>
        <w:t>只），</w:t>
      </w:r>
      <w:r>
        <w:rPr>
          <w:rFonts w:ascii="Times New Roman" w:eastAsia="宋体" w:hAnsi="Times New Roman"/>
          <w:sz w:val="24"/>
          <w:lang w:eastAsia="zh-CN"/>
        </w:rPr>
        <w:t>比较两组在六个能力维度上的差异（表</w:t>
      </w:r>
      <w:r>
        <w:rPr>
          <w:rFonts w:ascii="Times New Roman" w:eastAsia="宋体" w:hAnsi="Times New Roman"/>
          <w:sz w:val="24"/>
          <w:lang w:eastAsia="zh-CN"/>
        </w:rPr>
        <w:t xml:space="preserve"> 6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 w:hint="eastAsia"/>
          <w:sz w:val="24"/>
          <w:lang w:eastAsia="zh-CN"/>
        </w:rPr>
        <w:t>：六个维度全部显著分化。注意看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过程应对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——这一维两组差了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1.19</w:t>
      </w:r>
      <w:r>
        <w:rPr>
          <w:rFonts w:ascii="Times New Roman" w:eastAsia="宋体" w:hAnsi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hint="eastAsia"/>
          <w:sz w:val="24"/>
          <w:lang w:eastAsia="zh-CN"/>
        </w:rPr>
        <w:t>t=5.16</w:t>
      </w:r>
      <w:r>
        <w:rPr>
          <w:rFonts w:ascii="Times New Roman" w:eastAsia="宋体" w:hAnsi="Times New Roman" w:hint="eastAsia"/>
          <w:sz w:val="24"/>
          <w:lang w:eastAsia="zh-CN"/>
        </w:rPr>
        <w:t>），是所有维度里最大的；拆到单指标，最能拉开差距的是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下行保护系数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（</w:t>
      </w:r>
      <w:r>
        <w:rPr>
          <w:rFonts w:ascii="Times New Roman" w:eastAsia="宋体" w:hAnsi="Times New Roman" w:hint="eastAsia"/>
          <w:sz w:val="24"/>
          <w:lang w:eastAsia="zh-CN"/>
        </w:rPr>
        <w:t>t=+5.40</w:t>
      </w:r>
      <w:r>
        <w:rPr>
          <w:rFonts w:ascii="Times New Roman" w:eastAsia="宋体" w:hAnsi="Times New Roman" w:hint="eastAsia"/>
          <w:sz w:val="24"/>
          <w:lang w:eastAsia="zh-CN"/>
        </w:rPr>
        <w:t>）</w:t>
      </w:r>
      <w:r w:rsidR="00587971">
        <w:rPr>
          <w:rFonts w:ascii="Times New Roman" w:eastAsia="宋体" w:hAnsi="Times New Roman"/>
          <w:sz w:val="24"/>
          <w:lang w:eastAsia="zh-CN"/>
        </w:rPr>
        <w:t>——</w:t>
      </w:r>
      <w:r w:rsidR="00587971">
        <w:rPr>
          <w:rFonts w:ascii="Times New Roman" w:eastAsia="宋体" w:hAnsi="Times New Roman"/>
          <w:sz w:val="24"/>
          <w:lang w:eastAsia="zh-CN"/>
        </w:rPr>
        <w:t>最能拉开绩优与绩差经理差距的行为特征并非选股或集中度，而是市场下行阶段能否主动收缩风险暴露。</w:t>
      </w:r>
    </w:p>
    <w:p w14:paraId="6694A1DC" w14:textId="77777777" w:rsidR="002641CF" w:rsidRDefault="00000000">
      <w:pPr>
        <w:spacing w:after="80" w:line="360" w:lineRule="auto"/>
        <w:jc w:val="center"/>
      </w:pPr>
      <w:r>
        <w:rPr>
          <w:rFonts w:ascii="Times New Roman" w:eastAsia="黑体" w:hAnsi="Times New Roman"/>
          <w:sz w:val="21"/>
        </w:rPr>
        <w:t>表</w:t>
      </w:r>
      <w:r>
        <w:rPr>
          <w:rFonts w:ascii="Times New Roman" w:eastAsia="黑体" w:hAnsi="Times New Roman"/>
          <w:sz w:val="21"/>
        </w:rPr>
        <w:t xml:space="preserve"> 6  </w:t>
      </w:r>
      <w:r>
        <w:rPr>
          <w:rFonts w:ascii="Times New Roman" w:eastAsia="黑体" w:hAnsi="Times New Roman"/>
          <w:sz w:val="21"/>
        </w:rPr>
        <w:t>群体画像：业绩</w:t>
      </w:r>
      <w:r>
        <w:rPr>
          <w:rFonts w:ascii="Times New Roman" w:eastAsia="黑体" w:hAnsi="Times New Roman"/>
          <w:sz w:val="21"/>
        </w:rPr>
        <w:t xml:space="preserve"> Top5% </w:t>
      </w:r>
      <w:r>
        <w:rPr>
          <w:rFonts w:ascii="Times New Roman" w:eastAsia="黑体" w:hAnsi="Times New Roman"/>
          <w:sz w:val="21"/>
        </w:rPr>
        <w:t>与</w:t>
      </w:r>
      <w:r>
        <w:rPr>
          <w:rFonts w:ascii="Times New Roman" w:eastAsia="黑体" w:hAnsi="Times New Roman"/>
          <w:sz w:val="21"/>
        </w:rPr>
        <w:t xml:space="preserve"> Bottom5% </w:t>
      </w:r>
      <w:r>
        <w:rPr>
          <w:rFonts w:ascii="Times New Roman" w:eastAsia="黑体" w:hAnsi="Times New Roman"/>
          <w:sz w:val="21"/>
        </w:rPr>
        <w:t>的维度差异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2641CF" w14:paraId="3080CDE6" w14:textId="77777777">
        <w:trPr>
          <w:jc w:val="center"/>
        </w:trPr>
        <w:tc>
          <w:tcPr>
            <w:tcW w:w="1792" w:type="dxa"/>
          </w:tcPr>
          <w:p w14:paraId="6F125AD3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能力维度</w:t>
            </w:r>
          </w:p>
        </w:tc>
        <w:tc>
          <w:tcPr>
            <w:tcW w:w="1792" w:type="dxa"/>
          </w:tcPr>
          <w:p w14:paraId="2E3342B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Top5%</w:t>
            </w:r>
            <w:r>
              <w:rPr>
                <w:rFonts w:ascii="Times New Roman" w:eastAsia="宋体" w:hAnsi="Times New Roman"/>
                <w:b/>
                <w:sz w:val="18"/>
              </w:rPr>
              <w:t>均值</w:t>
            </w:r>
          </w:p>
        </w:tc>
        <w:tc>
          <w:tcPr>
            <w:tcW w:w="1792" w:type="dxa"/>
          </w:tcPr>
          <w:p w14:paraId="7F926BD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Bottom5%</w:t>
            </w:r>
            <w:r>
              <w:rPr>
                <w:rFonts w:ascii="Times New Roman" w:eastAsia="宋体" w:hAnsi="Times New Roman"/>
                <w:b/>
                <w:sz w:val="18"/>
              </w:rPr>
              <w:t>均值</w:t>
            </w:r>
          </w:p>
        </w:tc>
        <w:tc>
          <w:tcPr>
            <w:tcW w:w="1792" w:type="dxa"/>
          </w:tcPr>
          <w:p w14:paraId="2F3F4A3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差值</w:t>
            </w:r>
          </w:p>
        </w:tc>
        <w:tc>
          <w:tcPr>
            <w:tcW w:w="1792" w:type="dxa"/>
          </w:tcPr>
          <w:p w14:paraId="2A0F857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t</w:t>
            </w:r>
            <w:r>
              <w:rPr>
                <w:rFonts w:ascii="Times New Roman" w:eastAsia="宋体" w:hAnsi="Times New Roman"/>
                <w:b/>
                <w:sz w:val="18"/>
              </w:rPr>
              <w:t>值</w:t>
            </w:r>
          </w:p>
        </w:tc>
      </w:tr>
      <w:tr w:rsidR="002641CF" w14:paraId="0165924D" w14:textId="77777777">
        <w:trPr>
          <w:jc w:val="center"/>
        </w:trPr>
        <w:tc>
          <w:tcPr>
            <w:tcW w:w="1792" w:type="dxa"/>
          </w:tcPr>
          <w:p w14:paraId="5867C0F4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基本面边界（</w:t>
            </w:r>
            <w:r>
              <w:rPr>
                <w:rFonts w:ascii="Times New Roman" w:eastAsia="宋体" w:hAnsi="Times New Roman"/>
                <w:sz w:val="18"/>
              </w:rPr>
              <w:t>L1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1F6226A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0.5270</w:t>
            </w:r>
          </w:p>
        </w:tc>
        <w:tc>
          <w:tcPr>
            <w:tcW w:w="1792" w:type="dxa"/>
          </w:tcPr>
          <w:p w14:paraId="1371E8F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0.1828</w:t>
            </w:r>
          </w:p>
        </w:tc>
        <w:tc>
          <w:tcPr>
            <w:tcW w:w="1792" w:type="dxa"/>
          </w:tcPr>
          <w:p w14:paraId="14029E0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0.3442</w:t>
            </w:r>
          </w:p>
        </w:tc>
        <w:tc>
          <w:tcPr>
            <w:tcW w:w="1792" w:type="dxa"/>
          </w:tcPr>
          <w:p w14:paraId="43752DA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+2.14**</w:t>
            </w:r>
          </w:p>
        </w:tc>
      </w:tr>
      <w:tr w:rsidR="002641CF" w14:paraId="7B48D422" w14:textId="77777777">
        <w:trPr>
          <w:jc w:val="center"/>
        </w:trPr>
        <w:tc>
          <w:tcPr>
            <w:tcW w:w="1792" w:type="dxa"/>
          </w:tcPr>
          <w:p w14:paraId="30AA48A6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认知偏差（</w:t>
            </w:r>
            <w:r>
              <w:rPr>
                <w:rFonts w:ascii="Times New Roman" w:eastAsia="宋体" w:hAnsi="Times New Roman"/>
                <w:sz w:val="18"/>
              </w:rPr>
              <w:t>L2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0FB1D66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0.3620</w:t>
            </w:r>
          </w:p>
        </w:tc>
        <w:tc>
          <w:tcPr>
            <w:tcW w:w="1792" w:type="dxa"/>
          </w:tcPr>
          <w:p w14:paraId="347A36E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-0.3176</w:t>
            </w:r>
          </w:p>
        </w:tc>
        <w:tc>
          <w:tcPr>
            <w:tcW w:w="1792" w:type="dxa"/>
          </w:tcPr>
          <w:p w14:paraId="4F99B83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0.6796</w:t>
            </w:r>
          </w:p>
        </w:tc>
        <w:tc>
          <w:tcPr>
            <w:tcW w:w="1792" w:type="dxa"/>
          </w:tcPr>
          <w:p w14:paraId="573DDCB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+5.55***</w:t>
            </w:r>
          </w:p>
        </w:tc>
      </w:tr>
      <w:tr w:rsidR="002641CF" w14:paraId="5932E778" w14:textId="77777777">
        <w:trPr>
          <w:jc w:val="center"/>
        </w:trPr>
        <w:tc>
          <w:tcPr>
            <w:tcW w:w="1792" w:type="dxa"/>
          </w:tcPr>
          <w:p w14:paraId="33FF0806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选择偏好（</w:t>
            </w:r>
            <w:r>
              <w:rPr>
                <w:rFonts w:ascii="Times New Roman" w:eastAsia="宋体" w:hAnsi="Times New Roman"/>
                <w:sz w:val="18"/>
              </w:rPr>
              <w:t>L3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59E3A8C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0.7073</w:t>
            </w:r>
          </w:p>
        </w:tc>
        <w:tc>
          <w:tcPr>
            <w:tcW w:w="1792" w:type="dxa"/>
          </w:tcPr>
          <w:p w14:paraId="0DCE583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-0.3091</w:t>
            </w:r>
          </w:p>
        </w:tc>
        <w:tc>
          <w:tcPr>
            <w:tcW w:w="1792" w:type="dxa"/>
          </w:tcPr>
          <w:p w14:paraId="401A4CB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1.0164</w:t>
            </w:r>
          </w:p>
        </w:tc>
        <w:tc>
          <w:tcPr>
            <w:tcW w:w="1792" w:type="dxa"/>
          </w:tcPr>
          <w:p w14:paraId="4BFD8DB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+3.19***</w:t>
            </w:r>
          </w:p>
        </w:tc>
      </w:tr>
      <w:tr w:rsidR="002641CF" w14:paraId="33313A2A" w14:textId="77777777">
        <w:trPr>
          <w:jc w:val="center"/>
        </w:trPr>
        <w:tc>
          <w:tcPr>
            <w:tcW w:w="1792" w:type="dxa"/>
          </w:tcPr>
          <w:p w14:paraId="10E6CAB3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过程应对（</w:t>
            </w:r>
            <w:r>
              <w:rPr>
                <w:rFonts w:ascii="Times New Roman" w:eastAsia="宋体" w:hAnsi="Times New Roman"/>
                <w:sz w:val="18"/>
              </w:rPr>
              <w:t>L4a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00FB024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1.0557</w:t>
            </w:r>
          </w:p>
        </w:tc>
        <w:tc>
          <w:tcPr>
            <w:tcW w:w="1792" w:type="dxa"/>
          </w:tcPr>
          <w:p w14:paraId="3893420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-0.1345</w:t>
            </w:r>
          </w:p>
        </w:tc>
        <w:tc>
          <w:tcPr>
            <w:tcW w:w="1792" w:type="dxa"/>
          </w:tcPr>
          <w:p w14:paraId="0459A18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1.1901</w:t>
            </w:r>
          </w:p>
        </w:tc>
        <w:tc>
          <w:tcPr>
            <w:tcW w:w="1792" w:type="dxa"/>
          </w:tcPr>
          <w:p w14:paraId="7D975F5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+5.16***</w:t>
            </w:r>
          </w:p>
        </w:tc>
      </w:tr>
      <w:tr w:rsidR="002641CF" w14:paraId="79A60A86" w14:textId="77777777">
        <w:trPr>
          <w:jc w:val="center"/>
        </w:trPr>
        <w:tc>
          <w:tcPr>
            <w:tcW w:w="1792" w:type="dxa"/>
          </w:tcPr>
          <w:p w14:paraId="02912186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转化效率（</w:t>
            </w:r>
            <w:r>
              <w:rPr>
                <w:rFonts w:ascii="Times New Roman" w:eastAsia="宋体" w:hAnsi="Times New Roman"/>
                <w:sz w:val="18"/>
              </w:rPr>
              <w:t>L4b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14BFB10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0.1545</w:t>
            </w:r>
          </w:p>
        </w:tc>
        <w:tc>
          <w:tcPr>
            <w:tcW w:w="1792" w:type="dxa"/>
          </w:tcPr>
          <w:p w14:paraId="18F623F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-0.8957</w:t>
            </w:r>
          </w:p>
        </w:tc>
        <w:tc>
          <w:tcPr>
            <w:tcW w:w="1792" w:type="dxa"/>
          </w:tcPr>
          <w:p w14:paraId="35CFB3B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1.0501</w:t>
            </w:r>
          </w:p>
        </w:tc>
        <w:tc>
          <w:tcPr>
            <w:tcW w:w="1792" w:type="dxa"/>
          </w:tcPr>
          <w:p w14:paraId="7C2D872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+3.93***</w:t>
            </w:r>
          </w:p>
        </w:tc>
      </w:tr>
      <w:tr w:rsidR="002641CF" w14:paraId="563D01E4" w14:textId="77777777">
        <w:trPr>
          <w:jc w:val="center"/>
        </w:trPr>
        <w:tc>
          <w:tcPr>
            <w:tcW w:w="1792" w:type="dxa"/>
          </w:tcPr>
          <w:p w14:paraId="71EEBB86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sz w:val="18"/>
              </w:rPr>
              <w:t>交易执行（</w:t>
            </w:r>
            <w:r>
              <w:rPr>
                <w:rFonts w:ascii="Times New Roman" w:eastAsia="宋体" w:hAnsi="Times New Roman"/>
                <w:sz w:val="18"/>
              </w:rPr>
              <w:t>L5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1792" w:type="dxa"/>
          </w:tcPr>
          <w:p w14:paraId="6E9D05D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0.5275</w:t>
            </w:r>
          </w:p>
        </w:tc>
        <w:tc>
          <w:tcPr>
            <w:tcW w:w="1792" w:type="dxa"/>
          </w:tcPr>
          <w:p w14:paraId="18F5837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-0.1905</w:t>
            </w:r>
          </w:p>
        </w:tc>
        <w:tc>
          <w:tcPr>
            <w:tcW w:w="1792" w:type="dxa"/>
          </w:tcPr>
          <w:p w14:paraId="1DC2146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0.7180</w:t>
            </w:r>
          </w:p>
        </w:tc>
        <w:tc>
          <w:tcPr>
            <w:tcW w:w="1792" w:type="dxa"/>
          </w:tcPr>
          <w:p w14:paraId="39964E0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+3.28***</w:t>
            </w:r>
          </w:p>
        </w:tc>
      </w:tr>
    </w:tbl>
    <w:p w14:paraId="7D7E785E" w14:textId="77777777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综合能力五分组的背景对照（表</w:t>
      </w:r>
      <w:r>
        <w:rPr>
          <w:rFonts w:ascii="Times New Roman" w:eastAsia="宋体" w:hAnsi="Times New Roman"/>
          <w:sz w:val="24"/>
          <w:lang w:eastAsia="zh-CN"/>
        </w:rPr>
        <w:t xml:space="preserve"> 7</w:t>
      </w:r>
      <w:r>
        <w:rPr>
          <w:rFonts w:ascii="Times New Roman" w:eastAsia="宋体" w:hAnsi="Times New Roman"/>
          <w:sz w:val="24"/>
          <w:lang w:eastAsia="zh-CN"/>
        </w:rPr>
        <w:t>）揭示两个值得关注的观察：其一，规模不经济特征明显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能力最低组（</w:t>
      </w:r>
      <w:r>
        <w:rPr>
          <w:rFonts w:ascii="Times New Roman" w:eastAsia="宋体" w:hAnsi="Times New Roman"/>
          <w:sz w:val="24"/>
          <w:lang w:eastAsia="zh-CN"/>
        </w:rPr>
        <w:t>Q1</w:t>
      </w:r>
      <w:r>
        <w:rPr>
          <w:rFonts w:ascii="Times New Roman" w:eastAsia="宋体" w:hAnsi="Times New Roman"/>
          <w:sz w:val="24"/>
          <w:lang w:eastAsia="zh-CN"/>
        </w:rPr>
        <w:t>）的平均管理规模反而最大（</w:t>
      </w:r>
      <w:r>
        <w:rPr>
          <w:rFonts w:ascii="Times New Roman" w:eastAsia="宋体" w:hAnsi="Times New Roman"/>
          <w:sz w:val="24"/>
          <w:lang w:eastAsia="zh-CN"/>
        </w:rPr>
        <w:t xml:space="preserve">17.3 </w:t>
      </w:r>
      <w:r>
        <w:rPr>
          <w:rFonts w:ascii="Times New Roman" w:eastAsia="宋体" w:hAnsi="Times New Roman"/>
          <w:sz w:val="24"/>
          <w:lang w:eastAsia="zh-CN"/>
        </w:rPr>
        <w:t>亿元），而能力最高组（</w:t>
      </w:r>
      <w:r>
        <w:rPr>
          <w:rFonts w:ascii="Times New Roman" w:eastAsia="宋体" w:hAnsi="Times New Roman"/>
          <w:sz w:val="24"/>
          <w:lang w:eastAsia="zh-CN"/>
        </w:rPr>
        <w:t>Q5</w:t>
      </w:r>
      <w:r>
        <w:rPr>
          <w:rFonts w:ascii="Times New Roman" w:eastAsia="宋体" w:hAnsi="Times New Roman"/>
          <w:sz w:val="24"/>
          <w:lang w:eastAsia="zh-CN"/>
        </w:rPr>
        <w:t>）仅</w:t>
      </w:r>
      <w:r>
        <w:rPr>
          <w:rFonts w:ascii="Times New Roman" w:eastAsia="宋体" w:hAnsi="Times New Roman"/>
          <w:sz w:val="24"/>
          <w:lang w:eastAsia="zh-CN"/>
        </w:rPr>
        <w:t xml:space="preserve"> 4.4 </w:t>
      </w:r>
      <w:r>
        <w:rPr>
          <w:rFonts w:ascii="Times New Roman" w:eastAsia="宋体" w:hAnsi="Times New Roman"/>
          <w:sz w:val="24"/>
          <w:lang w:eastAsia="zh-CN"/>
        </w:rPr>
        <w:t>亿元；其二，学历与专业证书不构成能力信号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硕士以上学历占比与</w:t>
      </w:r>
      <w:r>
        <w:rPr>
          <w:rFonts w:ascii="Times New Roman" w:eastAsia="宋体" w:hAnsi="Times New Roman"/>
          <w:sz w:val="24"/>
          <w:lang w:eastAsia="zh-CN"/>
        </w:rPr>
        <w:t xml:space="preserve"> CFA </w:t>
      </w:r>
      <w:r>
        <w:rPr>
          <w:rFonts w:ascii="Times New Roman" w:eastAsia="宋体" w:hAnsi="Times New Roman"/>
          <w:sz w:val="24"/>
          <w:lang w:eastAsia="zh-CN"/>
        </w:rPr>
        <w:t>持证占比随能力组并未上升。这一发现提示，投资经理的行为纪律性较其背景标签更具业绩解释力（经理背景变量覆盖约</w:t>
      </w:r>
      <w:r>
        <w:rPr>
          <w:rFonts w:ascii="Times New Roman" w:eastAsia="宋体" w:hAnsi="Times New Roman"/>
          <w:sz w:val="24"/>
          <w:lang w:eastAsia="zh-CN"/>
        </w:rPr>
        <w:t xml:space="preserve"> 45.9%</w:t>
      </w:r>
      <w:r>
        <w:rPr>
          <w:rFonts w:ascii="Times New Roman" w:eastAsia="宋体" w:hAnsi="Times New Roman"/>
          <w:sz w:val="24"/>
          <w:lang w:eastAsia="zh-CN"/>
        </w:rPr>
        <w:t>，该部分为描述性证据，不进入计分）。</w:t>
      </w:r>
    </w:p>
    <w:p w14:paraId="77DCA79B" w14:textId="77777777" w:rsidR="002641CF" w:rsidRDefault="00000000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表</w:t>
      </w:r>
      <w:r>
        <w:rPr>
          <w:rFonts w:ascii="Times New Roman" w:eastAsia="黑体" w:hAnsi="Times New Roman"/>
          <w:sz w:val="21"/>
          <w:lang w:eastAsia="zh-CN"/>
        </w:rPr>
        <w:t xml:space="preserve"> 7  </w:t>
      </w:r>
      <w:r>
        <w:rPr>
          <w:rFonts w:ascii="Times New Roman" w:eastAsia="黑体" w:hAnsi="Times New Roman"/>
          <w:sz w:val="21"/>
          <w:lang w:eastAsia="zh-CN"/>
        </w:rPr>
        <w:t>综合能力五分组背景对照（</w:t>
      </w:r>
      <w:r>
        <w:rPr>
          <w:rFonts w:ascii="Times New Roman" w:eastAsia="黑体" w:hAnsi="Times New Roman"/>
          <w:sz w:val="21"/>
          <w:lang w:eastAsia="zh-CN"/>
        </w:rPr>
        <w:t xml:space="preserve">Q1 </w:t>
      </w:r>
      <w:r>
        <w:rPr>
          <w:rFonts w:ascii="Times New Roman" w:eastAsia="黑体" w:hAnsi="Times New Roman"/>
          <w:sz w:val="21"/>
          <w:lang w:eastAsia="zh-CN"/>
        </w:rPr>
        <w:t>最低</w:t>
      </w:r>
      <w:r>
        <w:rPr>
          <w:rFonts w:ascii="Times New Roman" w:eastAsia="黑体" w:hAnsi="Times New Roman"/>
          <w:sz w:val="21"/>
          <w:lang w:eastAsia="zh-CN"/>
        </w:rPr>
        <w:t xml:space="preserve"> → Q5 </w:t>
      </w:r>
      <w:r>
        <w:rPr>
          <w:rFonts w:ascii="Times New Roman" w:eastAsia="黑体" w:hAnsi="Times New Roman"/>
          <w:sz w:val="21"/>
          <w:lang w:eastAsia="zh-CN"/>
        </w:rPr>
        <w:t>最高）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2641CF" w14:paraId="4FE9968E" w14:textId="77777777">
        <w:trPr>
          <w:jc w:val="center"/>
        </w:trPr>
        <w:tc>
          <w:tcPr>
            <w:tcW w:w="1120" w:type="dxa"/>
          </w:tcPr>
          <w:p w14:paraId="6716D01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分组</w:t>
            </w:r>
          </w:p>
        </w:tc>
        <w:tc>
          <w:tcPr>
            <w:tcW w:w="1120" w:type="dxa"/>
          </w:tcPr>
          <w:p w14:paraId="71398952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N</w:t>
            </w:r>
          </w:p>
        </w:tc>
        <w:tc>
          <w:tcPr>
            <w:tcW w:w="1120" w:type="dxa"/>
          </w:tcPr>
          <w:p w14:paraId="47560AD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综合能力</w:t>
            </w:r>
          </w:p>
        </w:tc>
        <w:tc>
          <w:tcPr>
            <w:tcW w:w="1120" w:type="dxa"/>
          </w:tcPr>
          <w:p w14:paraId="4AEBDF0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FF5 alpha</w:t>
            </w:r>
          </w:p>
        </w:tc>
        <w:tc>
          <w:tcPr>
            <w:tcW w:w="1120" w:type="dxa"/>
          </w:tcPr>
          <w:p w14:paraId="55D9185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季度收益</w:t>
            </w:r>
          </w:p>
        </w:tc>
        <w:tc>
          <w:tcPr>
            <w:tcW w:w="1120" w:type="dxa"/>
          </w:tcPr>
          <w:p w14:paraId="0486BB6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规模</w:t>
            </w:r>
            <w:r>
              <w:rPr>
                <w:rFonts w:ascii="Times New Roman" w:eastAsia="宋体" w:hAnsi="Times New Roman"/>
                <w:b/>
                <w:sz w:val="18"/>
              </w:rPr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亿元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1120" w:type="dxa"/>
          </w:tcPr>
          <w:p w14:paraId="3FD078C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硕士以上</w:t>
            </w:r>
          </w:p>
        </w:tc>
        <w:tc>
          <w:tcPr>
            <w:tcW w:w="1120" w:type="dxa"/>
          </w:tcPr>
          <w:p w14:paraId="3BB5FE4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CFA</w:t>
            </w:r>
          </w:p>
        </w:tc>
      </w:tr>
      <w:tr w:rsidR="002641CF" w14:paraId="6851790E" w14:textId="77777777">
        <w:trPr>
          <w:jc w:val="center"/>
        </w:trPr>
        <w:tc>
          <w:tcPr>
            <w:tcW w:w="1120" w:type="dxa"/>
          </w:tcPr>
          <w:p w14:paraId="4F41A37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Q1</w:t>
            </w:r>
            <w:r>
              <w:rPr>
                <w:rFonts w:ascii="Times New Roman" w:eastAsia="宋体" w:hAnsi="Times New Roman"/>
                <w:sz w:val="18"/>
              </w:rPr>
              <w:t>（最低）</w:t>
            </w:r>
          </w:p>
        </w:tc>
        <w:tc>
          <w:tcPr>
            <w:tcW w:w="1120" w:type="dxa"/>
          </w:tcPr>
          <w:p w14:paraId="2429234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73</w:t>
            </w:r>
          </w:p>
        </w:tc>
        <w:tc>
          <w:tcPr>
            <w:tcW w:w="1120" w:type="dxa"/>
          </w:tcPr>
          <w:p w14:paraId="593B888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-0.6151</w:t>
            </w:r>
          </w:p>
        </w:tc>
        <w:tc>
          <w:tcPr>
            <w:tcW w:w="1120" w:type="dxa"/>
          </w:tcPr>
          <w:p w14:paraId="5BF26BA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0.64%</w:t>
            </w:r>
          </w:p>
        </w:tc>
        <w:tc>
          <w:tcPr>
            <w:tcW w:w="1120" w:type="dxa"/>
          </w:tcPr>
          <w:p w14:paraId="7E19BF9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4.37%</w:t>
            </w:r>
          </w:p>
        </w:tc>
        <w:tc>
          <w:tcPr>
            <w:tcW w:w="1120" w:type="dxa"/>
          </w:tcPr>
          <w:p w14:paraId="3CD8B5D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17.3</w:t>
            </w:r>
          </w:p>
        </w:tc>
        <w:tc>
          <w:tcPr>
            <w:tcW w:w="1120" w:type="dxa"/>
          </w:tcPr>
          <w:p w14:paraId="60C5B23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9%</w:t>
            </w:r>
          </w:p>
        </w:tc>
        <w:tc>
          <w:tcPr>
            <w:tcW w:w="1120" w:type="dxa"/>
          </w:tcPr>
          <w:p w14:paraId="1B535E3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5%</w:t>
            </w:r>
          </w:p>
        </w:tc>
      </w:tr>
      <w:tr w:rsidR="002641CF" w14:paraId="1DA4B6D4" w14:textId="77777777">
        <w:trPr>
          <w:jc w:val="center"/>
        </w:trPr>
        <w:tc>
          <w:tcPr>
            <w:tcW w:w="1120" w:type="dxa"/>
          </w:tcPr>
          <w:p w14:paraId="189E069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Q2</w:t>
            </w:r>
          </w:p>
        </w:tc>
        <w:tc>
          <w:tcPr>
            <w:tcW w:w="1120" w:type="dxa"/>
          </w:tcPr>
          <w:p w14:paraId="016EEBE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72</w:t>
            </w:r>
          </w:p>
        </w:tc>
        <w:tc>
          <w:tcPr>
            <w:tcW w:w="1120" w:type="dxa"/>
          </w:tcPr>
          <w:p w14:paraId="175BCC3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-0.3362</w:t>
            </w:r>
          </w:p>
        </w:tc>
        <w:tc>
          <w:tcPr>
            <w:tcW w:w="1120" w:type="dxa"/>
          </w:tcPr>
          <w:p w14:paraId="37B70E2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1.53%</w:t>
            </w:r>
          </w:p>
        </w:tc>
        <w:tc>
          <w:tcPr>
            <w:tcW w:w="1120" w:type="dxa"/>
          </w:tcPr>
          <w:p w14:paraId="04A7239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5.41%</w:t>
            </w:r>
          </w:p>
        </w:tc>
        <w:tc>
          <w:tcPr>
            <w:tcW w:w="1120" w:type="dxa"/>
          </w:tcPr>
          <w:p w14:paraId="1B0DD84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7.6</w:t>
            </w:r>
          </w:p>
        </w:tc>
        <w:tc>
          <w:tcPr>
            <w:tcW w:w="1120" w:type="dxa"/>
          </w:tcPr>
          <w:p w14:paraId="7D2E4BD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8%</w:t>
            </w:r>
          </w:p>
        </w:tc>
        <w:tc>
          <w:tcPr>
            <w:tcW w:w="1120" w:type="dxa"/>
          </w:tcPr>
          <w:p w14:paraId="74207E9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9%</w:t>
            </w:r>
          </w:p>
        </w:tc>
      </w:tr>
      <w:tr w:rsidR="002641CF" w14:paraId="6E7D8A48" w14:textId="77777777">
        <w:trPr>
          <w:jc w:val="center"/>
        </w:trPr>
        <w:tc>
          <w:tcPr>
            <w:tcW w:w="1120" w:type="dxa"/>
          </w:tcPr>
          <w:p w14:paraId="5306AC5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Q3</w:t>
            </w:r>
          </w:p>
        </w:tc>
        <w:tc>
          <w:tcPr>
            <w:tcW w:w="1120" w:type="dxa"/>
          </w:tcPr>
          <w:p w14:paraId="420F8BA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72</w:t>
            </w:r>
          </w:p>
        </w:tc>
        <w:tc>
          <w:tcPr>
            <w:tcW w:w="1120" w:type="dxa"/>
          </w:tcPr>
          <w:p w14:paraId="696E83E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-0.1431</w:t>
            </w:r>
          </w:p>
        </w:tc>
        <w:tc>
          <w:tcPr>
            <w:tcW w:w="1120" w:type="dxa"/>
          </w:tcPr>
          <w:p w14:paraId="4FC6174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1.92%</w:t>
            </w:r>
          </w:p>
        </w:tc>
        <w:tc>
          <w:tcPr>
            <w:tcW w:w="1120" w:type="dxa"/>
          </w:tcPr>
          <w:p w14:paraId="7D77854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6.80%</w:t>
            </w:r>
          </w:p>
        </w:tc>
        <w:tc>
          <w:tcPr>
            <w:tcW w:w="1120" w:type="dxa"/>
          </w:tcPr>
          <w:p w14:paraId="6D42205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8.5</w:t>
            </w:r>
          </w:p>
        </w:tc>
        <w:tc>
          <w:tcPr>
            <w:tcW w:w="1120" w:type="dxa"/>
          </w:tcPr>
          <w:p w14:paraId="1CDF47C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8%</w:t>
            </w:r>
          </w:p>
        </w:tc>
        <w:tc>
          <w:tcPr>
            <w:tcW w:w="1120" w:type="dxa"/>
          </w:tcPr>
          <w:p w14:paraId="3CD2651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6%</w:t>
            </w:r>
          </w:p>
        </w:tc>
      </w:tr>
      <w:tr w:rsidR="002641CF" w14:paraId="538B2D94" w14:textId="77777777">
        <w:trPr>
          <w:jc w:val="center"/>
        </w:trPr>
        <w:tc>
          <w:tcPr>
            <w:tcW w:w="1120" w:type="dxa"/>
          </w:tcPr>
          <w:p w14:paraId="612EE55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Q4</w:t>
            </w:r>
          </w:p>
        </w:tc>
        <w:tc>
          <w:tcPr>
            <w:tcW w:w="1120" w:type="dxa"/>
          </w:tcPr>
          <w:p w14:paraId="5F20235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72</w:t>
            </w:r>
          </w:p>
        </w:tc>
        <w:tc>
          <w:tcPr>
            <w:tcW w:w="1120" w:type="dxa"/>
          </w:tcPr>
          <w:p w14:paraId="6EF80B4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0.0696</w:t>
            </w:r>
          </w:p>
        </w:tc>
        <w:tc>
          <w:tcPr>
            <w:tcW w:w="1120" w:type="dxa"/>
          </w:tcPr>
          <w:p w14:paraId="3CD4B03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2.31%</w:t>
            </w:r>
          </w:p>
        </w:tc>
        <w:tc>
          <w:tcPr>
            <w:tcW w:w="1120" w:type="dxa"/>
          </w:tcPr>
          <w:p w14:paraId="4679856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6.83%</w:t>
            </w:r>
          </w:p>
        </w:tc>
        <w:tc>
          <w:tcPr>
            <w:tcW w:w="1120" w:type="dxa"/>
          </w:tcPr>
          <w:p w14:paraId="3EFF7C3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6.0</w:t>
            </w:r>
          </w:p>
        </w:tc>
        <w:tc>
          <w:tcPr>
            <w:tcW w:w="1120" w:type="dxa"/>
          </w:tcPr>
          <w:p w14:paraId="6A4CFB8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6%</w:t>
            </w:r>
          </w:p>
        </w:tc>
        <w:tc>
          <w:tcPr>
            <w:tcW w:w="1120" w:type="dxa"/>
          </w:tcPr>
          <w:p w14:paraId="2659868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5%</w:t>
            </w:r>
          </w:p>
        </w:tc>
      </w:tr>
      <w:tr w:rsidR="002641CF" w14:paraId="350DE962" w14:textId="77777777">
        <w:trPr>
          <w:jc w:val="center"/>
        </w:trPr>
        <w:tc>
          <w:tcPr>
            <w:tcW w:w="1120" w:type="dxa"/>
          </w:tcPr>
          <w:p w14:paraId="1D60719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Q5</w:t>
            </w:r>
            <w:r>
              <w:rPr>
                <w:rFonts w:ascii="Times New Roman" w:eastAsia="宋体" w:hAnsi="Times New Roman"/>
                <w:sz w:val="18"/>
              </w:rPr>
              <w:t>（最高）</w:t>
            </w:r>
          </w:p>
        </w:tc>
        <w:tc>
          <w:tcPr>
            <w:tcW w:w="1120" w:type="dxa"/>
          </w:tcPr>
          <w:p w14:paraId="17F36EA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73</w:t>
            </w:r>
          </w:p>
        </w:tc>
        <w:tc>
          <w:tcPr>
            <w:tcW w:w="1120" w:type="dxa"/>
          </w:tcPr>
          <w:p w14:paraId="70E7BAC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0.5079</w:t>
            </w:r>
          </w:p>
        </w:tc>
        <w:tc>
          <w:tcPr>
            <w:tcW w:w="1120" w:type="dxa"/>
          </w:tcPr>
          <w:p w14:paraId="04F454A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3.77%</w:t>
            </w:r>
          </w:p>
        </w:tc>
        <w:tc>
          <w:tcPr>
            <w:tcW w:w="1120" w:type="dxa"/>
          </w:tcPr>
          <w:p w14:paraId="2C60831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9.82%</w:t>
            </w:r>
          </w:p>
        </w:tc>
        <w:tc>
          <w:tcPr>
            <w:tcW w:w="1120" w:type="dxa"/>
          </w:tcPr>
          <w:p w14:paraId="0D916C2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4.4</w:t>
            </w:r>
          </w:p>
        </w:tc>
        <w:tc>
          <w:tcPr>
            <w:tcW w:w="1120" w:type="dxa"/>
          </w:tcPr>
          <w:p w14:paraId="1EEE3456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8%</w:t>
            </w:r>
          </w:p>
        </w:tc>
        <w:tc>
          <w:tcPr>
            <w:tcW w:w="1120" w:type="dxa"/>
          </w:tcPr>
          <w:p w14:paraId="335A94D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2%</w:t>
            </w:r>
          </w:p>
        </w:tc>
      </w:tr>
    </w:tbl>
    <w:p w14:paraId="71BF1B2E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（二）典型案例：六种行为切面</w:t>
      </w:r>
    </w:p>
    <w:p w14:paraId="0D3A2D1A" w14:textId="6C4AD3E2" w:rsidR="00587971" w:rsidRDefault="00587971" w:rsidP="00587971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我们从全样本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400 </w:t>
      </w:r>
      <w:r>
        <w:rPr>
          <w:rFonts w:ascii="Times New Roman" w:eastAsia="宋体" w:hAnsi="Times New Roman" w:hint="eastAsia"/>
          <w:sz w:val="24"/>
          <w:lang w:eastAsia="zh-CN"/>
        </w:rPr>
        <w:t>只基金里挑了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6 </w:t>
      </w:r>
      <w:r>
        <w:rPr>
          <w:rFonts w:ascii="Times New Roman" w:eastAsia="宋体" w:hAnsi="Times New Roman" w:hint="eastAsia"/>
          <w:sz w:val="24"/>
          <w:lang w:eastAsia="zh-CN"/>
        </w:rPr>
        <w:t>位经理：</w:t>
      </w:r>
      <w:r w:rsidR="00B44CD7">
        <w:rPr>
          <w:rFonts w:ascii="Times New Roman" w:eastAsia="宋体" w:hAnsi="Times New Roman" w:hint="eastAsia"/>
          <w:sz w:val="24"/>
          <w:lang w:eastAsia="zh-CN"/>
        </w:rPr>
        <w:t>①</w:t>
      </w:r>
      <w:r>
        <w:rPr>
          <w:rFonts w:ascii="Times New Roman" w:eastAsia="宋体" w:hAnsi="Times New Roman" w:hint="eastAsia"/>
          <w:sz w:val="24"/>
          <w:lang w:eastAsia="zh-CN"/>
        </w:rPr>
        <w:t>综合能力全样本第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100 </w:t>
      </w:r>
      <w:r>
        <w:rPr>
          <w:rFonts w:ascii="Times New Roman" w:eastAsia="宋体" w:hAnsi="Times New Roman" w:hint="eastAsia"/>
          <w:sz w:val="24"/>
          <w:lang w:eastAsia="zh-CN"/>
        </w:rPr>
        <w:t>分位的全能型、</w:t>
      </w:r>
      <w:r w:rsidR="00B44CD7">
        <w:rPr>
          <w:rFonts w:ascii="Times New Roman" w:eastAsia="宋体" w:hAnsi="Times New Roman" w:hint="eastAsia"/>
          <w:sz w:val="24"/>
          <w:lang w:eastAsia="zh-CN"/>
        </w:rPr>
        <w:t>②</w:t>
      </w:r>
      <w:r>
        <w:rPr>
          <w:rFonts w:ascii="Times New Roman" w:eastAsia="宋体" w:hAnsi="Times New Roman" w:hint="eastAsia"/>
          <w:sz w:val="24"/>
          <w:lang w:eastAsia="zh-CN"/>
        </w:rPr>
        <w:t>转化效率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100 </w:t>
      </w:r>
      <w:r>
        <w:rPr>
          <w:rFonts w:ascii="Times New Roman" w:eastAsia="宋体" w:hAnsi="Times New Roman" w:hint="eastAsia"/>
          <w:sz w:val="24"/>
          <w:lang w:eastAsia="zh-CN"/>
        </w:rPr>
        <w:t>分位的风险定价型、</w:t>
      </w:r>
      <w:r w:rsidR="00B44CD7">
        <w:rPr>
          <w:rFonts w:ascii="Times New Roman" w:eastAsia="宋体" w:hAnsi="Times New Roman" w:hint="eastAsia"/>
          <w:sz w:val="24"/>
          <w:lang w:eastAsia="zh-CN"/>
        </w:rPr>
        <w:t>③</w:t>
      </w:r>
      <w:r>
        <w:rPr>
          <w:rFonts w:ascii="Times New Roman" w:eastAsia="宋体" w:hAnsi="Times New Roman" w:hint="eastAsia"/>
          <w:sz w:val="24"/>
          <w:lang w:eastAsia="zh-CN"/>
        </w:rPr>
        <w:t>认知偏差得分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100 </w:t>
      </w:r>
      <w:r>
        <w:rPr>
          <w:rFonts w:ascii="Times New Roman" w:eastAsia="宋体" w:hAnsi="Times New Roman" w:hint="eastAsia"/>
          <w:sz w:val="24"/>
          <w:lang w:eastAsia="zh-CN"/>
        </w:rPr>
        <w:t>分位的认知纪律型、</w:t>
      </w:r>
      <w:r w:rsidR="00B44CD7">
        <w:rPr>
          <w:rFonts w:ascii="Times New Roman" w:eastAsia="宋体" w:hAnsi="Times New Roman" w:hint="eastAsia"/>
          <w:sz w:val="24"/>
          <w:lang w:eastAsia="zh-CN"/>
        </w:rPr>
        <w:t>④</w:t>
      </w:r>
      <w:r>
        <w:rPr>
          <w:rFonts w:ascii="Times New Roman" w:eastAsia="宋体" w:hAnsi="Times New Roman" w:hint="eastAsia"/>
          <w:sz w:val="24"/>
          <w:lang w:eastAsia="zh-CN"/>
        </w:rPr>
        <w:t>过程应对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99 </w:t>
      </w:r>
      <w:r>
        <w:rPr>
          <w:rFonts w:ascii="Times New Roman" w:eastAsia="宋体" w:hAnsi="Times New Roman" w:hint="eastAsia"/>
          <w:sz w:val="24"/>
          <w:lang w:eastAsia="zh-CN"/>
        </w:rPr>
        <w:t>分位的攻守转换型、</w:t>
      </w:r>
      <w:r w:rsidR="00B44CD7">
        <w:rPr>
          <w:rFonts w:ascii="Times New Roman" w:eastAsia="宋体" w:hAnsi="Times New Roman" w:hint="eastAsia"/>
          <w:sz w:val="24"/>
          <w:lang w:eastAsia="zh-CN"/>
        </w:rPr>
        <w:t>⑤</w:t>
      </w:r>
      <w:r>
        <w:rPr>
          <w:rFonts w:ascii="Times New Roman" w:eastAsia="宋体" w:hAnsi="Times New Roman" w:hint="eastAsia"/>
          <w:sz w:val="24"/>
          <w:lang w:eastAsia="zh-CN"/>
        </w:rPr>
        <w:t>基本面边界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100 </w:t>
      </w:r>
      <w:r>
        <w:rPr>
          <w:rFonts w:ascii="Times New Roman" w:eastAsia="宋体" w:hAnsi="Times New Roman" w:hint="eastAsia"/>
          <w:sz w:val="24"/>
          <w:lang w:eastAsia="zh-CN"/>
        </w:rPr>
        <w:t>分位的基本面优势型，外加一位综合能力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0 </w:t>
      </w:r>
      <w:r>
        <w:rPr>
          <w:rFonts w:ascii="Times New Roman" w:eastAsia="宋体" w:hAnsi="Times New Roman" w:hint="eastAsia"/>
          <w:sz w:val="24"/>
          <w:lang w:eastAsia="zh-CN"/>
        </w:rPr>
        <w:t>分位的反例。这样安排，是为了回答一个问题：单一维度做到极致，能不能撑起好业绩？</w:t>
      </w:r>
    </w:p>
    <w:p w14:paraId="47B887AF" w14:textId="4F2D65E9" w:rsidR="00587971" w:rsidRPr="00587971" w:rsidRDefault="00587971" w:rsidP="00587971">
      <w:pPr>
        <w:spacing w:after="120" w:line="360" w:lineRule="auto"/>
        <w:ind w:firstLine="480"/>
        <w:rPr>
          <w:rFonts w:eastAsia="宋体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3 </w:t>
      </w:r>
      <w:r>
        <w:rPr>
          <w:rFonts w:ascii="Times New Roman" w:eastAsia="宋体" w:hAnsi="Times New Roman" w:hint="eastAsia"/>
          <w:sz w:val="24"/>
          <w:lang w:eastAsia="zh-CN"/>
        </w:rPr>
        <w:t>是这六位经理的六维能力雷达图。怎么读这张图？第一，六个角均衡往外扩（全能型那样），代表各层面协同、没有短板；第二，一个角特别凸、其他角塌下去（认知纪律型、攻守转换型那样）——单一维度的极致；第三，</w:t>
      </w:r>
      <w:r>
        <w:rPr>
          <w:rFonts w:ascii="Times New Roman" w:eastAsia="宋体" w:hAnsi="Times New Roman" w:hint="eastAsia"/>
          <w:sz w:val="24"/>
          <w:lang w:eastAsia="zh-CN"/>
        </w:rPr>
        <w:t>L1</w:t>
      </w:r>
      <w:r>
        <w:rPr>
          <w:rFonts w:ascii="Times New Roman" w:eastAsia="宋体" w:hAnsi="Times New Roman" w:hint="eastAsia"/>
          <w:sz w:val="24"/>
          <w:lang w:eastAsia="zh-CN"/>
        </w:rPr>
        <w:t>（基本面边界）分位高不等于能力强——年轻、小规模不是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能力本身</w:t>
      </w:r>
      <w:r>
        <w:rPr>
          <w:rFonts w:ascii="Times New Roman" w:eastAsia="宋体" w:hAnsi="Times New Roman" w:hint="eastAsia"/>
          <w:sz w:val="24"/>
          <w:lang w:eastAsia="zh-CN"/>
        </w:rPr>
        <w:t>"</w:t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70D822C5" w14:textId="77777777" w:rsidR="002641CF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15FD8AB" wp14:editId="1508025F">
            <wp:extent cx="4680000" cy="41211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_六维能力雷达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2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C791" w14:textId="77777777" w:rsidR="002641CF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图</w:t>
      </w:r>
      <w:r>
        <w:rPr>
          <w:rFonts w:ascii="Times New Roman" w:eastAsia="黑体" w:hAnsi="Times New Roman"/>
          <w:sz w:val="21"/>
          <w:lang w:eastAsia="zh-CN"/>
        </w:rPr>
        <w:t xml:space="preserve"> 3  </w:t>
      </w:r>
      <w:r>
        <w:rPr>
          <w:rFonts w:ascii="Times New Roman" w:eastAsia="黑体" w:hAnsi="Times New Roman"/>
          <w:sz w:val="21"/>
          <w:lang w:eastAsia="zh-CN"/>
        </w:rPr>
        <w:t>五名典型投资经理与反例的六维能力雷达图（全样本百分位）</w:t>
      </w:r>
    </w:p>
    <w:p w14:paraId="4E86E403" w14:textId="77777777" w:rsidR="002641CF" w:rsidRDefault="00000000">
      <w:pPr>
        <w:spacing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sz w:val="21"/>
          <w:lang w:eastAsia="zh-CN"/>
        </w:rPr>
        <w:t>表</w:t>
      </w:r>
      <w:r>
        <w:rPr>
          <w:rFonts w:ascii="Times New Roman" w:eastAsia="黑体" w:hAnsi="Times New Roman"/>
          <w:sz w:val="21"/>
          <w:lang w:eastAsia="zh-CN"/>
        </w:rPr>
        <w:t xml:space="preserve"> 8  </w:t>
      </w:r>
      <w:r>
        <w:rPr>
          <w:rFonts w:ascii="Times New Roman" w:eastAsia="黑体" w:hAnsi="Times New Roman"/>
          <w:sz w:val="21"/>
          <w:lang w:eastAsia="zh-CN"/>
        </w:rPr>
        <w:t>典型画像：五名正向画像与一名反例的六维分位（</w:t>
      </w:r>
      <w:r>
        <w:rPr>
          <w:rFonts w:ascii="Times New Roman" w:eastAsia="黑体" w:hAnsi="Times New Roman"/>
          <w:sz w:val="21"/>
          <w:lang w:eastAsia="zh-CN"/>
        </w:rPr>
        <w:t>%</w:t>
      </w:r>
      <w:r>
        <w:rPr>
          <w:rFonts w:ascii="Times New Roman" w:eastAsia="黑体" w:hAnsi="Times New Roman"/>
          <w:sz w:val="21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2"/>
        <w:gridCol w:w="1377"/>
        <w:gridCol w:w="1372"/>
        <w:gridCol w:w="1381"/>
        <w:gridCol w:w="1424"/>
        <w:gridCol w:w="2278"/>
      </w:tblGrid>
      <w:tr w:rsidR="002641CF" w14:paraId="55ED3083" w14:textId="77777777" w:rsidTr="00B44CD7">
        <w:trPr>
          <w:jc w:val="center"/>
        </w:trPr>
        <w:tc>
          <w:tcPr>
            <w:tcW w:w="1342" w:type="dxa"/>
          </w:tcPr>
          <w:p w14:paraId="27E614DE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形态</w:t>
            </w:r>
          </w:p>
        </w:tc>
        <w:tc>
          <w:tcPr>
            <w:tcW w:w="1377" w:type="dxa"/>
          </w:tcPr>
          <w:p w14:paraId="40BB50F4" w14:textId="77777777" w:rsidR="002641CF" w:rsidRDefault="00000000">
            <w:pPr>
              <w:spacing w:after="40" w:line="276" w:lineRule="auto"/>
            </w:pPr>
            <w:r>
              <w:rPr>
                <w:rFonts w:ascii="Times New Roman" w:eastAsia="宋体" w:hAnsi="Times New Roman"/>
                <w:b/>
                <w:sz w:val="18"/>
              </w:rPr>
              <w:t>基金／经理／公司</w:t>
            </w:r>
          </w:p>
        </w:tc>
        <w:tc>
          <w:tcPr>
            <w:tcW w:w="1372" w:type="dxa"/>
          </w:tcPr>
          <w:p w14:paraId="6D1D855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规模</w:t>
            </w:r>
            <w:r>
              <w:rPr>
                <w:rFonts w:ascii="Times New Roman" w:eastAsia="宋体" w:hAnsi="Times New Roman"/>
                <w:b/>
                <w:sz w:val="18"/>
              </w:rPr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亿元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1381" w:type="dxa"/>
          </w:tcPr>
          <w:p w14:paraId="20915F9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FF5 alpha</w:t>
            </w:r>
          </w:p>
        </w:tc>
        <w:tc>
          <w:tcPr>
            <w:tcW w:w="1424" w:type="dxa"/>
          </w:tcPr>
          <w:p w14:paraId="040D80A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综合能力</w:t>
            </w:r>
            <w:r>
              <w:rPr>
                <w:rFonts w:ascii="Times New Roman" w:eastAsia="宋体" w:hAnsi="Times New Roman"/>
                <w:b/>
                <w:sz w:val="18"/>
              </w:rPr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分位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2278" w:type="dxa"/>
          </w:tcPr>
          <w:p w14:paraId="150E054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六维分位（</w:t>
            </w:r>
            <w:r>
              <w:rPr>
                <w:rFonts w:ascii="Times New Roman" w:eastAsia="宋体" w:hAnsi="Times New Roman"/>
                <w:b/>
                <w:sz w:val="18"/>
              </w:rPr>
              <w:t>L1/L2/L3/L4a/L4b/L5</w:t>
            </w:r>
            <w:r>
              <w:rPr>
                <w:rFonts w:ascii="Times New Roman" w:eastAsia="宋体" w:hAnsi="Times New Roman"/>
                <w:b/>
                <w:sz w:val="18"/>
              </w:rPr>
              <w:t>）</w:t>
            </w:r>
          </w:p>
        </w:tc>
      </w:tr>
      <w:tr w:rsidR="002641CF" w14:paraId="060E139C" w14:textId="77777777" w:rsidTr="00B44CD7">
        <w:trPr>
          <w:jc w:val="center"/>
        </w:trPr>
        <w:tc>
          <w:tcPr>
            <w:tcW w:w="1342" w:type="dxa"/>
          </w:tcPr>
          <w:p w14:paraId="076AE28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全能型</w:t>
            </w:r>
          </w:p>
        </w:tc>
        <w:tc>
          <w:tcPr>
            <w:tcW w:w="1377" w:type="dxa"/>
          </w:tcPr>
          <w:p w14:paraId="2A809C06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中航机遇领航混合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／韩浩、王森／中航基金</w:t>
            </w:r>
          </w:p>
        </w:tc>
        <w:tc>
          <w:tcPr>
            <w:tcW w:w="1372" w:type="dxa"/>
          </w:tcPr>
          <w:p w14:paraId="22EE6341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0.21</w:t>
            </w:r>
          </w:p>
        </w:tc>
        <w:tc>
          <w:tcPr>
            <w:tcW w:w="1381" w:type="dxa"/>
          </w:tcPr>
          <w:p w14:paraId="2E627C9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5.41%</w:t>
            </w:r>
          </w:p>
        </w:tc>
        <w:tc>
          <w:tcPr>
            <w:tcW w:w="1424" w:type="dxa"/>
          </w:tcPr>
          <w:p w14:paraId="1353A89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+1.57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100%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278" w:type="dxa"/>
          </w:tcPr>
          <w:p w14:paraId="0B7797F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90/99/93/99/99/93</w:t>
            </w:r>
          </w:p>
        </w:tc>
      </w:tr>
      <w:tr w:rsidR="002641CF" w14:paraId="7F6B14F3" w14:textId="77777777" w:rsidTr="00B44CD7">
        <w:trPr>
          <w:jc w:val="center"/>
        </w:trPr>
        <w:tc>
          <w:tcPr>
            <w:tcW w:w="1342" w:type="dxa"/>
          </w:tcPr>
          <w:p w14:paraId="65130D9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风险定价型</w:t>
            </w:r>
          </w:p>
        </w:tc>
        <w:tc>
          <w:tcPr>
            <w:tcW w:w="1377" w:type="dxa"/>
          </w:tcPr>
          <w:p w14:paraId="26FCD2AA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易方达信息产业混合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／郑希／易方达基金</w:t>
            </w:r>
          </w:p>
        </w:tc>
        <w:tc>
          <w:tcPr>
            <w:tcW w:w="1372" w:type="dxa"/>
          </w:tcPr>
          <w:p w14:paraId="4C2A8CD0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81.19</w:t>
            </w:r>
          </w:p>
        </w:tc>
        <w:tc>
          <w:tcPr>
            <w:tcW w:w="1381" w:type="dxa"/>
          </w:tcPr>
          <w:p w14:paraId="1768E53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3.31%</w:t>
            </w:r>
          </w:p>
        </w:tc>
        <w:tc>
          <w:tcPr>
            <w:tcW w:w="1424" w:type="dxa"/>
          </w:tcPr>
          <w:p w14:paraId="2E2E977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+1.24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99%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278" w:type="dxa"/>
          </w:tcPr>
          <w:p w14:paraId="4C76AA2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76/96/90/95/100/77</w:t>
            </w:r>
          </w:p>
        </w:tc>
      </w:tr>
      <w:tr w:rsidR="002641CF" w14:paraId="5ACBC435" w14:textId="77777777" w:rsidTr="00B44CD7">
        <w:trPr>
          <w:jc w:val="center"/>
        </w:trPr>
        <w:tc>
          <w:tcPr>
            <w:tcW w:w="1342" w:type="dxa"/>
          </w:tcPr>
          <w:p w14:paraId="4A0FAC9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认知纪律型</w:t>
            </w:r>
          </w:p>
        </w:tc>
        <w:tc>
          <w:tcPr>
            <w:tcW w:w="1377" w:type="dxa"/>
          </w:tcPr>
          <w:p w14:paraId="565D99BD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东方惠新灵活配置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／严凯／东方基金</w:t>
            </w:r>
          </w:p>
        </w:tc>
        <w:tc>
          <w:tcPr>
            <w:tcW w:w="1372" w:type="dxa"/>
          </w:tcPr>
          <w:p w14:paraId="5FDFC2E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34.67</w:t>
            </w:r>
          </w:p>
        </w:tc>
        <w:tc>
          <w:tcPr>
            <w:tcW w:w="1381" w:type="dxa"/>
          </w:tcPr>
          <w:p w14:paraId="2645BAB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3.34%</w:t>
            </w:r>
          </w:p>
        </w:tc>
        <w:tc>
          <w:tcPr>
            <w:tcW w:w="1424" w:type="dxa"/>
          </w:tcPr>
          <w:p w14:paraId="5C18D64C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+0.04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67%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278" w:type="dxa"/>
          </w:tcPr>
          <w:p w14:paraId="3FE1F6F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70/100/28/1/9/87</w:t>
            </w:r>
          </w:p>
        </w:tc>
      </w:tr>
      <w:tr w:rsidR="002641CF" w14:paraId="6CD46427" w14:textId="77777777" w:rsidTr="00B44CD7">
        <w:trPr>
          <w:jc w:val="center"/>
        </w:trPr>
        <w:tc>
          <w:tcPr>
            <w:tcW w:w="1342" w:type="dxa"/>
          </w:tcPr>
          <w:p w14:paraId="56330FB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攻守转换型</w:t>
            </w:r>
          </w:p>
        </w:tc>
        <w:tc>
          <w:tcPr>
            <w:tcW w:w="1377" w:type="dxa"/>
          </w:tcPr>
          <w:p w14:paraId="7FEF30AD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信澳业绩驱动混合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／童昌希／信达澳亚基金</w:t>
            </w:r>
          </w:p>
        </w:tc>
        <w:tc>
          <w:tcPr>
            <w:tcW w:w="1372" w:type="dxa"/>
          </w:tcPr>
          <w:p w14:paraId="162B6273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2.46</w:t>
            </w:r>
          </w:p>
        </w:tc>
        <w:tc>
          <w:tcPr>
            <w:tcW w:w="1381" w:type="dxa"/>
          </w:tcPr>
          <w:p w14:paraId="196C842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6.67%</w:t>
            </w:r>
          </w:p>
        </w:tc>
        <w:tc>
          <w:tcPr>
            <w:tcW w:w="1424" w:type="dxa"/>
          </w:tcPr>
          <w:p w14:paraId="7316DD14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+0.19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80%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278" w:type="dxa"/>
          </w:tcPr>
          <w:p w14:paraId="4F2C2D5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85/68/66/99/1/69</w:t>
            </w:r>
          </w:p>
        </w:tc>
      </w:tr>
      <w:tr w:rsidR="002641CF" w14:paraId="27745201" w14:textId="77777777" w:rsidTr="00B44CD7">
        <w:trPr>
          <w:jc w:val="center"/>
        </w:trPr>
        <w:tc>
          <w:tcPr>
            <w:tcW w:w="1342" w:type="dxa"/>
          </w:tcPr>
          <w:p w14:paraId="2B132E8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基本面优势型</w:t>
            </w:r>
          </w:p>
        </w:tc>
        <w:tc>
          <w:tcPr>
            <w:tcW w:w="1377" w:type="dxa"/>
          </w:tcPr>
          <w:p w14:paraId="19ED6670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诺德兴新趋势混合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Yi Xie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、周建胜／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lastRenderedPageBreak/>
              <w:t>诺德基金</w:t>
            </w:r>
          </w:p>
        </w:tc>
        <w:tc>
          <w:tcPr>
            <w:tcW w:w="1372" w:type="dxa"/>
          </w:tcPr>
          <w:p w14:paraId="437F854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2.32</w:t>
            </w:r>
          </w:p>
        </w:tc>
        <w:tc>
          <w:tcPr>
            <w:tcW w:w="1381" w:type="dxa"/>
          </w:tcPr>
          <w:p w14:paraId="0E296757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-0.83%</w:t>
            </w:r>
          </w:p>
        </w:tc>
        <w:tc>
          <w:tcPr>
            <w:tcW w:w="1424" w:type="dxa"/>
          </w:tcPr>
          <w:p w14:paraId="656E26F5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-0.15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50%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278" w:type="dxa"/>
          </w:tcPr>
          <w:p w14:paraId="4DD9613D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100/1/20/96/2/59</w:t>
            </w:r>
          </w:p>
        </w:tc>
      </w:tr>
      <w:tr w:rsidR="002641CF" w14:paraId="550A1773" w14:textId="77777777" w:rsidTr="00B44CD7">
        <w:trPr>
          <w:jc w:val="center"/>
        </w:trPr>
        <w:tc>
          <w:tcPr>
            <w:tcW w:w="1342" w:type="dxa"/>
          </w:tcPr>
          <w:p w14:paraId="347AB8F8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反例</w:t>
            </w:r>
          </w:p>
        </w:tc>
        <w:tc>
          <w:tcPr>
            <w:tcW w:w="1377" w:type="dxa"/>
          </w:tcPr>
          <w:p w14:paraId="6316DC4E" w14:textId="77777777" w:rsidR="002641CF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华安策略优选混合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／杨明／华安基金</w:t>
            </w:r>
          </w:p>
        </w:tc>
        <w:tc>
          <w:tcPr>
            <w:tcW w:w="1372" w:type="dxa"/>
          </w:tcPr>
          <w:p w14:paraId="7F0E90D9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5.00</w:t>
            </w:r>
          </w:p>
        </w:tc>
        <w:tc>
          <w:tcPr>
            <w:tcW w:w="1381" w:type="dxa"/>
          </w:tcPr>
          <w:p w14:paraId="6CD7BFFA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-0.36%</w:t>
            </w:r>
          </w:p>
        </w:tc>
        <w:tc>
          <w:tcPr>
            <w:tcW w:w="1424" w:type="dxa"/>
          </w:tcPr>
          <w:p w14:paraId="2BECD06F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-0.91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0%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278" w:type="dxa"/>
          </w:tcPr>
          <w:p w14:paraId="3704FA7B" w14:textId="77777777" w:rsidR="002641CF" w:rsidRDefault="00000000">
            <w:pPr>
              <w:spacing w:after="40" w:line="276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1/76/3/10/20/12</w:t>
            </w:r>
          </w:p>
        </w:tc>
      </w:tr>
    </w:tbl>
    <w:p w14:paraId="14A3A477" w14:textId="450C3EF2" w:rsidR="00587971" w:rsidRDefault="00B44CD7" w:rsidP="00587971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案例比较呈现两条规律。</w:t>
      </w:r>
      <w:r w:rsidR="00587971">
        <w:rPr>
          <w:rFonts w:ascii="Times New Roman" w:eastAsia="宋体" w:hAnsi="Times New Roman" w:hint="eastAsia"/>
          <w:sz w:val="24"/>
          <w:lang w:eastAsia="zh-CN"/>
        </w:rPr>
        <w:t>其一，</w:t>
      </w:r>
      <w:r>
        <w:rPr>
          <w:rFonts w:ascii="Times New Roman" w:eastAsia="宋体" w:hAnsi="Times New Roman"/>
          <w:sz w:val="24"/>
          <w:lang w:eastAsia="zh-CN"/>
        </w:rPr>
        <w:t>单一维度极致不等于综合业绩突出</w:t>
      </w:r>
      <w:r w:rsidR="00587971">
        <w:rPr>
          <w:rFonts w:ascii="Times New Roman" w:eastAsia="宋体" w:hAnsi="Times New Roman" w:hint="eastAsia"/>
          <w:sz w:val="24"/>
          <w:lang w:eastAsia="zh-CN"/>
        </w:rPr>
        <w:t>：认知纪律型（东方惠新）认知层满分（</w:t>
      </w:r>
      <w:r w:rsidR="00587971">
        <w:rPr>
          <w:rFonts w:ascii="Times New Roman" w:eastAsia="宋体" w:hAnsi="Times New Roman" w:hint="eastAsia"/>
          <w:sz w:val="24"/>
          <w:lang w:eastAsia="zh-CN"/>
        </w:rPr>
        <w:t>L2=100%</w:t>
      </w:r>
      <w:r w:rsidR="00587971">
        <w:rPr>
          <w:rFonts w:ascii="Times New Roman" w:eastAsia="宋体" w:hAnsi="Times New Roman" w:hint="eastAsia"/>
          <w:sz w:val="24"/>
          <w:lang w:eastAsia="zh-CN"/>
        </w:rPr>
        <w:t>）但过程应对只有</w:t>
      </w:r>
      <w:r w:rsidR="00587971">
        <w:rPr>
          <w:rFonts w:ascii="Times New Roman" w:eastAsia="宋体" w:hAnsi="Times New Roman" w:hint="eastAsia"/>
          <w:sz w:val="24"/>
          <w:lang w:eastAsia="zh-CN"/>
        </w:rPr>
        <w:t xml:space="preserve"> 1%</w:t>
      </w:r>
      <w:r w:rsidR="00587971">
        <w:rPr>
          <w:rFonts w:ascii="Times New Roman" w:eastAsia="宋体" w:hAnsi="Times New Roman" w:hint="eastAsia"/>
          <w:sz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lang w:eastAsia="zh-CN"/>
        </w:rPr>
        <w:t>综合能力只排</w:t>
      </w:r>
      <w:r>
        <w:rPr>
          <w:rFonts w:ascii="Times New Roman" w:eastAsia="宋体" w:hAnsi="Times New Roman" w:hint="eastAsia"/>
          <w:sz w:val="24"/>
          <w:lang w:eastAsia="zh-CN"/>
        </w:rPr>
        <w:t xml:space="preserve"> 67%</w:t>
      </w:r>
      <w:r>
        <w:rPr>
          <w:rFonts w:ascii="Times New Roman" w:eastAsia="宋体" w:hAnsi="Times New Roman" w:hint="eastAsia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显示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认知端正但执行薄弱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并未转化为业绩</w:t>
      </w:r>
      <w:r w:rsidR="00587971">
        <w:rPr>
          <w:rFonts w:ascii="Times New Roman" w:eastAsia="宋体" w:hAnsi="Times New Roman" w:hint="eastAsia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>攻守转换型（信澳业绩驱动）过程应对达</w:t>
      </w:r>
      <w:r>
        <w:rPr>
          <w:rFonts w:ascii="Times New Roman" w:eastAsia="宋体" w:hAnsi="Times New Roman"/>
          <w:sz w:val="24"/>
          <w:lang w:eastAsia="zh-CN"/>
        </w:rPr>
        <w:t xml:space="preserve"> 99 </w:t>
      </w:r>
      <w:r>
        <w:rPr>
          <w:rFonts w:ascii="Times New Roman" w:eastAsia="宋体" w:hAnsi="Times New Roman"/>
          <w:sz w:val="24"/>
          <w:lang w:eastAsia="zh-CN"/>
        </w:rPr>
        <w:t>分位但转化效率仅</w:t>
      </w:r>
      <w:r>
        <w:rPr>
          <w:rFonts w:ascii="Times New Roman" w:eastAsia="宋体" w:hAnsi="Times New Roman"/>
          <w:sz w:val="24"/>
          <w:lang w:eastAsia="zh-CN"/>
        </w:rPr>
        <w:t xml:space="preserve"> 1% </w:t>
      </w:r>
      <w:r>
        <w:rPr>
          <w:rFonts w:ascii="Times New Roman" w:eastAsia="宋体" w:hAnsi="Times New Roman"/>
          <w:sz w:val="24"/>
          <w:lang w:eastAsia="zh-CN"/>
        </w:rPr>
        <w:t>分位，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调仓积极但转化低效</w:t>
      </w:r>
      <w:r>
        <w:rPr>
          <w:rFonts w:ascii="Times New Roman" w:eastAsia="宋体" w:hAnsi="Times New Roman"/>
          <w:sz w:val="24"/>
          <w:lang w:eastAsia="zh-CN"/>
        </w:rPr>
        <w:t>"</w:t>
      </w:r>
      <w:r w:rsidR="00587971">
        <w:rPr>
          <w:rFonts w:ascii="Times New Roman" w:eastAsia="宋体" w:hAnsi="Times New Roman" w:hint="eastAsia"/>
          <w:sz w:val="24"/>
          <w:lang w:eastAsia="zh-CN"/>
        </w:rPr>
        <w:t>；基本面优势型（诺德兴新趋势）边界条件满分（</w:t>
      </w:r>
      <w:r w:rsidR="00587971">
        <w:rPr>
          <w:rFonts w:ascii="Times New Roman" w:eastAsia="宋体" w:hAnsi="Times New Roman" w:hint="eastAsia"/>
          <w:sz w:val="24"/>
          <w:lang w:eastAsia="zh-CN"/>
        </w:rPr>
        <w:t>L1=100%</w:t>
      </w:r>
      <w:r w:rsidR="00587971">
        <w:rPr>
          <w:rFonts w:ascii="Times New Roman" w:eastAsia="宋体" w:hAnsi="Times New Roman" w:hint="eastAsia"/>
          <w:sz w:val="24"/>
          <w:lang w:eastAsia="zh-CN"/>
        </w:rPr>
        <w:t>）但</w:t>
      </w:r>
      <w:r w:rsidR="00587971">
        <w:rPr>
          <w:rFonts w:ascii="Times New Roman" w:eastAsia="宋体" w:hAnsi="Times New Roman" w:hint="eastAsia"/>
          <w:sz w:val="24"/>
          <w:lang w:eastAsia="zh-CN"/>
        </w:rPr>
        <w:t xml:space="preserve"> alpha </w:t>
      </w:r>
      <w:r w:rsidR="00587971">
        <w:rPr>
          <w:rFonts w:ascii="Times New Roman" w:eastAsia="宋体" w:hAnsi="Times New Roman" w:hint="eastAsia"/>
          <w:sz w:val="24"/>
          <w:lang w:eastAsia="zh-CN"/>
        </w:rPr>
        <w:t>为负——</w:t>
      </w:r>
      <w:r>
        <w:rPr>
          <w:rFonts w:ascii="Times New Roman" w:eastAsia="宋体" w:hAnsi="Times New Roman"/>
          <w:sz w:val="24"/>
          <w:lang w:eastAsia="zh-CN"/>
        </w:rPr>
        <w:t>年轻与小规模是业绩的边界条件，而非能力本身</w:t>
      </w:r>
      <w:r w:rsidR="00587971">
        <w:rPr>
          <w:rFonts w:ascii="Times New Roman" w:eastAsia="宋体" w:hAnsi="Times New Roman" w:hint="eastAsia"/>
          <w:sz w:val="24"/>
          <w:lang w:eastAsia="zh-CN"/>
        </w:rPr>
        <w:t>。其二，</w:t>
      </w:r>
      <w:r w:rsidR="00587971">
        <w:rPr>
          <w:rFonts w:ascii="Times New Roman" w:eastAsia="宋体" w:hAnsi="Times New Roman"/>
          <w:sz w:val="24"/>
          <w:lang w:eastAsia="zh-CN"/>
        </w:rPr>
        <w:t>绩优形态</w:t>
      </w:r>
      <w:r w:rsidR="00587971">
        <w:rPr>
          <w:rFonts w:ascii="Times New Roman" w:eastAsia="宋体" w:hAnsi="Times New Roman" w:hint="eastAsia"/>
          <w:sz w:val="24"/>
          <w:lang w:eastAsia="zh-CN"/>
        </w:rPr>
        <w:t>（全能型、风险定价型）共同点是至少三个维度同时在高位，</w:t>
      </w:r>
      <w:r>
        <w:rPr>
          <w:rFonts w:ascii="Times New Roman" w:eastAsia="宋体" w:hAnsi="Times New Roman"/>
          <w:sz w:val="24"/>
          <w:lang w:eastAsia="zh-CN"/>
        </w:rPr>
        <w:t>反例则呈全面低分位形态</w:t>
      </w:r>
      <w:r w:rsidR="00587971">
        <w:rPr>
          <w:rFonts w:ascii="Times New Roman" w:eastAsia="宋体" w:hAnsi="Times New Roman" w:hint="eastAsia"/>
          <w:sz w:val="24"/>
          <w:lang w:eastAsia="zh-CN"/>
        </w:rPr>
        <w:t>。</w:t>
      </w:r>
      <w:r w:rsidR="00587971">
        <w:rPr>
          <w:rFonts w:ascii="Times New Roman" w:eastAsia="宋体" w:hAnsi="Times New Roman"/>
          <w:sz w:val="24"/>
          <w:lang w:eastAsia="zh-CN"/>
        </w:rPr>
        <w:t>行为优势是多维度协同的结果，而非单一维度的极致。</w:t>
      </w:r>
    </w:p>
    <w:p w14:paraId="17D2FF95" w14:textId="77777777" w:rsidR="00587971" w:rsidRPr="00587971" w:rsidRDefault="00587971">
      <w:pPr>
        <w:spacing w:after="120" w:line="360" w:lineRule="auto"/>
        <w:ind w:firstLine="480"/>
        <w:rPr>
          <w:lang w:eastAsia="zh-CN"/>
        </w:rPr>
      </w:pPr>
    </w:p>
    <w:p w14:paraId="4F0B5891" w14:textId="77777777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四、结论与启示</w:t>
      </w:r>
    </w:p>
    <w:p w14:paraId="323D61F8" w14:textId="77777777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第一，行为优势是全链条的。风格底色、认知偏差与风险应对三层行为需协同作用，才能在业绩中体现为持续的超额收益；任何单一维度的极端表现均无法独立解释业绩分化。这提示管理人评价应避免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单指标崇拜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，宜采用多维度复合视角。</w:t>
      </w:r>
    </w:p>
    <w:p w14:paraId="77E433E5" w14:textId="77777777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第二，风险应对层是行为转化为业绩的关键枢纽。过程应对在群体画像中差距最大（</w:t>
      </w:r>
      <w:r>
        <w:rPr>
          <w:rFonts w:ascii="Times New Roman" w:eastAsia="宋体" w:hAnsi="Times New Roman"/>
          <w:sz w:val="24"/>
          <w:lang w:eastAsia="zh-CN"/>
        </w:rPr>
        <w:t>Top−Bottom=1.19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t=5.16</w:t>
      </w:r>
      <w:r>
        <w:rPr>
          <w:rFonts w:ascii="Times New Roman" w:eastAsia="宋体" w:hAnsi="Times New Roman"/>
          <w:sz w:val="24"/>
          <w:lang w:eastAsia="zh-CN"/>
        </w:rPr>
        <w:t>），转化效率在联立回归中系数最大（</w:t>
      </w:r>
      <w:r>
        <w:rPr>
          <w:rFonts w:ascii="Times New Roman" w:eastAsia="宋体" w:hAnsi="Times New Roman"/>
          <w:sz w:val="24"/>
        </w:rPr>
        <w:t>β</w:t>
      </w:r>
      <w:r>
        <w:rPr>
          <w:rFonts w:ascii="Times New Roman" w:eastAsia="宋体" w:hAnsi="Times New Roman"/>
          <w:sz w:val="24"/>
          <w:lang w:eastAsia="zh-CN"/>
        </w:rPr>
        <w:t>=0.0132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t=5.50</w:t>
      </w:r>
      <w:r>
        <w:rPr>
          <w:rFonts w:ascii="Times New Roman" w:eastAsia="宋体" w:hAnsi="Times New Roman"/>
          <w:sz w:val="24"/>
          <w:lang w:eastAsia="zh-CN"/>
        </w:rPr>
        <w:t>），下行保护的单指标区分度最高（</w:t>
      </w:r>
      <w:r>
        <w:rPr>
          <w:rFonts w:ascii="Times New Roman" w:eastAsia="宋体" w:hAnsi="Times New Roman"/>
          <w:sz w:val="24"/>
          <w:lang w:eastAsia="zh-CN"/>
        </w:rPr>
        <w:t>t=5.40</w:t>
      </w:r>
      <w:r>
        <w:rPr>
          <w:rFonts w:ascii="Times New Roman" w:eastAsia="宋体" w:hAnsi="Times New Roman"/>
          <w:sz w:val="24"/>
          <w:lang w:eastAsia="zh-CN"/>
        </w:rPr>
        <w:t>）。这意味着在市场下行阶段能够主动收缩风险暴露、并将所承担风险高效转化为收益的经理，更可能获得持续超额收益</w:t>
      </w:r>
      <w:r>
        <w:rPr>
          <w:rFonts w:ascii="Times New Roman" w:eastAsia="宋体" w:hAnsi="Times New Roman"/>
          <w:sz w:val="24"/>
          <w:lang w:eastAsia="zh-CN"/>
        </w:rPr>
        <w:t>——"</w:t>
      </w:r>
      <w:r>
        <w:rPr>
          <w:rFonts w:ascii="Times New Roman" w:eastAsia="宋体" w:hAnsi="Times New Roman"/>
          <w:sz w:val="24"/>
          <w:lang w:eastAsia="zh-CN"/>
        </w:rPr>
        <w:t>防守能力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应作为投资经理评价与风险监控的重要观察维度。</w:t>
      </w:r>
    </w:p>
    <w:p w14:paraId="08A7C481" w14:textId="77777777" w:rsidR="002641CF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第三，基本面边界是边界条件而非能力。任职年限、基金年龄与规模在单变量检验中显著，但同期进入联立模型后不显著（</w:t>
      </w:r>
      <w:r>
        <w:rPr>
          <w:rFonts w:ascii="Times New Roman" w:eastAsia="宋体" w:hAnsi="Times New Roman"/>
          <w:sz w:val="24"/>
          <w:lang w:eastAsia="zh-CN"/>
        </w:rPr>
        <w:t>t=-0.17</w:t>
      </w:r>
      <w:r>
        <w:rPr>
          <w:rFonts w:ascii="Times New Roman" w:eastAsia="宋体" w:hAnsi="Times New Roman"/>
          <w:sz w:val="24"/>
          <w:lang w:eastAsia="zh-CN"/>
        </w:rPr>
        <w:t>），样本外检验转为显著为正（</w:t>
      </w:r>
      <w:r>
        <w:rPr>
          <w:rFonts w:ascii="Times New Roman" w:eastAsia="宋体" w:hAnsi="Times New Roman"/>
          <w:sz w:val="24"/>
          <w:lang w:eastAsia="zh-CN"/>
        </w:rPr>
        <w:t>t=+2.71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年轻、小规模基金预示后期更高的</w:t>
      </w:r>
      <w:r>
        <w:rPr>
          <w:rFonts w:ascii="Times New Roman" w:eastAsia="宋体" w:hAnsi="Times New Roman"/>
          <w:sz w:val="24"/>
          <w:lang w:eastAsia="zh-CN"/>
        </w:rPr>
        <w:t xml:space="preserve"> alpha</w:t>
      </w:r>
      <w:r>
        <w:rPr>
          <w:rFonts w:ascii="Times New Roman" w:eastAsia="宋体" w:hAnsi="Times New Roman"/>
          <w:sz w:val="24"/>
          <w:lang w:eastAsia="zh-CN"/>
        </w:rPr>
        <w:t>，其信息已被行为维度吸收。该结论提示，规模与任职期限宜作为投资经理筛选的约束条件而非核心标准。</w:t>
      </w:r>
    </w:p>
    <w:p w14:paraId="2998957B" w14:textId="77777777" w:rsidR="00587971" w:rsidRDefault="00000000" w:rsidP="00587971">
      <w:pPr>
        <w:spacing w:after="120" w:line="360" w:lineRule="auto"/>
        <w:ind w:firstLine="480"/>
        <w:rPr>
          <w:rFonts w:eastAsia="宋体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第四，行为复合得分具有筛选与自检价值。按综合能力五等分，</w:t>
      </w:r>
      <w:r>
        <w:rPr>
          <w:rFonts w:ascii="Times New Roman" w:eastAsia="宋体" w:hAnsi="Times New Roman"/>
          <w:sz w:val="24"/>
          <w:lang w:eastAsia="zh-CN"/>
        </w:rPr>
        <w:t xml:space="preserve">FF5 alpha </w:t>
      </w:r>
      <w:r>
        <w:rPr>
          <w:rFonts w:ascii="Times New Roman" w:eastAsia="宋体" w:hAnsi="Times New Roman"/>
          <w:sz w:val="24"/>
          <w:lang w:eastAsia="zh-CN"/>
        </w:rPr>
        <w:t>自</w:t>
      </w:r>
      <w:r>
        <w:rPr>
          <w:rFonts w:ascii="Times New Roman" w:eastAsia="宋体" w:hAnsi="Times New Roman"/>
          <w:sz w:val="24"/>
          <w:lang w:eastAsia="zh-CN"/>
        </w:rPr>
        <w:t xml:space="preserve"> Q1 </w:t>
      </w:r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0.64% </w:t>
      </w:r>
      <w:r>
        <w:rPr>
          <w:rFonts w:ascii="Times New Roman" w:eastAsia="宋体" w:hAnsi="Times New Roman"/>
          <w:sz w:val="24"/>
          <w:lang w:eastAsia="zh-CN"/>
        </w:rPr>
        <w:t>严格单调升至</w:t>
      </w:r>
      <w:r>
        <w:rPr>
          <w:rFonts w:ascii="Times New Roman" w:eastAsia="宋体" w:hAnsi="Times New Roman"/>
          <w:sz w:val="24"/>
          <w:lang w:eastAsia="zh-CN"/>
        </w:rPr>
        <w:t xml:space="preserve"> Q5 </w:t>
      </w:r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3.77%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 xml:space="preserve">Q5−Q1=3.13 </w:t>
      </w:r>
      <w:r>
        <w:rPr>
          <w:rFonts w:ascii="Times New Roman" w:eastAsia="宋体" w:hAnsi="Times New Roman"/>
          <w:sz w:val="24"/>
          <w:lang w:eastAsia="zh-CN"/>
        </w:rPr>
        <w:t>个百分点，</w:t>
      </w:r>
      <w:r>
        <w:rPr>
          <w:rFonts w:ascii="Times New Roman" w:eastAsia="宋体" w:hAnsi="Times New Roman"/>
          <w:sz w:val="24"/>
          <w:lang w:eastAsia="zh-CN"/>
        </w:rPr>
        <w:t>t=10.28</w:t>
      </w:r>
      <w:r>
        <w:rPr>
          <w:rFonts w:ascii="Times New Roman" w:eastAsia="宋体" w:hAnsi="Times New Roman"/>
          <w:sz w:val="24"/>
          <w:lang w:eastAsia="zh-CN"/>
        </w:rPr>
        <w:t>）；剔除与因变</w:t>
      </w:r>
      <w:r>
        <w:rPr>
          <w:rFonts w:ascii="Times New Roman" w:eastAsia="宋体" w:hAnsi="Times New Roman"/>
          <w:sz w:val="24"/>
          <w:lang w:eastAsia="zh-CN"/>
        </w:rPr>
        <w:lastRenderedPageBreak/>
        <w:t>量同源的转化效率维度后，纯行为三维分组差仍显著（</w:t>
      </w:r>
      <w:r>
        <w:rPr>
          <w:rFonts w:ascii="Times New Roman" w:eastAsia="宋体" w:hAnsi="Times New Roman"/>
          <w:sz w:val="24"/>
          <w:lang w:eastAsia="zh-CN"/>
        </w:rPr>
        <w:t xml:space="preserve">2.60 </w:t>
      </w:r>
      <w:r>
        <w:rPr>
          <w:rFonts w:ascii="Times New Roman" w:eastAsia="宋体" w:hAnsi="Times New Roman"/>
          <w:sz w:val="24"/>
          <w:lang w:eastAsia="zh-CN"/>
        </w:rPr>
        <w:t>个百分点，</w:t>
      </w:r>
      <w:r>
        <w:rPr>
          <w:rFonts w:ascii="Times New Roman" w:eastAsia="宋体" w:hAnsi="Times New Roman"/>
          <w:sz w:val="24"/>
          <w:lang w:eastAsia="zh-CN"/>
        </w:rPr>
        <w:t>t=+8.43</w:t>
      </w:r>
      <w:r>
        <w:rPr>
          <w:rFonts w:ascii="Times New Roman" w:eastAsia="宋体" w:hAnsi="Times New Roman"/>
          <w:sz w:val="24"/>
          <w:lang w:eastAsia="zh-CN"/>
        </w:rPr>
        <w:t>）。基于行为画像的能力得分，可用于投资经理行为自检与投研团队的梯队建设。</w:t>
      </w:r>
    </w:p>
    <w:p w14:paraId="454064AF" w14:textId="4A51E449" w:rsidR="002641CF" w:rsidRDefault="00000000">
      <w:pPr>
        <w:spacing w:before="240" w:after="16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附注：方法说明</w:t>
      </w:r>
    </w:p>
    <w:p w14:paraId="526367C9" w14:textId="61185EA1" w:rsidR="002641CF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sz w:val="21"/>
          <w:lang w:eastAsia="zh-CN"/>
        </w:rPr>
        <w:t>指标均经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r w:rsidR="00B44CD7">
        <w:rPr>
          <w:rFonts w:ascii="Times New Roman" w:eastAsia="宋体" w:hAnsi="Times New Roman" w:hint="eastAsia"/>
          <w:sz w:val="21"/>
          <w:lang w:eastAsia="zh-CN"/>
        </w:rPr>
        <w:t>去极值</w:t>
      </w:r>
      <w:r>
        <w:rPr>
          <w:rFonts w:ascii="Times New Roman" w:eastAsia="宋体" w:hAnsi="Times New Roman"/>
          <w:sz w:val="21"/>
          <w:lang w:eastAsia="zh-CN"/>
        </w:rPr>
        <w:t>与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标准化，并按理论定向取号；维度内成分等权、六维再等权复合。因变量为</w:t>
      </w:r>
      <w:r>
        <w:rPr>
          <w:rFonts w:ascii="Times New Roman" w:eastAsia="宋体" w:hAnsi="Times New Roman"/>
          <w:sz w:val="21"/>
          <w:lang w:eastAsia="zh-CN"/>
        </w:rPr>
        <w:t xml:space="preserve"> FF5 </w:t>
      </w:r>
      <w:r>
        <w:rPr>
          <w:rFonts w:ascii="Times New Roman" w:eastAsia="宋体" w:hAnsi="Times New Roman"/>
          <w:sz w:val="21"/>
          <w:lang w:eastAsia="zh-CN"/>
        </w:rPr>
        <w:t>五因子模型</w:t>
      </w:r>
      <w:r w:rsidR="00B44CD7">
        <w:rPr>
          <w:rFonts w:ascii="Times New Roman" w:eastAsia="宋体" w:hAnsi="Times New Roman" w:hint="eastAsia"/>
          <w:sz w:val="21"/>
          <w:lang w:eastAsia="zh-CN"/>
        </w:rPr>
        <w:t>（</w:t>
      </w:r>
      <w:r w:rsidR="0072137C" w:rsidRPr="0072137C">
        <w:rPr>
          <w:rFonts w:ascii="Times New Roman" w:eastAsia="宋体" w:hAnsi="Times New Roman"/>
          <w:sz w:val="21"/>
          <w:lang w:eastAsia="zh-CN"/>
        </w:rPr>
        <w:t>市场、</w:t>
      </w:r>
      <w:r w:rsidR="0072137C">
        <w:rPr>
          <w:rFonts w:ascii="Times New Roman" w:eastAsia="宋体" w:hAnsi="Times New Roman" w:hint="eastAsia"/>
          <w:sz w:val="21"/>
          <w:lang w:eastAsia="zh-CN"/>
        </w:rPr>
        <w:t>市值</w:t>
      </w:r>
      <w:r w:rsidR="0072137C" w:rsidRPr="0072137C">
        <w:rPr>
          <w:rFonts w:ascii="Times New Roman" w:eastAsia="宋体" w:hAnsi="Times New Roman"/>
          <w:sz w:val="21"/>
          <w:lang w:eastAsia="zh-CN"/>
        </w:rPr>
        <w:t>、价值、盈利、投资</w:t>
      </w:r>
      <w:r w:rsidR="00B44CD7">
        <w:rPr>
          <w:rFonts w:ascii="Times New Roman" w:eastAsia="宋体" w:hAnsi="Times New Roman" w:hint="eastAsia"/>
          <w:sz w:val="21"/>
          <w:lang w:eastAsia="zh-CN"/>
        </w:rPr>
        <w:t>）</w:t>
      </w:r>
      <w:r>
        <w:rPr>
          <w:rFonts w:ascii="Times New Roman" w:eastAsia="宋体" w:hAnsi="Times New Roman"/>
          <w:sz w:val="21"/>
          <w:lang w:eastAsia="zh-CN"/>
        </w:rPr>
        <w:t>调整后的超额收益（</w:t>
      </w:r>
      <w:r>
        <w:rPr>
          <w:rFonts w:ascii="Times New Roman" w:eastAsia="宋体" w:hAnsi="Times New Roman"/>
          <w:sz w:val="21"/>
          <w:lang w:eastAsia="zh-CN"/>
        </w:rPr>
        <w:t>alpha</w:t>
      </w:r>
      <w:r>
        <w:rPr>
          <w:rFonts w:ascii="Times New Roman" w:eastAsia="宋体" w:hAnsi="Times New Roman"/>
          <w:sz w:val="21"/>
          <w:lang w:eastAsia="zh-CN"/>
        </w:rPr>
        <w:t>）。主要理论来源包括：</w:t>
      </w:r>
      <w:r>
        <w:rPr>
          <w:rFonts w:ascii="Times New Roman" w:eastAsia="宋体" w:hAnsi="Times New Roman"/>
          <w:sz w:val="21"/>
          <w:lang w:eastAsia="zh-CN"/>
        </w:rPr>
        <w:t>Kahneman &amp; Tversky (1979)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Shefrin &amp; Statman (1985)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Chevalier &amp; Ellison (1999)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Kacperczyk, Sialm &amp; Zheng (2005, 2008)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Henriksson &amp; Merton (1981)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 xml:space="preserve">Frazzini et al. </w:t>
      </w:r>
      <w:r>
        <w:rPr>
          <w:rFonts w:ascii="Times New Roman" w:eastAsia="宋体" w:hAnsi="Times New Roman"/>
          <w:sz w:val="21"/>
        </w:rPr>
        <w:t xml:space="preserve">(2016) </w:t>
      </w:r>
      <w:r>
        <w:rPr>
          <w:rFonts w:ascii="Times New Roman" w:eastAsia="宋体" w:hAnsi="Times New Roman"/>
          <w:sz w:val="21"/>
        </w:rPr>
        <w:t>等，完整文献列表</w:t>
      </w:r>
      <w:r w:rsidR="006E0301">
        <w:rPr>
          <w:rFonts w:ascii="Times New Roman" w:eastAsia="宋体" w:hAnsi="Times New Roman" w:hint="eastAsia"/>
          <w:sz w:val="21"/>
          <w:lang w:eastAsia="zh-CN"/>
        </w:rPr>
        <w:t>联系作者</w:t>
      </w:r>
      <w:r>
        <w:rPr>
          <w:rFonts w:ascii="Times New Roman" w:eastAsia="宋体" w:hAnsi="Times New Roman"/>
          <w:sz w:val="21"/>
        </w:rPr>
        <w:t>。</w:t>
      </w:r>
    </w:p>
    <w:sectPr w:rsidR="002641CF" w:rsidSect="00034616">
      <w:pgSz w:w="11906" w:h="16838"/>
      <w:pgMar w:top="1587" w:right="1474" w:bottom="158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4BE07" w14:textId="77777777" w:rsidR="00773E2A" w:rsidRDefault="00773E2A" w:rsidP="001C7CAA">
      <w:pPr>
        <w:spacing w:after="0" w:line="240" w:lineRule="auto"/>
      </w:pPr>
      <w:r>
        <w:separator/>
      </w:r>
    </w:p>
  </w:endnote>
  <w:endnote w:type="continuationSeparator" w:id="0">
    <w:p w14:paraId="19400EAA" w14:textId="77777777" w:rsidR="00773E2A" w:rsidRDefault="00773E2A" w:rsidP="001C7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1D156" w14:textId="77777777" w:rsidR="00773E2A" w:rsidRDefault="00773E2A" w:rsidP="001C7CAA">
      <w:pPr>
        <w:spacing w:after="0" w:line="240" w:lineRule="auto"/>
      </w:pPr>
      <w:r>
        <w:separator/>
      </w:r>
    </w:p>
  </w:footnote>
  <w:footnote w:type="continuationSeparator" w:id="0">
    <w:p w14:paraId="38F54736" w14:textId="77777777" w:rsidR="00773E2A" w:rsidRDefault="00773E2A" w:rsidP="001C7CAA">
      <w:pPr>
        <w:spacing w:after="0" w:line="240" w:lineRule="auto"/>
      </w:pPr>
      <w:r>
        <w:continuationSeparator/>
      </w:r>
    </w:p>
  </w:footnote>
  <w:footnote w:id="1">
    <w:p w14:paraId="6384E83A" w14:textId="21B0CBE6" w:rsidR="00B6095B" w:rsidRPr="00B6095B" w:rsidRDefault="00B6095B">
      <w:pPr>
        <w:pStyle w:val="aff9"/>
        <w:rPr>
          <w:rFonts w:eastAsia="宋体"/>
          <w:lang w:eastAsia="zh-CN"/>
        </w:rPr>
      </w:pPr>
      <w:r>
        <w:rPr>
          <w:rStyle w:val="affb"/>
        </w:rPr>
        <w:footnoteRef/>
      </w:r>
      <w:r w:rsidRPr="00B6095B">
        <w:rPr>
          <w:rFonts w:eastAsia="宋体" w:hint="eastAsia"/>
          <w:lang w:eastAsia="zh-CN"/>
        </w:rPr>
        <w:t>处置效应：</w:t>
      </w:r>
      <w:r w:rsidR="009C3A26">
        <w:rPr>
          <w:rFonts w:ascii="Times New Roman" w:eastAsia="宋体" w:hAnsi="Times New Roman"/>
          <w:lang w:eastAsia="zh-CN"/>
        </w:rPr>
        <w:t>过早止盈、拒绝止损</w:t>
      </w:r>
      <w:r w:rsidR="009C3A26">
        <w:rPr>
          <w:rFonts w:ascii="Times New Roman" w:eastAsia="宋体" w:hAnsi="Times New Roman" w:hint="eastAsia"/>
          <w:lang w:eastAsia="zh-CN"/>
        </w:rPr>
        <w:t>，</w:t>
      </w:r>
      <w:r w:rsidRPr="00B6095B">
        <w:rPr>
          <w:rFonts w:eastAsia="宋体" w:hint="eastAsia"/>
          <w:lang w:eastAsia="zh-CN"/>
        </w:rPr>
        <w:t>即</w:t>
      </w:r>
      <w:r w:rsidRPr="00B6095B">
        <w:rPr>
          <w:rFonts w:eastAsia="宋体"/>
          <w:lang w:eastAsia="zh-CN"/>
        </w:rPr>
        <w:t xml:space="preserve"> </w:t>
      </w:r>
      <w:r>
        <w:rPr>
          <w:rFonts w:eastAsia="宋体"/>
          <w:lang w:eastAsia="zh-CN"/>
        </w:rPr>
        <w:t>‘</w:t>
      </w:r>
      <w:r>
        <w:rPr>
          <w:rFonts w:eastAsia="宋体" w:hint="eastAsia"/>
          <w:lang w:eastAsia="zh-CN"/>
        </w:rPr>
        <w:t>一挣就买，亏了死扛</w:t>
      </w:r>
      <w:r>
        <w:rPr>
          <w:rFonts w:eastAsia="宋体"/>
          <w:lang w:eastAsia="zh-CN"/>
        </w:rPr>
        <w:t>”</w:t>
      </w:r>
      <w:r>
        <w:rPr>
          <w:rFonts w:eastAsia="宋体" w:hint="eastAsia"/>
          <w:lang w:eastAsia="zh-CN"/>
        </w:rPr>
        <w:t>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157750">
    <w:abstractNumId w:val="8"/>
  </w:num>
  <w:num w:numId="2" w16cid:durableId="1024936593">
    <w:abstractNumId w:val="6"/>
  </w:num>
  <w:num w:numId="3" w16cid:durableId="2126385801">
    <w:abstractNumId w:val="5"/>
  </w:num>
  <w:num w:numId="4" w16cid:durableId="1661226507">
    <w:abstractNumId w:val="4"/>
  </w:num>
  <w:num w:numId="5" w16cid:durableId="1971278037">
    <w:abstractNumId w:val="7"/>
  </w:num>
  <w:num w:numId="6" w16cid:durableId="230116268">
    <w:abstractNumId w:val="3"/>
  </w:num>
  <w:num w:numId="7" w16cid:durableId="1982686978">
    <w:abstractNumId w:val="2"/>
  </w:num>
  <w:num w:numId="8" w16cid:durableId="866135604">
    <w:abstractNumId w:val="1"/>
  </w:num>
  <w:num w:numId="9" w16cid:durableId="8804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2B"/>
    <w:rsid w:val="000A26B8"/>
    <w:rsid w:val="0015074B"/>
    <w:rsid w:val="001C7CAA"/>
    <w:rsid w:val="002641CF"/>
    <w:rsid w:val="0029639D"/>
    <w:rsid w:val="00326F90"/>
    <w:rsid w:val="00492A01"/>
    <w:rsid w:val="00587971"/>
    <w:rsid w:val="006A122F"/>
    <w:rsid w:val="006E0301"/>
    <w:rsid w:val="0072137C"/>
    <w:rsid w:val="00773E2A"/>
    <w:rsid w:val="007909FC"/>
    <w:rsid w:val="007B4B6D"/>
    <w:rsid w:val="00810BFF"/>
    <w:rsid w:val="00851A07"/>
    <w:rsid w:val="009C3A26"/>
    <w:rsid w:val="00AA1D8D"/>
    <w:rsid w:val="00B44CD7"/>
    <w:rsid w:val="00B47730"/>
    <w:rsid w:val="00B6095B"/>
    <w:rsid w:val="00B85E71"/>
    <w:rsid w:val="00BB0DB4"/>
    <w:rsid w:val="00CB0664"/>
    <w:rsid w:val="00D27536"/>
    <w:rsid w:val="00E23763"/>
    <w:rsid w:val="00F17524"/>
    <w:rsid w:val="00FB6C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D466F4"/>
  <w14:defaultImageDpi w14:val="300"/>
  <w15:docId w15:val="{E4FC153C-561C-4362-B521-E9C4C56E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footnote text"/>
    <w:basedOn w:val="a1"/>
    <w:link w:val="affa"/>
    <w:uiPriority w:val="99"/>
    <w:semiHidden/>
    <w:unhideWhenUsed/>
    <w:rsid w:val="00B6095B"/>
    <w:pPr>
      <w:snapToGrid w:val="0"/>
    </w:pPr>
    <w:rPr>
      <w:sz w:val="18"/>
      <w:szCs w:val="18"/>
    </w:rPr>
  </w:style>
  <w:style w:type="character" w:customStyle="1" w:styleId="affa">
    <w:name w:val="脚注文本 字符"/>
    <w:basedOn w:val="a2"/>
    <w:link w:val="aff9"/>
    <w:uiPriority w:val="99"/>
    <w:semiHidden/>
    <w:rsid w:val="00B6095B"/>
    <w:rPr>
      <w:sz w:val="18"/>
      <w:szCs w:val="18"/>
    </w:rPr>
  </w:style>
  <w:style w:type="character" w:styleId="affb">
    <w:name w:val="footnote reference"/>
    <w:basedOn w:val="a2"/>
    <w:uiPriority w:val="99"/>
    <w:semiHidden/>
    <w:unhideWhenUsed/>
    <w:rsid w:val="00B609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3883</Words>
  <Characters>5282</Characters>
  <Application>Microsoft Office Word</Application>
  <DocSecurity>0</DocSecurity>
  <Lines>480</Lines>
  <Paragraphs>482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勤 梁</cp:lastModifiedBy>
  <cp:revision>9</cp:revision>
  <dcterms:created xsi:type="dcterms:W3CDTF">2026-09-03T02:49:00Z</dcterms:created>
  <dcterms:modified xsi:type="dcterms:W3CDTF">2026-09-03T05:48:00Z</dcterms:modified>
  <cp:category/>
</cp:coreProperties>
</file>