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E911E">
      <w:pPr>
        <w:pStyle w:val="2"/>
        <w:spacing w:before="260" w:after="260" w:line="240" w:lineRule="auto"/>
        <w:ind w:firstLine="0"/>
        <w:jc w:val="center"/>
        <w:rPr>
          <w:rFonts w:ascii="Times New Roman" w:eastAsia="黑体"/>
          <w:b/>
          <w:color w:val="000000"/>
          <w:sz w:val="32"/>
        </w:rPr>
      </w:pPr>
      <w:bookmarkStart w:id="0" w:name="基金经理投资行为画像研究指标构建能力解释与画像维度识别"/>
      <w:bookmarkStart w:id="21" w:name="_GoBack"/>
      <w:bookmarkEnd w:id="21"/>
      <w:r>
        <w:rPr>
          <w:rFonts w:ascii="Times New Roman" w:hAnsi="宋体" w:eastAsia="黑体" w:cs="宋体"/>
          <w:b/>
          <w:color w:val="000000"/>
          <w:sz w:val="32"/>
        </w:rPr>
        <w:t>基金经理投资行为画像研究：指标构建、能力解释与画像维度识别</w:t>
      </w:r>
    </w:p>
    <w:p w14:paraId="5FA96C6D">
      <w:pPr>
        <w:pStyle w:val="26"/>
        <w:spacing w:before="0" w:after="0" w:line="360" w:lineRule="auto"/>
        <w:ind w:firstLine="482" w:firstLineChars="200"/>
        <w:jc w:val="both"/>
      </w:pPr>
      <w:r>
        <w:rPr>
          <w:rFonts w:ascii="宋体" w:hAnsi="宋体" w:eastAsia="宋体" w:cs="宋体"/>
          <w:b/>
          <w:bCs/>
        </w:rPr>
        <w:t>摘要</w:t>
      </w:r>
      <w:r>
        <w:rPr>
          <w:rFonts w:ascii="宋体" w:hAnsi="宋体" w:eastAsia="宋体" w:cs="宋体"/>
        </w:rPr>
        <w:t>：本文按”基本面—认知—选择—执行风控”的结构构建四层行为分解框架，刻画中国主动偏股型基金经理的投资行为，系统考察各项行为指标对基金经理能力的显著性与解释程度，并据此识别有资格进入画像构建的维度。基于2006—2026年400只基金、222位经理的非平衡面板数据，本文采用截面基准、前向预测与组内固定效应的三重识别策略，辅以基金×年份双向聚类稳健推断。研究发现：风险承担不对称在所有主要口径下均稳健显著，是唯一具备前瞻预测能力的画像维度；处置效应呈显著的反向特征（均值−0.127），其预测信息集中于组内识别（t=−5.59）；认知层在控制全部可观测行为后仍贡献不可被吸收的独立解释增量（ΔR²=0.0224）。能力分解进一步表明，认知层的解释力聚焦于选股质量而非择时能力。据此，风险承担不对称与处置效应通过双门槛资格审查成为画像核心维度，行业集中度与主动收益缺口波动作为行为侧翼可选，而羊群效应因选择敏感性而落选；在维度落实上，基本面层降格为背景控制轴，三个行为层重组为认知偏差、主动行动、配置偏离与交易纪律四个画像能力维度。</w:t>
      </w:r>
    </w:p>
    <w:p w14:paraId="7D9FFD4F">
      <w:pPr>
        <w:pStyle w:val="3"/>
        <w:spacing w:before="0" w:after="0" w:line="360" w:lineRule="auto"/>
        <w:ind w:firstLine="482" w:firstLineChars="200"/>
        <w:jc w:val="both"/>
      </w:pPr>
      <w:r>
        <w:rPr>
          <w:rFonts w:ascii="宋体" w:hAnsi="宋体" w:eastAsia="宋体" w:cs="宋体"/>
          <w:b/>
          <w:bCs/>
        </w:rPr>
        <w:t>关键词</w:t>
      </w:r>
      <w:r>
        <w:rPr>
          <w:rFonts w:ascii="宋体" w:hAnsi="宋体" w:eastAsia="宋体" w:cs="宋体"/>
        </w:rPr>
        <w:t>：基金经理；行为画像；认知偏差；处置效应；风险承担不对称；主动管理</w:t>
      </w:r>
    </w:p>
    <w:bookmarkEnd w:id="0"/>
    <w:p w14:paraId="6D88CC0F">
      <w:pPr>
        <w:pStyle w:val="2"/>
        <w:spacing w:before="260" w:after="260" w:line="240" w:lineRule="auto"/>
        <w:ind w:firstLine="0"/>
        <w:jc w:val="center"/>
        <w:rPr>
          <w:rFonts w:ascii="Times New Roman" w:eastAsia="黑体"/>
          <w:b/>
          <w:color w:val="000000"/>
          <w:sz w:val="32"/>
        </w:rPr>
      </w:pPr>
      <w:bookmarkStart w:id="1" w:name="一引言"/>
      <w:r>
        <w:rPr>
          <w:rFonts w:ascii="Times New Roman" w:hAnsi="宋体" w:eastAsia="黑体" w:cs="宋体"/>
          <w:b/>
          <w:color w:val="000000"/>
          <w:sz w:val="32"/>
        </w:rPr>
        <w:t>一、引言</w:t>
      </w:r>
    </w:p>
    <w:p w14:paraId="34BB6ABB">
      <w:pPr>
        <w:pStyle w:val="26"/>
        <w:spacing w:before="0" w:after="0" w:line="360" w:lineRule="auto"/>
        <w:ind w:firstLine="480" w:firstLineChars="200"/>
        <w:jc w:val="both"/>
      </w:pPr>
      <w:r>
        <w:rPr>
          <w:rFonts w:ascii="宋体" w:hAnsi="宋体" w:eastAsia="宋体" w:cs="宋体"/>
        </w:rPr>
        <w:t>基金经理的行为特征能否预测其投资能力，是资产定价与行为金融交叉领域的核心问题。传统研究多聚焦于单一维度的行为指标，如换手率、选股能力或风险承担，难以系统刻画基金经理决策的全貌。事实上，基金经理的决策是一个由表及里的完整过程：基本面禀赋决定了决策的初始条件，认知模式构成决策的心理动因，选择行为反映了资产配置的取向，而执行与风控则记录了决策落地的调整过程及其代价。任何单一维度的刻画都只能捕捉这一过程的局部信息。</w:t>
      </w:r>
    </w:p>
    <w:p w14:paraId="6CF4461A">
      <w:pPr>
        <w:pStyle w:val="3"/>
        <w:spacing w:before="0" w:after="0" w:line="360" w:lineRule="auto"/>
        <w:ind w:firstLine="480" w:firstLineChars="200"/>
        <w:jc w:val="both"/>
      </w:pPr>
      <w:r>
        <w:rPr>
          <w:rFonts w:ascii="宋体" w:hAnsi="宋体" w:eastAsia="宋体" w:cs="宋体"/>
        </w:rPr>
        <w:t>本文尝试回答三个递进的问题。第一，各项行为指标分别是什么、来自何处、如何计算、有何理论依据与实证意义？第二，各项指标对基金经理能力是否具有统计显著性，其解释程度有多大？第三，在显著性检验与解释力度量之上，哪些指标有资格进入画像构建的维度集合？前两个问题构成本文的主体，第三个问题以前两者的证据为基础给出画像维度的资格审查结论。</w:t>
      </w:r>
    </w:p>
    <w:p w14:paraId="40001664">
      <w:pPr>
        <w:pStyle w:val="3"/>
        <w:spacing w:before="0" w:after="0" w:line="360" w:lineRule="auto"/>
        <w:ind w:firstLine="480" w:firstLineChars="200"/>
        <w:jc w:val="both"/>
      </w:pPr>
      <w:r>
        <w:rPr>
          <w:rFonts w:ascii="宋体" w:hAnsi="宋体" w:eastAsia="宋体" w:cs="宋体"/>
        </w:rPr>
        <w:t>本文的边际贡献体现在三个方面。其一，在方法上构建了由基本面、认知、选择与执行风控组成的四层行为分解框架，并采用截面基准、前向预测、组内固定效应的三重识别策略相互印证，以应对数据挖掘、反向因果与遗漏变量三类内生性质疑。其二，在证据上发现中国基金经理呈现显著的反向处置效应（更倾向于止损而非持有待涨），这与西方经典文献的正向处置效应形成鲜明对照，为前景理论在机构投资者上的适用性提供了本土化修正。其三，在画像构建上提出”显著性+解释力”的双门槛资格审查机制，将羊群效应这一在单一口径下表现显著、但缺乏稳健性的指标明确排除在画像维度之外，体现了画像维度宁缺毋滥的原则。</w:t>
      </w:r>
    </w:p>
    <w:bookmarkEnd w:id="1"/>
    <w:p w14:paraId="66A077EC">
      <w:pPr>
        <w:pStyle w:val="2"/>
        <w:spacing w:before="260" w:after="260" w:line="240" w:lineRule="auto"/>
        <w:ind w:firstLine="0"/>
        <w:jc w:val="center"/>
        <w:rPr>
          <w:rFonts w:ascii="Times New Roman" w:eastAsia="黑体"/>
          <w:b/>
          <w:color w:val="000000"/>
          <w:sz w:val="32"/>
        </w:rPr>
      </w:pPr>
      <w:bookmarkStart w:id="2" w:name="二文献综述与理论框架"/>
      <w:r>
        <w:rPr>
          <w:rFonts w:ascii="Times New Roman" w:hAnsi="宋体" w:eastAsia="黑体" w:cs="宋体"/>
          <w:b/>
          <w:color w:val="000000"/>
          <w:sz w:val="32"/>
        </w:rPr>
        <w:t>二、文献综述与理论框架</w:t>
      </w:r>
    </w:p>
    <w:p w14:paraId="6B9901D6">
      <w:pPr>
        <w:pStyle w:val="4"/>
        <w:spacing w:before="260" w:after="120" w:line="240" w:lineRule="auto"/>
        <w:ind w:firstLine="0"/>
        <w:jc w:val="left"/>
        <w:rPr>
          <w:rFonts w:ascii="Times New Roman" w:eastAsia="黑体"/>
          <w:b/>
          <w:color w:val="000000"/>
          <w:sz w:val="28"/>
        </w:rPr>
      </w:pPr>
      <w:bookmarkStart w:id="3" w:name="主动管理与基金业绩"/>
      <w:r>
        <w:rPr>
          <w:rFonts w:ascii="Times New Roman" w:eastAsia="黑体"/>
          <w:b/>
          <w:color w:val="000000"/>
          <w:sz w:val="28"/>
        </w:rPr>
        <w:t xml:space="preserve">2.1 </w:t>
      </w:r>
      <w:r>
        <w:rPr>
          <w:rFonts w:ascii="Times New Roman" w:hAnsi="宋体" w:eastAsia="黑体" w:cs="宋体"/>
          <w:b/>
          <w:color w:val="000000"/>
          <w:sz w:val="28"/>
        </w:rPr>
        <w:t>主动管理与基金业绩</w:t>
      </w:r>
    </w:p>
    <w:p w14:paraId="51385658">
      <w:pPr>
        <w:pStyle w:val="26"/>
        <w:spacing w:before="0" w:after="0" w:line="360" w:lineRule="auto"/>
        <w:ind w:firstLine="480" w:firstLineChars="200"/>
        <w:jc w:val="both"/>
      </w:pPr>
      <w:r>
        <w:rPr>
          <w:rFonts w:ascii="宋体" w:hAnsi="宋体" w:eastAsia="宋体" w:cs="宋体"/>
        </w:rPr>
        <w:t>基金业绩研究的起点在于如何度量”主动”与”能力”。Cremers与Petajisto（2009）提出的主动份额（Active</w:t>
      </w:r>
      <w:r>
        <w:t xml:space="preserve"> </w:t>
      </w:r>
      <w:r>
        <w:rPr>
          <w:rFonts w:ascii="宋体" w:hAnsi="宋体" w:eastAsia="宋体" w:cs="宋体"/>
        </w:rPr>
        <w:t>Share）将组合权重对基准权重的偏离程度作为主动管理的度量，并发现高主动份额的基金未来业绩更优。这一思路的实质在于：只有真正偏离基准的组合才可能产生区别于指数的超额收益。与之相关，Kacperczyk等（2005）从行业配置维度考察主动管理，发现行业集中度与基金未来业绩正相关，但该关系存在市场环境异质性。Carhart（1997）则从交易维度指出，高换手率因佣金、印花税与冲击成本而侵蚀业绩，这一效应在中国市场因交易成本更高而可能被进一步放大。上述文献共同确立了本文选择层与执行风控层的理论来源。</w:t>
      </w:r>
    </w:p>
    <w:p w14:paraId="6EDD71C0">
      <w:pPr>
        <w:pStyle w:val="3"/>
        <w:spacing w:before="0" w:after="0" w:line="360" w:lineRule="auto"/>
        <w:ind w:firstLine="480" w:firstLineChars="200"/>
        <w:jc w:val="both"/>
      </w:pPr>
      <w:r>
        <w:rPr>
          <w:rFonts w:ascii="宋体" w:hAnsi="宋体" w:eastAsia="宋体" w:cs="宋体"/>
        </w:rPr>
        <w:t>在能力度量上，Fama与French（2015）的五因子模型为剔除系统性风险暴露、分离纯选股能力提供了基准。本文以五因子时序回归的截距项作为基金经理能力的度量，避免原始收益率混杂系统性风险暴露而无法识别主动管理能力的问题。</w:t>
      </w:r>
    </w:p>
    <w:bookmarkEnd w:id="3"/>
    <w:p w14:paraId="2AB95847">
      <w:pPr>
        <w:pStyle w:val="4"/>
        <w:spacing w:before="260" w:after="120" w:line="240" w:lineRule="auto"/>
        <w:ind w:firstLine="0"/>
        <w:jc w:val="left"/>
        <w:rPr>
          <w:rFonts w:ascii="Times New Roman" w:eastAsia="黑体"/>
          <w:b/>
          <w:color w:val="000000"/>
          <w:sz w:val="28"/>
        </w:rPr>
      </w:pPr>
      <w:bookmarkStart w:id="4" w:name="行为金融与基金经理认知偏差"/>
      <w:r>
        <w:rPr>
          <w:rFonts w:ascii="Times New Roman" w:eastAsia="黑体"/>
          <w:b/>
          <w:color w:val="000000"/>
          <w:sz w:val="28"/>
        </w:rPr>
        <w:t xml:space="preserve">2.2 </w:t>
      </w:r>
      <w:r>
        <w:rPr>
          <w:rFonts w:ascii="Times New Roman" w:hAnsi="宋体" w:eastAsia="黑体" w:cs="宋体"/>
          <w:b/>
          <w:color w:val="000000"/>
          <w:sz w:val="28"/>
        </w:rPr>
        <w:t>行为金融与基金经理认知偏差</w:t>
      </w:r>
    </w:p>
    <w:p w14:paraId="39AE55E4">
      <w:pPr>
        <w:pStyle w:val="26"/>
        <w:spacing w:before="0" w:after="0" w:line="360" w:lineRule="auto"/>
        <w:ind w:firstLine="480" w:firstLineChars="200"/>
        <w:jc w:val="both"/>
      </w:pPr>
      <w:r>
        <w:rPr>
          <w:rFonts w:ascii="宋体" w:hAnsi="宋体" w:eastAsia="宋体" w:cs="宋体"/>
        </w:rPr>
        <w:t>认知偏差研究是本文认知层的理论核心。Kahneman与Tversky（1979）的前景理论指出，投资者在盈利与亏损状态下的风险偏好存在不对称，这一不对称在交易行为上体现为处置效应——过早卖出盈利股票、过久持有亏损股票。Odean（1998）以盈利实现比率与亏损实现比率之差给出了处置效应的标准度量，并发现美国个人投资者呈现显著的正向处置效应。本文沿用这一度量方法，但中国市场的实证结果呈现相反方向，这一发现将在后文详述。</w:t>
      </w:r>
    </w:p>
    <w:p w14:paraId="6F774FE4">
      <w:pPr>
        <w:pStyle w:val="3"/>
        <w:spacing w:before="0" w:after="0" w:line="360" w:lineRule="auto"/>
        <w:ind w:firstLine="480" w:firstLineChars="200"/>
        <w:jc w:val="both"/>
      </w:pPr>
      <w:r>
        <w:rPr>
          <w:rFonts w:ascii="宋体" w:hAnsi="宋体" w:eastAsia="宋体" w:cs="宋体"/>
        </w:rPr>
        <w:t>羊群效应的理论来源有二：Bikhchandani等（1992）的信息级联理论认为，决策者可能放弃私有信息而跟随前人，形成理性的信息级联；Scharfstein与Stein（1990）的声誉理论则认为，“随大流”的失败成本低于特立独行的失败成本，因而经理有激励模仿他人。Lakonishok、Shleifer与Vishny（1992）提出了基金羊群行为的非负度量，Wermers（1999）进一步发现美国基金的同向交易部分反映信息效率而非盲目从众。上述文献共同界定了羊群效应的理论内涵与度量边界。</w:t>
      </w:r>
    </w:p>
    <w:p w14:paraId="77A590EC">
      <w:pPr>
        <w:pStyle w:val="3"/>
        <w:spacing w:before="0" w:after="0" w:line="360" w:lineRule="auto"/>
        <w:ind w:firstLine="480" w:firstLineChars="200"/>
        <w:jc w:val="both"/>
      </w:pPr>
      <w:r>
        <w:rPr>
          <w:rFonts w:ascii="宋体" w:hAnsi="宋体" w:eastAsia="宋体" w:cs="宋体"/>
        </w:rPr>
        <w:t>风险承担不对称的理论来源是锦标赛理论。Brown、Harlow与Starks（1996）发现，业绩落后的经理倾向于提高风险以博取排名反转；与之相对，前景理论的敏感性递减则预测盈利期风险承担更高。两种效应的方向相反，指标正负号本身即构成对经理风险偏好的检验。</w:t>
      </w:r>
    </w:p>
    <w:bookmarkEnd w:id="4"/>
    <w:p w14:paraId="43AF9FA2">
      <w:pPr>
        <w:pStyle w:val="4"/>
        <w:spacing w:before="260" w:after="120" w:line="240" w:lineRule="auto"/>
        <w:ind w:firstLine="0"/>
        <w:jc w:val="left"/>
        <w:rPr>
          <w:rFonts w:ascii="Times New Roman" w:eastAsia="黑体"/>
          <w:b/>
          <w:color w:val="000000"/>
          <w:sz w:val="28"/>
        </w:rPr>
      </w:pPr>
      <w:bookmarkStart w:id="5" w:name="四层行为分解框架"/>
      <w:r>
        <w:rPr>
          <w:rFonts w:ascii="Times New Roman" w:eastAsia="黑体"/>
          <w:b/>
          <w:color w:val="000000"/>
          <w:sz w:val="28"/>
        </w:rPr>
        <w:t xml:space="preserve">2.3 </w:t>
      </w:r>
      <w:r>
        <w:rPr>
          <w:rFonts w:ascii="Times New Roman" w:hAnsi="宋体" w:eastAsia="黑体" w:cs="宋体"/>
          <w:b/>
          <w:color w:val="000000"/>
          <w:sz w:val="28"/>
        </w:rPr>
        <w:t>四层行为分解框架</w:t>
      </w:r>
    </w:p>
    <w:p w14:paraId="2B120910">
      <w:pPr>
        <w:pStyle w:val="26"/>
        <w:spacing w:before="0" w:after="0" w:line="360" w:lineRule="auto"/>
        <w:ind w:firstLine="480" w:firstLineChars="200"/>
        <w:jc w:val="both"/>
      </w:pPr>
      <w:r>
        <w:rPr>
          <w:rFonts w:ascii="宋体" w:hAnsi="宋体" w:eastAsia="宋体" w:cs="宋体"/>
        </w:rPr>
        <w:t>在上述文献基础上，本文按照决策的信息加工顺序构建由表及里的四层行为分解框架：基本面层回答”谁在管理”，覆盖基金与基金经理的基本信息，其理论基础是人力资本理论；认知层回答”为何这样决策”，对应前景理论与羊群行为的两类机制，是本文的核心创新所在；选择层回答”配置什么”，对应主动管理与行业选择理论；执行风控层回答”如何落地并控制风险”，合并刻画交易执行的痕迹与组合运作的结果，对应交易成本理论、风格漂移文献与收益缺口方法。四个层次递进衔接，构成一条完整的行为逻辑链：禀赋塑造认知，认知驱动选择，选择最终经由执行与风控落到组合之中。</w:t>
      </w:r>
    </w:p>
    <w:p w14:paraId="0C3DB30F">
      <w:pPr>
        <w:pStyle w:val="3"/>
        <w:spacing w:before="0" w:after="0" w:line="360" w:lineRule="auto"/>
        <w:ind w:firstLine="480" w:firstLineChars="200"/>
        <w:jc w:val="both"/>
      </w:pPr>
      <w:r>
        <w:rPr>
          <w:rFonts w:ascii="宋体" w:hAnsi="宋体" w:eastAsia="宋体" w:cs="宋体"/>
        </w:rPr>
        <w:t>执行风控层的设立依据有二。其一，概念上同族：风格漂移、换手率、过度交易、主动收益缺口波动与收益波动率五个指标刻画的均为组合运作的动态侧面——风格构成之变、仓位调整之频、净值对披露持仓的可解释性偏离及其波动后果，共同构成决策落地的完整记录。其二，计量上同块：在嵌套增量回归中，这五个变量本就作为同一模块同时进入模型，四层概念分层与计量分层由此完全对齐。</w:t>
      </w:r>
    </w:p>
    <w:p w14:paraId="74A2554A">
      <w:pPr>
        <w:pStyle w:val="3"/>
        <w:spacing w:before="0" w:after="0" w:line="360" w:lineRule="auto"/>
        <w:ind w:firstLine="480" w:firstLineChars="200"/>
        <w:jc w:val="both"/>
      </w:pPr>
      <w:r>
        <w:rPr>
          <w:rFonts w:ascii="宋体" w:hAnsi="宋体" w:eastAsia="宋体" w:cs="宋体"/>
        </w:rPr>
        <w:t>两点方法论说明值得强调。其一，四层之间的递进指分析深度的由表及里，而非严格的因果链条；各层是并行维度。在嵌套增量回归中，本文按基本面、选择、执行风控、认知的顺序依次纳入各层——让概念上居于第二位的认知层最后进入模型，恰是为了检验其在控制全部可观测行为之后是否仍保有独立预测信息，这正是框架的核心检验设计。其二，框架的价值在于对行为的完整会计，而非每层都必须显著。后文将看到，基本面层与执行风控层中的多数指标在完整模型中不显著，这本身即是重要发现——它表明决策内容与决策心理胜过决策者背景与交易频率。</w:t>
      </w:r>
    </w:p>
    <w:bookmarkEnd w:id="2"/>
    <w:bookmarkEnd w:id="5"/>
    <w:p w14:paraId="1D0FFC2B">
      <w:pPr>
        <w:pStyle w:val="2"/>
        <w:spacing w:before="260" w:after="260" w:line="240" w:lineRule="auto"/>
        <w:ind w:firstLine="0"/>
        <w:jc w:val="center"/>
        <w:rPr>
          <w:rFonts w:ascii="Times New Roman" w:eastAsia="黑体"/>
          <w:b/>
          <w:color w:val="000000"/>
          <w:sz w:val="32"/>
        </w:rPr>
      </w:pPr>
      <w:bookmarkStart w:id="6" w:name="三研究设计"/>
      <w:r>
        <w:rPr>
          <w:rFonts w:ascii="Times New Roman" w:hAnsi="宋体" w:eastAsia="黑体" w:cs="宋体"/>
          <w:b/>
          <w:color w:val="000000"/>
          <w:sz w:val="32"/>
        </w:rPr>
        <w:t>三、研究设计</w:t>
      </w:r>
    </w:p>
    <w:p w14:paraId="363A1158">
      <w:pPr>
        <w:pStyle w:val="4"/>
        <w:spacing w:before="260" w:after="120" w:line="240" w:lineRule="auto"/>
        <w:ind w:firstLine="0"/>
        <w:jc w:val="left"/>
        <w:rPr>
          <w:rFonts w:ascii="Times New Roman" w:eastAsia="黑体"/>
          <w:b/>
          <w:color w:val="000000"/>
          <w:sz w:val="28"/>
        </w:rPr>
      </w:pPr>
      <w:bookmarkStart w:id="7" w:name="样本与数据"/>
      <w:r>
        <w:rPr>
          <w:rFonts w:ascii="Times New Roman" w:eastAsia="黑体"/>
          <w:b/>
          <w:color w:val="000000"/>
          <w:sz w:val="28"/>
        </w:rPr>
        <w:t xml:space="preserve">3.1 </w:t>
      </w:r>
      <w:r>
        <w:rPr>
          <w:rFonts w:ascii="Times New Roman" w:hAnsi="宋体" w:eastAsia="黑体" w:cs="宋体"/>
          <w:b/>
          <w:color w:val="000000"/>
          <w:sz w:val="28"/>
        </w:rPr>
        <w:t>样本与数据</w:t>
      </w:r>
    </w:p>
    <w:p w14:paraId="2C92F2BC">
      <w:pPr>
        <w:pStyle w:val="26"/>
        <w:spacing w:before="0" w:after="0" w:line="360" w:lineRule="auto"/>
        <w:ind w:firstLine="480" w:firstLineChars="200"/>
        <w:jc w:val="both"/>
      </w:pPr>
      <w:r>
        <w:rPr>
          <w:rFonts w:ascii="宋体" w:hAnsi="宋体" w:eastAsia="宋体" w:cs="宋体"/>
        </w:rPr>
        <w:t>本文的样本为开放式偏股型基金，包括普通股票型、偏股混合型与灵活配置型，剔除QDII、被动指数型、指数增强型及成立不足一年的基金。数据获取采用Wind、tushare、akshare与Mock四级降级策略，其中Mock仅用于填充缺失，不参与核心计算。基金净值来自akshare的开放式基金净值接口，基金持仓来自东方财富全持仓接口，个股股价来自tushare，五因子数据来自本地月度因子序列，经理信息来自akshare的基金经理信息接口。</w:t>
      </w:r>
    </w:p>
    <w:p w14:paraId="7A4941C1">
      <w:pPr>
        <w:pStyle w:val="3"/>
        <w:spacing w:before="0" w:after="0" w:line="360" w:lineRule="auto"/>
        <w:ind w:firstLine="480" w:firstLineChars="200"/>
        <w:jc w:val="both"/>
      </w:pPr>
      <w:r>
        <w:rPr>
          <w:rFonts w:ascii="宋体" w:hAnsi="宋体" w:eastAsia="宋体" w:cs="宋体"/>
        </w:rPr>
        <w:t>数据处理遵循以下流程：全部连续变量进行1%与99%分位的缩尾处理；因变量与核心自变量的缺失值予以删除，控制变量的少量缺失以中位数填补；月度净值、季度持仓与年度经理信息统一对齐至季度频率。最终得到9974行×51列的非平衡面板，覆盖400只基金、222位经理，时间跨度为2006年第一季度至2026年第一季度，共80个季度。</w:t>
      </w:r>
    </w:p>
    <w:bookmarkEnd w:id="7"/>
    <w:p w14:paraId="522BE74D">
      <w:pPr>
        <w:pStyle w:val="4"/>
        <w:spacing w:before="260" w:after="120" w:line="240" w:lineRule="auto"/>
        <w:ind w:firstLine="0"/>
        <w:jc w:val="left"/>
        <w:rPr>
          <w:rFonts w:ascii="Times New Roman" w:eastAsia="黑体"/>
          <w:b/>
          <w:color w:val="000000"/>
          <w:sz w:val="28"/>
        </w:rPr>
      </w:pPr>
      <w:bookmarkStart w:id="8" w:name="变量定义与计算方法"/>
      <w:r>
        <w:rPr>
          <w:rFonts w:ascii="Times New Roman" w:eastAsia="黑体"/>
          <w:b/>
          <w:color w:val="000000"/>
          <w:sz w:val="28"/>
        </w:rPr>
        <w:t xml:space="preserve">3.2 </w:t>
      </w:r>
      <w:r>
        <w:rPr>
          <w:rFonts w:ascii="Times New Roman" w:hAnsi="宋体" w:eastAsia="黑体" w:cs="宋体"/>
          <w:b/>
          <w:color w:val="000000"/>
          <w:sz w:val="28"/>
        </w:rPr>
        <w:t>变量定义与计算方法</w:t>
      </w:r>
    </w:p>
    <w:p w14:paraId="57E2288E">
      <w:pPr>
        <w:pStyle w:val="26"/>
        <w:spacing w:before="0" w:after="0" w:line="360" w:lineRule="auto"/>
        <w:ind w:firstLine="480" w:firstLineChars="200"/>
        <w:jc w:val="both"/>
      </w:pPr>
      <w:r>
        <w:rPr>
          <w:rFonts w:ascii="宋体" w:hAnsi="宋体" w:eastAsia="宋体" w:cs="宋体"/>
        </w:rPr>
        <w:t>本节逐层说明每个指标的定义、计算方法、数据来源与经济含义，小节顺序与四层框架一一对应。为便于总览，表1先行给出四层框架的完整指标清单——每层回答的问题、指标的计算方式、实证状态与画像归属——随后各小节逐一展开。</w:t>
      </w:r>
    </w:p>
    <w:p w14:paraId="4C1EA5BC">
      <w:pPr>
        <w:pStyle w:val="3"/>
        <w:spacing w:before="0" w:after="0" w:line="360" w:lineRule="auto"/>
        <w:ind w:firstLine="482" w:firstLineChars="200"/>
        <w:jc w:val="both"/>
      </w:pPr>
      <w:r>
        <w:rPr>
          <w:rFonts w:ascii="宋体" w:hAnsi="宋体" w:eastAsia="宋体" w:cs="宋体"/>
          <w:b/>
          <w:bCs/>
        </w:rPr>
        <w:t>表1</w:t>
      </w:r>
      <w:r>
        <w:rPr>
          <w:b/>
          <w:bCs/>
        </w:rPr>
        <w:t>　</w:t>
      </w:r>
      <w:r>
        <w:rPr>
          <w:rFonts w:ascii="宋体" w:hAnsi="宋体" w:eastAsia="宋体" w:cs="宋体"/>
          <w:b/>
          <w:bCs/>
        </w:rPr>
        <w:t>四层行为分解框架的指标体系总览</w:t>
      </w:r>
    </w:p>
    <w:tbl>
      <w:tblPr>
        <w:tblStyle w:val="4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09"/>
        <w:gridCol w:w="1218"/>
        <w:gridCol w:w="1828"/>
        <w:gridCol w:w="1218"/>
        <w:gridCol w:w="1828"/>
        <w:gridCol w:w="1828"/>
      </w:tblGrid>
      <w:tr w14:paraId="59A2F5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l2br w:val="nil"/>
              <w:tr2bl w:val="nil"/>
            </w:tcBorders>
            <w:vAlign w:val="center"/>
          </w:tcPr>
          <w:p w14:paraId="34D6BF8F">
            <w:pPr>
              <w:pStyle w:val="27"/>
              <w:spacing w:before="60" w:after="60" w:line="240" w:lineRule="auto"/>
              <w:ind w:firstLine="0"/>
              <w:jc w:val="center"/>
              <w:rPr>
                <w:b/>
                <w:color w:val="000000"/>
                <w:sz w:val="18"/>
              </w:rPr>
            </w:pPr>
            <w:r>
              <w:rPr>
                <w:rFonts w:ascii="宋体" w:hAnsi="宋体" w:eastAsia="宋体" w:cs="宋体"/>
                <w:b/>
                <w:color w:val="000000"/>
                <w:sz w:val="18"/>
              </w:rPr>
              <w:t>层</w:t>
            </w:r>
          </w:p>
        </w:tc>
        <w:tc>
          <w:tcPr>
            <w:tcBorders>
              <w:bottom w:val="single" w:color="auto" w:sz="6" w:space="0"/>
              <w:tl2br w:val="nil"/>
              <w:tr2bl w:val="nil"/>
            </w:tcBorders>
            <w:vAlign w:val="center"/>
          </w:tcPr>
          <w:p w14:paraId="3275E250">
            <w:pPr>
              <w:pStyle w:val="27"/>
              <w:spacing w:before="60" w:after="60" w:line="240" w:lineRule="auto"/>
              <w:ind w:firstLine="0"/>
              <w:jc w:val="center"/>
              <w:rPr>
                <w:b/>
                <w:color w:val="000000"/>
                <w:sz w:val="18"/>
              </w:rPr>
            </w:pPr>
            <w:r>
              <w:rPr>
                <w:rFonts w:ascii="宋体" w:hAnsi="宋体" w:eastAsia="宋体" w:cs="宋体"/>
                <w:b/>
                <w:color w:val="000000"/>
                <w:sz w:val="18"/>
              </w:rPr>
              <w:t>指标</w:t>
            </w:r>
          </w:p>
        </w:tc>
        <w:tc>
          <w:tcPr>
            <w:tcBorders>
              <w:bottom w:val="single" w:color="auto" w:sz="6" w:space="0"/>
              <w:tl2br w:val="nil"/>
              <w:tr2bl w:val="nil"/>
            </w:tcBorders>
            <w:vAlign w:val="center"/>
          </w:tcPr>
          <w:p w14:paraId="537EA4E7">
            <w:pPr>
              <w:pStyle w:val="27"/>
              <w:spacing w:before="60" w:after="60" w:line="240" w:lineRule="auto"/>
              <w:ind w:firstLine="0"/>
              <w:jc w:val="center"/>
              <w:rPr>
                <w:b/>
                <w:color w:val="000000"/>
                <w:sz w:val="18"/>
              </w:rPr>
            </w:pPr>
            <w:r>
              <w:rPr>
                <w:rFonts w:ascii="宋体" w:hAnsi="宋体" w:eastAsia="宋体" w:cs="宋体"/>
                <w:b/>
                <w:color w:val="000000"/>
                <w:sz w:val="18"/>
              </w:rPr>
              <w:t>计算方式</w:t>
            </w:r>
          </w:p>
        </w:tc>
        <w:tc>
          <w:tcPr>
            <w:tcBorders>
              <w:bottom w:val="single" w:color="auto" w:sz="6" w:space="0"/>
              <w:tl2br w:val="nil"/>
              <w:tr2bl w:val="nil"/>
            </w:tcBorders>
            <w:vAlign w:val="center"/>
          </w:tcPr>
          <w:p w14:paraId="372C1D66">
            <w:pPr>
              <w:pStyle w:val="27"/>
              <w:spacing w:before="60" w:after="60" w:line="240" w:lineRule="auto"/>
              <w:ind w:firstLine="0"/>
              <w:jc w:val="center"/>
              <w:rPr>
                <w:b/>
                <w:color w:val="000000"/>
                <w:sz w:val="18"/>
              </w:rPr>
            </w:pPr>
            <w:r>
              <w:rPr>
                <w:rFonts w:ascii="宋体" w:hAnsi="宋体" w:eastAsia="宋体" w:cs="宋体"/>
                <w:b/>
                <w:color w:val="000000"/>
                <w:sz w:val="18"/>
              </w:rPr>
              <w:t>含义</w:t>
            </w:r>
          </w:p>
        </w:tc>
        <w:tc>
          <w:tcPr>
            <w:tcBorders>
              <w:bottom w:val="single" w:color="auto" w:sz="6" w:space="0"/>
              <w:tl2br w:val="nil"/>
              <w:tr2bl w:val="nil"/>
            </w:tcBorders>
            <w:vAlign w:val="center"/>
          </w:tcPr>
          <w:p w14:paraId="70A80181">
            <w:pPr>
              <w:pStyle w:val="27"/>
              <w:spacing w:before="60" w:after="60" w:line="240" w:lineRule="auto"/>
              <w:ind w:firstLine="0"/>
              <w:jc w:val="center"/>
              <w:rPr>
                <w:b/>
                <w:color w:val="000000"/>
                <w:sz w:val="18"/>
              </w:rPr>
            </w:pPr>
            <w:r>
              <w:rPr>
                <w:rFonts w:ascii="宋体" w:hAnsi="宋体" w:eastAsia="宋体" w:cs="宋体"/>
                <w:b/>
                <w:color w:val="000000"/>
                <w:sz w:val="18"/>
              </w:rPr>
              <w:t>实证状态</w:t>
            </w:r>
          </w:p>
        </w:tc>
        <w:tc>
          <w:tcPr>
            <w:tcBorders>
              <w:bottom w:val="single" w:color="auto" w:sz="6" w:space="0"/>
              <w:tl2br w:val="nil"/>
              <w:tr2bl w:val="nil"/>
            </w:tcBorders>
            <w:vAlign w:val="center"/>
          </w:tcPr>
          <w:p w14:paraId="18A4F089">
            <w:pPr>
              <w:pStyle w:val="27"/>
              <w:spacing w:before="60" w:after="60" w:line="240" w:lineRule="auto"/>
              <w:ind w:firstLine="0"/>
              <w:jc w:val="center"/>
              <w:rPr>
                <w:b/>
                <w:color w:val="000000"/>
                <w:sz w:val="18"/>
              </w:rPr>
            </w:pPr>
            <w:r>
              <w:rPr>
                <w:rFonts w:ascii="宋体" w:hAnsi="宋体" w:eastAsia="宋体" w:cs="宋体"/>
                <w:b/>
                <w:color w:val="000000"/>
                <w:sz w:val="18"/>
              </w:rPr>
              <w:t>画像归属</w:t>
            </w:r>
          </w:p>
        </w:tc>
      </w:tr>
      <w:tr w14:paraId="252FE8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6" w:space="0"/>
              <w:tl2br w:val="nil"/>
              <w:tr2bl w:val="nil"/>
            </w:tcBorders>
            <w:vAlign w:val="center"/>
          </w:tcPr>
          <w:p w14:paraId="0DFE0C0C">
            <w:pPr>
              <w:pStyle w:val="27"/>
              <w:spacing w:before="60" w:after="60" w:line="240" w:lineRule="auto"/>
              <w:ind w:firstLine="0"/>
              <w:rPr>
                <w:color w:val="000000"/>
                <w:sz w:val="18"/>
              </w:rPr>
            </w:pPr>
            <w:r>
              <w:rPr>
                <w:color w:val="000000"/>
                <w:sz w:val="18"/>
              </w:rPr>
              <w:t xml:space="preserve">L1 </w:t>
            </w:r>
            <w:r>
              <w:rPr>
                <w:rFonts w:ascii="宋体" w:hAnsi="宋体" w:eastAsia="宋体" w:cs="宋体"/>
                <w:color w:val="000000"/>
                <w:sz w:val="18"/>
              </w:rPr>
              <w:t>基本面层</w:t>
            </w:r>
          </w:p>
        </w:tc>
        <w:tc>
          <w:tcPr>
            <w:tcBorders>
              <w:top w:val="single" w:color="auto" w:sz="6" w:space="0"/>
              <w:tl2br w:val="nil"/>
              <w:tr2bl w:val="nil"/>
            </w:tcBorders>
            <w:vAlign w:val="center"/>
          </w:tcPr>
          <w:p w14:paraId="26703DE1">
            <w:pPr>
              <w:pStyle w:val="27"/>
              <w:spacing w:before="60" w:after="60" w:line="240" w:lineRule="auto"/>
              <w:ind w:firstLine="0"/>
              <w:rPr>
                <w:color w:val="000000"/>
                <w:sz w:val="18"/>
              </w:rPr>
            </w:pPr>
            <w:r>
              <w:rPr>
                <w:rFonts w:ascii="宋体" w:hAnsi="宋体" w:eastAsia="宋体" w:cs="宋体"/>
                <w:color w:val="000000"/>
                <w:sz w:val="18"/>
              </w:rPr>
              <w:t>从业年限</w:t>
            </w:r>
          </w:p>
        </w:tc>
        <w:tc>
          <w:tcPr>
            <w:tcBorders>
              <w:top w:val="single" w:color="auto" w:sz="6" w:space="0"/>
              <w:tl2br w:val="nil"/>
              <w:tr2bl w:val="nil"/>
            </w:tcBorders>
            <w:vAlign w:val="center"/>
          </w:tcPr>
          <w:p w14:paraId="68B0AEA0">
            <w:pPr>
              <w:pStyle w:val="27"/>
              <w:spacing w:before="60" w:after="60" w:line="240" w:lineRule="auto"/>
              <w:ind w:firstLine="0"/>
              <w:rPr>
                <w:color w:val="000000"/>
                <w:sz w:val="18"/>
              </w:rPr>
            </w:pPr>
            <w:r>
              <w:rPr>
                <w:rFonts w:ascii="宋体" w:hAnsi="宋体" w:eastAsia="宋体" w:cs="宋体"/>
                <w:color w:val="000000"/>
                <w:sz w:val="18"/>
              </w:rPr>
              <w:t>观测日−首次任职日（天数）</w:t>
            </w:r>
          </w:p>
        </w:tc>
        <w:tc>
          <w:tcPr>
            <w:tcBorders>
              <w:top w:val="single" w:color="auto" w:sz="6" w:space="0"/>
              <w:tl2br w:val="nil"/>
              <w:tr2bl w:val="nil"/>
            </w:tcBorders>
            <w:vAlign w:val="center"/>
          </w:tcPr>
          <w:p w14:paraId="219EAEE2">
            <w:pPr>
              <w:pStyle w:val="27"/>
              <w:spacing w:before="60" w:after="60" w:line="240" w:lineRule="auto"/>
              <w:ind w:firstLine="0"/>
              <w:rPr>
                <w:color w:val="000000"/>
                <w:sz w:val="18"/>
              </w:rPr>
            </w:pPr>
            <w:r>
              <w:rPr>
                <w:rFonts w:ascii="宋体" w:hAnsi="宋体" w:eastAsia="宋体" w:cs="宋体"/>
                <w:color w:val="000000"/>
                <w:sz w:val="18"/>
              </w:rPr>
              <w:t>经验积累与思维定式的权衡</w:t>
            </w:r>
          </w:p>
        </w:tc>
        <w:tc>
          <w:tcPr>
            <w:tcBorders>
              <w:top w:val="single" w:color="auto" w:sz="6" w:space="0"/>
              <w:tl2br w:val="nil"/>
              <w:tr2bl w:val="nil"/>
            </w:tcBorders>
            <w:vAlign w:val="center"/>
          </w:tcPr>
          <w:p w14:paraId="6EBD350C">
            <w:pPr>
              <w:pStyle w:val="27"/>
              <w:spacing w:before="60" w:after="60" w:line="240" w:lineRule="auto"/>
              <w:ind w:firstLine="0"/>
              <w:rPr>
                <w:color w:val="000000"/>
                <w:sz w:val="18"/>
              </w:rPr>
            </w:pPr>
            <w:r>
              <w:rPr>
                <w:rFonts w:ascii="宋体" w:hAnsi="宋体" w:eastAsia="宋体" w:cs="宋体"/>
                <w:color w:val="000000"/>
                <w:sz w:val="18"/>
              </w:rPr>
              <w:t>不显著（t=1.02，p=0.309）</w:t>
            </w:r>
          </w:p>
        </w:tc>
        <w:tc>
          <w:tcPr>
            <w:tcBorders>
              <w:top w:val="single" w:color="auto" w:sz="6" w:space="0"/>
              <w:tl2br w:val="nil"/>
              <w:tr2bl w:val="nil"/>
            </w:tcBorders>
            <w:vAlign w:val="center"/>
          </w:tcPr>
          <w:p w14:paraId="479890C7">
            <w:pPr>
              <w:pStyle w:val="27"/>
              <w:spacing w:before="60" w:after="60" w:line="240" w:lineRule="auto"/>
              <w:ind w:firstLine="0"/>
              <w:rPr>
                <w:color w:val="000000"/>
                <w:sz w:val="18"/>
              </w:rPr>
            </w:pPr>
            <w:r>
              <w:rPr>
                <w:rFonts w:ascii="宋体" w:hAnsi="宋体" w:eastAsia="宋体" w:cs="宋体"/>
                <w:color w:val="000000"/>
                <w:sz w:val="18"/>
              </w:rPr>
              <w:t>背景描述轴（不计分）</w:t>
            </w:r>
          </w:p>
        </w:tc>
      </w:tr>
      <w:tr w14:paraId="37ACBC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7CA75C7D">
            <w:pPr>
              <w:pStyle w:val="27"/>
              <w:spacing w:before="60" w:after="60" w:line="240" w:lineRule="auto"/>
              <w:ind w:firstLine="0"/>
              <w:rPr>
                <w:color w:val="000000"/>
                <w:sz w:val="18"/>
              </w:rPr>
            </w:pPr>
          </w:p>
        </w:tc>
        <w:tc>
          <w:tcPr>
            <w:tcBorders>
              <w:tl2br w:val="nil"/>
              <w:tr2bl w:val="nil"/>
            </w:tcBorders>
            <w:vAlign w:val="center"/>
          </w:tcPr>
          <w:p w14:paraId="10B55C97">
            <w:pPr>
              <w:pStyle w:val="27"/>
              <w:spacing w:before="60" w:after="60" w:line="240" w:lineRule="auto"/>
              <w:ind w:firstLine="0"/>
              <w:rPr>
                <w:color w:val="000000"/>
                <w:sz w:val="18"/>
              </w:rPr>
            </w:pPr>
            <w:r>
              <w:rPr>
                <w:rFonts w:ascii="宋体" w:hAnsi="宋体" w:eastAsia="宋体" w:cs="宋体"/>
                <w:color w:val="000000"/>
                <w:sz w:val="18"/>
              </w:rPr>
              <w:t>基金年龄</w:t>
            </w:r>
          </w:p>
        </w:tc>
        <w:tc>
          <w:tcPr>
            <w:tcBorders>
              <w:tl2br w:val="nil"/>
              <w:tr2bl w:val="nil"/>
            </w:tcBorders>
            <w:vAlign w:val="center"/>
          </w:tcPr>
          <w:p w14:paraId="33AE4061">
            <w:pPr>
              <w:pStyle w:val="27"/>
              <w:spacing w:before="60" w:after="60" w:line="240" w:lineRule="auto"/>
              <w:ind w:firstLine="0"/>
              <w:rPr>
                <w:color w:val="000000"/>
                <w:sz w:val="18"/>
              </w:rPr>
            </w:pPr>
            <w:r>
              <w:rPr>
                <w:rFonts w:ascii="宋体" w:hAnsi="宋体" w:eastAsia="宋体" w:cs="宋体"/>
                <w:color w:val="000000"/>
                <w:sz w:val="18"/>
              </w:rPr>
              <w:t>ln(存续月数)</w:t>
            </w:r>
          </w:p>
        </w:tc>
        <w:tc>
          <w:tcPr>
            <w:tcBorders>
              <w:tl2br w:val="nil"/>
              <w:tr2bl w:val="nil"/>
            </w:tcBorders>
            <w:vAlign w:val="center"/>
          </w:tcPr>
          <w:p w14:paraId="40728C63">
            <w:pPr>
              <w:pStyle w:val="27"/>
              <w:spacing w:before="60" w:after="60" w:line="240" w:lineRule="auto"/>
              <w:ind w:firstLine="0"/>
              <w:rPr>
                <w:color w:val="000000"/>
                <w:sz w:val="18"/>
              </w:rPr>
            </w:pPr>
            <w:r>
              <w:rPr>
                <w:rFonts w:ascii="宋体" w:hAnsi="宋体" w:eastAsia="宋体" w:cs="宋体"/>
                <w:color w:val="000000"/>
                <w:sz w:val="18"/>
              </w:rPr>
              <w:t>存续检验与规模膨胀侵蚀</w:t>
            </w:r>
          </w:p>
        </w:tc>
        <w:tc>
          <w:tcPr>
            <w:tcBorders>
              <w:tl2br w:val="nil"/>
              <w:tr2bl w:val="nil"/>
            </w:tcBorders>
            <w:vAlign w:val="center"/>
          </w:tcPr>
          <w:p w14:paraId="0DEDF8F6">
            <w:pPr>
              <w:pStyle w:val="27"/>
              <w:spacing w:before="60" w:after="60" w:line="240" w:lineRule="auto"/>
              <w:ind w:firstLine="0"/>
              <w:rPr>
                <w:color w:val="000000"/>
                <w:sz w:val="18"/>
              </w:rPr>
            </w:pPr>
            <w:r>
              <w:rPr>
                <w:rFonts w:ascii="宋体" w:hAnsi="宋体" w:eastAsia="宋体" w:cs="宋体"/>
                <w:color w:val="000000"/>
                <w:sz w:val="18"/>
              </w:rPr>
              <w:t>显著（t=−2.53，5%水平；稳健控制变量）</w:t>
            </w:r>
          </w:p>
        </w:tc>
        <w:tc>
          <w:tcPr>
            <w:tcBorders>
              <w:tl2br w:val="nil"/>
              <w:tr2bl w:val="nil"/>
            </w:tcBorders>
            <w:vAlign w:val="center"/>
          </w:tcPr>
          <w:p w14:paraId="17D1B659">
            <w:pPr>
              <w:pStyle w:val="27"/>
              <w:spacing w:before="60" w:after="60" w:line="240" w:lineRule="auto"/>
              <w:ind w:firstLine="0"/>
              <w:rPr>
                <w:color w:val="000000"/>
                <w:sz w:val="18"/>
              </w:rPr>
            </w:pPr>
            <w:r>
              <w:rPr>
                <w:rFonts w:ascii="宋体" w:hAnsi="宋体" w:eastAsia="宋体" w:cs="宋体"/>
                <w:color w:val="000000"/>
                <w:sz w:val="18"/>
              </w:rPr>
              <w:t>稳健控制变量</w:t>
            </w:r>
          </w:p>
        </w:tc>
      </w:tr>
      <w:tr w14:paraId="30B0B7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729C142D">
            <w:pPr>
              <w:pStyle w:val="27"/>
              <w:spacing w:before="60" w:after="60" w:line="240" w:lineRule="auto"/>
              <w:ind w:firstLine="0"/>
              <w:rPr>
                <w:color w:val="000000"/>
                <w:sz w:val="18"/>
              </w:rPr>
            </w:pPr>
          </w:p>
        </w:tc>
        <w:tc>
          <w:tcPr>
            <w:tcBorders>
              <w:tl2br w:val="nil"/>
              <w:tr2bl w:val="nil"/>
            </w:tcBorders>
            <w:vAlign w:val="center"/>
          </w:tcPr>
          <w:p w14:paraId="475D63FF">
            <w:pPr>
              <w:pStyle w:val="27"/>
              <w:spacing w:before="60" w:after="60" w:line="240" w:lineRule="auto"/>
              <w:ind w:firstLine="0"/>
              <w:rPr>
                <w:color w:val="000000"/>
                <w:sz w:val="18"/>
              </w:rPr>
            </w:pPr>
            <w:r>
              <w:rPr>
                <w:rFonts w:ascii="宋体" w:hAnsi="宋体" w:eastAsia="宋体" w:cs="宋体"/>
                <w:color w:val="000000"/>
                <w:sz w:val="18"/>
              </w:rPr>
              <w:t>学历/院校/CFA</w:t>
            </w:r>
          </w:p>
        </w:tc>
        <w:tc>
          <w:tcPr>
            <w:tcBorders>
              <w:tl2br w:val="nil"/>
              <w:tr2bl w:val="nil"/>
            </w:tcBorders>
            <w:vAlign w:val="center"/>
          </w:tcPr>
          <w:p w14:paraId="5A94E6DB">
            <w:pPr>
              <w:pStyle w:val="27"/>
              <w:spacing w:before="60" w:after="60" w:line="240" w:lineRule="auto"/>
              <w:ind w:firstLine="0"/>
              <w:rPr>
                <w:color w:val="000000"/>
                <w:sz w:val="18"/>
              </w:rPr>
            </w:pPr>
            <w:r>
              <w:rPr>
                <w:rFonts w:ascii="宋体" w:hAnsi="宋体" w:eastAsia="宋体" w:cs="宋体"/>
                <w:color w:val="000000"/>
                <w:sz w:val="18"/>
              </w:rPr>
              <w:t>分类变量直接下载</w:t>
            </w:r>
          </w:p>
        </w:tc>
        <w:tc>
          <w:tcPr>
            <w:tcBorders>
              <w:tl2br w:val="nil"/>
              <w:tr2bl w:val="nil"/>
            </w:tcBorders>
            <w:vAlign w:val="center"/>
          </w:tcPr>
          <w:p w14:paraId="5E8D5B27">
            <w:pPr>
              <w:pStyle w:val="27"/>
              <w:spacing w:before="60" w:after="60" w:line="240" w:lineRule="auto"/>
              <w:ind w:firstLine="0"/>
              <w:rPr>
                <w:color w:val="000000"/>
                <w:sz w:val="18"/>
              </w:rPr>
            </w:pPr>
            <w:r>
              <w:rPr>
                <w:rFonts w:ascii="宋体" w:hAnsi="宋体" w:eastAsia="宋体" w:cs="宋体"/>
                <w:color w:val="000000"/>
                <w:sz w:val="18"/>
              </w:rPr>
              <w:t>专业训练背景与资质认证</w:t>
            </w:r>
          </w:p>
        </w:tc>
        <w:tc>
          <w:tcPr>
            <w:tcBorders>
              <w:tl2br w:val="nil"/>
              <w:tr2bl w:val="nil"/>
            </w:tcBorders>
            <w:vAlign w:val="center"/>
          </w:tcPr>
          <w:p w14:paraId="34A87EEF">
            <w:pPr>
              <w:pStyle w:val="27"/>
              <w:spacing w:before="60" w:after="60" w:line="240" w:lineRule="auto"/>
              <w:ind w:firstLine="0"/>
              <w:rPr>
                <w:color w:val="000000"/>
                <w:sz w:val="18"/>
              </w:rPr>
            </w:pPr>
            <w:r>
              <w:rPr>
                <w:rFonts w:ascii="宋体" w:hAnsi="宋体" w:eastAsia="宋体" w:cs="宋体"/>
                <w:color w:val="000000"/>
                <w:sz w:val="18"/>
              </w:rPr>
              <w:t>仅作控制变量，无独立检验结果</w:t>
            </w:r>
          </w:p>
        </w:tc>
        <w:tc>
          <w:tcPr>
            <w:tcBorders>
              <w:tl2br w:val="nil"/>
              <w:tr2bl w:val="nil"/>
            </w:tcBorders>
            <w:vAlign w:val="center"/>
          </w:tcPr>
          <w:p w14:paraId="4F22A4E8">
            <w:pPr>
              <w:pStyle w:val="27"/>
              <w:spacing w:before="60" w:after="60" w:line="240" w:lineRule="auto"/>
              <w:ind w:firstLine="0"/>
              <w:rPr>
                <w:color w:val="000000"/>
                <w:sz w:val="18"/>
              </w:rPr>
            </w:pPr>
            <w:r>
              <w:rPr>
                <w:rFonts w:ascii="宋体" w:hAnsi="宋体" w:eastAsia="宋体" w:cs="宋体"/>
                <w:color w:val="000000"/>
                <w:sz w:val="18"/>
              </w:rPr>
              <w:t>不参与评分</w:t>
            </w:r>
          </w:p>
        </w:tc>
      </w:tr>
      <w:tr w14:paraId="49D2F6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1084F85">
            <w:pPr>
              <w:pStyle w:val="27"/>
              <w:spacing w:before="60" w:after="60" w:line="240" w:lineRule="auto"/>
              <w:ind w:firstLine="0"/>
              <w:rPr>
                <w:color w:val="000000"/>
                <w:sz w:val="18"/>
              </w:rPr>
            </w:pPr>
            <w:r>
              <w:rPr>
                <w:color w:val="000000"/>
                <w:sz w:val="18"/>
              </w:rPr>
              <w:t xml:space="preserve">L2 </w:t>
            </w:r>
            <w:r>
              <w:rPr>
                <w:rFonts w:ascii="宋体" w:hAnsi="宋体" w:eastAsia="宋体" w:cs="宋体"/>
                <w:color w:val="000000"/>
                <w:sz w:val="18"/>
              </w:rPr>
              <w:t>认知层（核心创新）</w:t>
            </w:r>
          </w:p>
        </w:tc>
        <w:tc>
          <w:tcPr>
            <w:tcBorders>
              <w:tl2br w:val="nil"/>
              <w:tr2bl w:val="nil"/>
            </w:tcBorders>
            <w:vAlign w:val="center"/>
          </w:tcPr>
          <w:p w14:paraId="3BF57668">
            <w:pPr>
              <w:pStyle w:val="27"/>
              <w:spacing w:before="60" w:after="60" w:line="240" w:lineRule="auto"/>
              <w:ind w:firstLine="0"/>
              <w:rPr>
                <w:color w:val="000000"/>
                <w:sz w:val="18"/>
              </w:rPr>
            </w:pPr>
            <w:r>
              <w:rPr>
                <w:rFonts w:ascii="宋体" w:hAnsi="宋体" w:eastAsia="宋体" w:cs="宋体"/>
                <w:color w:val="000000"/>
                <w:sz w:val="18"/>
              </w:rPr>
              <w:t>风险承担不对称</w:t>
            </w:r>
            <w:r>
              <w:rPr>
                <w:color w:val="000000"/>
                <w:sz w:val="18"/>
              </w:rPr>
              <w:t xml:space="preserve"> RA</w:t>
            </w:r>
          </w:p>
        </w:tc>
        <w:tc>
          <w:tcPr>
            <w:tcBorders>
              <w:tl2br w:val="nil"/>
              <w:tr2bl w:val="nil"/>
            </w:tcBorders>
            <w:vAlign w:val="center"/>
          </w:tcPr>
          <w:p w14:paraId="5281C676">
            <w:pPr>
              <w:pStyle w:val="27"/>
              <w:spacing w:before="60" w:after="60" w:line="240" w:lineRule="auto"/>
              <w:ind w:firstLine="0"/>
              <w:rPr>
                <w:color w:val="000000"/>
                <w:sz w:val="18"/>
              </w:rPr>
            </w:pPr>
            <w:r>
              <w:rPr>
                <w:rFonts w:ascii="宋体" w:hAnsi="宋体" w:eastAsia="宋体" w:cs="宋体"/>
                <w:color w:val="000000"/>
                <w:sz w:val="18"/>
              </w:rPr>
              <w:t>σ(盈利季收益)−σ(亏损季收益)</w:t>
            </w:r>
          </w:p>
        </w:tc>
        <w:tc>
          <w:tcPr>
            <w:tcBorders>
              <w:tl2br w:val="nil"/>
              <w:tr2bl w:val="nil"/>
            </w:tcBorders>
            <w:vAlign w:val="center"/>
          </w:tcPr>
          <w:p w14:paraId="12492D1B">
            <w:pPr>
              <w:pStyle w:val="27"/>
              <w:spacing w:before="60" w:after="60" w:line="240" w:lineRule="auto"/>
              <w:ind w:firstLine="0"/>
              <w:rPr>
                <w:color w:val="000000"/>
                <w:sz w:val="18"/>
              </w:rPr>
            </w:pPr>
            <w:r>
              <w:rPr>
                <w:rFonts w:ascii="宋体" w:hAnsi="宋体" w:eastAsia="宋体" w:cs="宋体"/>
                <w:color w:val="000000"/>
                <w:sz w:val="18"/>
              </w:rPr>
              <w:t>盈利后加赌的赌资效应强度，呈倒U型</w:t>
            </w:r>
          </w:p>
        </w:tc>
        <w:tc>
          <w:tcPr>
            <w:tcBorders>
              <w:tl2br w:val="nil"/>
              <w:tr2bl w:val="nil"/>
            </w:tcBorders>
            <w:vAlign w:val="center"/>
          </w:tcPr>
          <w:p w14:paraId="451C11AB">
            <w:pPr>
              <w:pStyle w:val="27"/>
              <w:spacing w:before="60" w:after="60" w:line="240" w:lineRule="auto"/>
              <w:ind w:firstLine="0"/>
              <w:rPr>
                <w:color w:val="000000"/>
                <w:sz w:val="18"/>
              </w:rPr>
            </w:pPr>
            <w:r>
              <w:rPr>
                <w:rFonts w:ascii="宋体" w:hAnsi="宋体" w:eastAsia="宋体" w:cs="宋体"/>
                <w:color w:val="000000"/>
                <w:sz w:val="18"/>
              </w:rPr>
              <w:t>三重识别全显著（完整模型t=3.57），A级证据</w:t>
            </w:r>
          </w:p>
        </w:tc>
        <w:tc>
          <w:tcPr>
            <w:tcBorders>
              <w:tl2br w:val="nil"/>
              <w:tr2bl w:val="nil"/>
            </w:tcBorders>
            <w:vAlign w:val="center"/>
          </w:tcPr>
          <w:p w14:paraId="626DFBDB">
            <w:pPr>
              <w:pStyle w:val="27"/>
              <w:spacing w:before="60" w:after="60" w:line="240" w:lineRule="auto"/>
              <w:ind w:firstLine="0"/>
              <w:rPr>
                <w:color w:val="000000"/>
                <w:sz w:val="18"/>
              </w:rPr>
            </w:pPr>
            <w:r>
              <w:rPr>
                <w:rFonts w:ascii="宋体" w:hAnsi="宋体" w:eastAsia="宋体" w:cs="宋体"/>
                <w:color w:val="000000"/>
                <w:sz w:val="18"/>
              </w:rPr>
              <w:t>认知偏差维度（最高权重）</w:t>
            </w:r>
          </w:p>
        </w:tc>
      </w:tr>
      <w:tr w14:paraId="410C5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6CF175AE">
            <w:pPr>
              <w:pStyle w:val="27"/>
              <w:spacing w:before="60" w:after="60" w:line="240" w:lineRule="auto"/>
              <w:ind w:firstLine="0"/>
              <w:rPr>
                <w:color w:val="000000"/>
                <w:sz w:val="18"/>
              </w:rPr>
            </w:pPr>
          </w:p>
        </w:tc>
        <w:tc>
          <w:tcPr>
            <w:tcBorders>
              <w:tl2br w:val="nil"/>
              <w:tr2bl w:val="nil"/>
            </w:tcBorders>
            <w:vAlign w:val="center"/>
          </w:tcPr>
          <w:p w14:paraId="22045E20">
            <w:pPr>
              <w:pStyle w:val="27"/>
              <w:spacing w:before="60" w:after="60" w:line="240" w:lineRule="auto"/>
              <w:ind w:firstLine="0"/>
              <w:rPr>
                <w:color w:val="000000"/>
                <w:sz w:val="18"/>
              </w:rPr>
            </w:pPr>
            <w:r>
              <w:rPr>
                <w:rFonts w:ascii="宋体" w:hAnsi="宋体" w:eastAsia="宋体" w:cs="宋体"/>
                <w:color w:val="000000"/>
                <w:sz w:val="18"/>
              </w:rPr>
              <w:t>处置效应</w:t>
            </w:r>
            <w:r>
              <w:rPr>
                <w:color w:val="000000"/>
                <w:sz w:val="18"/>
              </w:rPr>
              <w:t xml:space="preserve"> DE</w:t>
            </w:r>
          </w:p>
        </w:tc>
        <w:tc>
          <w:tcPr>
            <w:tcBorders>
              <w:tl2br w:val="nil"/>
              <w:tr2bl w:val="nil"/>
            </w:tcBorders>
            <w:vAlign w:val="center"/>
          </w:tcPr>
          <w:p w14:paraId="6A89A16C">
            <w:pPr>
              <w:pStyle w:val="27"/>
              <w:spacing w:before="60" w:after="60" w:line="240" w:lineRule="auto"/>
              <w:ind w:firstLine="0"/>
              <w:rPr>
                <w:color w:val="000000"/>
                <w:sz w:val="18"/>
              </w:rPr>
            </w:pPr>
            <w:r>
              <w:rPr>
                <w:rFonts w:ascii="宋体" w:hAnsi="宋体" w:eastAsia="宋体" w:cs="宋体"/>
                <w:color w:val="000000"/>
                <w:sz w:val="18"/>
              </w:rPr>
              <w:t>PGR−PLR（Odean法）</w:t>
            </w:r>
          </w:p>
        </w:tc>
        <w:tc>
          <w:tcPr>
            <w:tcBorders>
              <w:tl2br w:val="nil"/>
              <w:tr2bl w:val="nil"/>
            </w:tcBorders>
            <w:vAlign w:val="center"/>
          </w:tcPr>
          <w:p w14:paraId="037470AC">
            <w:pPr>
              <w:pStyle w:val="27"/>
              <w:spacing w:before="60" w:after="60" w:line="240" w:lineRule="auto"/>
              <w:ind w:firstLine="0"/>
              <w:rPr>
                <w:color w:val="000000"/>
                <w:sz w:val="18"/>
              </w:rPr>
            </w:pPr>
            <w:r>
              <w:rPr>
                <w:rFonts w:ascii="宋体" w:hAnsi="宋体" w:eastAsia="宋体" w:cs="宋体"/>
                <w:color w:val="000000"/>
                <w:sz w:val="18"/>
              </w:rPr>
              <w:t>止损纪律，符号为负即更果断止损</w:t>
            </w:r>
          </w:p>
        </w:tc>
        <w:tc>
          <w:tcPr>
            <w:tcBorders>
              <w:tl2br w:val="nil"/>
              <w:tr2bl w:val="nil"/>
            </w:tcBorders>
            <w:vAlign w:val="center"/>
          </w:tcPr>
          <w:p w14:paraId="2B0D31D2">
            <w:pPr>
              <w:pStyle w:val="27"/>
              <w:spacing w:before="60" w:after="60" w:line="240" w:lineRule="auto"/>
              <w:ind w:firstLine="0"/>
              <w:rPr>
                <w:color w:val="000000"/>
                <w:sz w:val="18"/>
              </w:rPr>
            </w:pPr>
            <w:r>
              <w:rPr>
                <w:rFonts w:ascii="宋体" w:hAnsi="宋体" w:eastAsia="宋体" w:cs="宋体"/>
                <w:color w:val="000000"/>
                <w:sz w:val="18"/>
              </w:rPr>
              <w:t>组内识别t=−5.59为全文最强；限于46.6%子群</w:t>
            </w:r>
          </w:p>
        </w:tc>
        <w:tc>
          <w:tcPr>
            <w:tcBorders>
              <w:tl2br w:val="nil"/>
              <w:tr2bl w:val="nil"/>
            </w:tcBorders>
            <w:vAlign w:val="center"/>
          </w:tcPr>
          <w:p w14:paraId="5F2DC8CE">
            <w:pPr>
              <w:pStyle w:val="27"/>
              <w:spacing w:before="60" w:after="60" w:line="240" w:lineRule="auto"/>
              <w:ind w:firstLine="0"/>
              <w:rPr>
                <w:color w:val="000000"/>
                <w:sz w:val="18"/>
              </w:rPr>
            </w:pPr>
            <w:r>
              <w:rPr>
                <w:rFonts w:ascii="宋体" w:hAnsi="宋体" w:eastAsia="宋体" w:cs="宋体"/>
                <w:color w:val="000000"/>
                <w:sz w:val="18"/>
              </w:rPr>
              <w:t>认知偏差维度（次高权重）</w:t>
            </w:r>
          </w:p>
        </w:tc>
      </w:tr>
      <w:tr w14:paraId="1FA055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4A59C525">
            <w:pPr>
              <w:pStyle w:val="27"/>
              <w:spacing w:before="60" w:after="60" w:line="240" w:lineRule="auto"/>
              <w:ind w:firstLine="0"/>
              <w:rPr>
                <w:color w:val="000000"/>
                <w:sz w:val="18"/>
              </w:rPr>
            </w:pPr>
          </w:p>
        </w:tc>
        <w:tc>
          <w:tcPr>
            <w:tcBorders>
              <w:tl2br w:val="nil"/>
              <w:tr2bl w:val="nil"/>
            </w:tcBorders>
            <w:vAlign w:val="center"/>
          </w:tcPr>
          <w:p w14:paraId="7F207B6F">
            <w:pPr>
              <w:pStyle w:val="27"/>
              <w:spacing w:before="60" w:after="60" w:line="240" w:lineRule="auto"/>
              <w:ind w:firstLine="0"/>
              <w:rPr>
                <w:color w:val="000000"/>
                <w:sz w:val="18"/>
              </w:rPr>
            </w:pPr>
            <w:r>
              <w:rPr>
                <w:rFonts w:ascii="宋体" w:hAnsi="宋体" w:eastAsia="宋体" w:cs="宋体"/>
                <w:color w:val="000000"/>
                <w:sz w:val="18"/>
              </w:rPr>
              <w:t>羊群效应</w:t>
            </w:r>
            <w:r>
              <w:rPr>
                <w:color w:val="000000"/>
                <w:sz w:val="18"/>
              </w:rPr>
              <w:t xml:space="preserve"> LSV</w:t>
            </w:r>
          </w:p>
        </w:tc>
        <w:tc>
          <w:tcPr>
            <w:tcBorders>
              <w:tl2br w:val="nil"/>
              <w:tr2bl w:val="nil"/>
            </w:tcBorders>
            <w:vAlign w:val="center"/>
          </w:tcPr>
          <w:p w14:paraId="35EDF612">
            <w:pPr>
              <w:pStyle w:val="27"/>
              <w:spacing w:before="60" w:after="60" w:line="240" w:lineRule="auto"/>
              <w:ind w:firstLine="0"/>
              <w:rPr>
                <w:color w:val="000000"/>
                <w:sz w:val="18"/>
              </w:rPr>
            </w:pPr>
            <w:r>
              <w:rPr>
                <w:rFonts w:ascii="宋体" w:hAnsi="宋体" w:eastAsia="宋体" w:cs="宋体"/>
                <w:color w:val="000000"/>
                <w:sz w:val="18"/>
              </w:rPr>
              <w:t>|p_j−p̄_t|−小样本修正项</w:t>
            </w:r>
          </w:p>
        </w:tc>
        <w:tc>
          <w:tcPr>
            <w:tcBorders>
              <w:tl2br w:val="nil"/>
              <w:tr2bl w:val="nil"/>
            </w:tcBorders>
            <w:vAlign w:val="center"/>
          </w:tcPr>
          <w:p w14:paraId="16D44FAE">
            <w:pPr>
              <w:pStyle w:val="27"/>
              <w:spacing w:before="60" w:after="60" w:line="240" w:lineRule="auto"/>
              <w:ind w:firstLine="0"/>
              <w:rPr>
                <w:color w:val="000000"/>
                <w:sz w:val="18"/>
              </w:rPr>
            </w:pPr>
            <w:r>
              <w:rPr>
                <w:rFonts w:ascii="宋体" w:hAnsi="宋体" w:eastAsia="宋体" w:cs="宋体"/>
                <w:color w:val="000000"/>
                <w:sz w:val="18"/>
              </w:rPr>
              <w:t>与同行协同买卖程度</w:t>
            </w:r>
          </w:p>
        </w:tc>
        <w:tc>
          <w:tcPr>
            <w:tcBorders>
              <w:tl2br w:val="nil"/>
              <w:tr2bl w:val="nil"/>
            </w:tcBorders>
            <w:vAlign w:val="center"/>
          </w:tcPr>
          <w:p w14:paraId="5CAFADF2">
            <w:pPr>
              <w:pStyle w:val="27"/>
              <w:spacing w:before="60" w:after="60" w:line="240" w:lineRule="auto"/>
              <w:ind w:firstLine="0"/>
              <w:rPr>
                <w:color w:val="000000"/>
                <w:sz w:val="18"/>
              </w:rPr>
            </w:pPr>
            <w:r>
              <w:rPr>
                <w:rFonts w:ascii="宋体" w:hAnsi="宋体" w:eastAsia="宋体" w:cs="宋体"/>
                <w:color w:val="000000"/>
                <w:sz w:val="18"/>
              </w:rPr>
              <w:t>全线不显著，选择敏感</w:t>
            </w:r>
          </w:p>
        </w:tc>
        <w:tc>
          <w:tcPr>
            <w:tcBorders>
              <w:tl2br w:val="nil"/>
              <w:tr2bl w:val="nil"/>
            </w:tcBorders>
            <w:vAlign w:val="center"/>
          </w:tcPr>
          <w:p w14:paraId="796F7E4B">
            <w:pPr>
              <w:pStyle w:val="27"/>
              <w:spacing w:before="60" w:after="60" w:line="240" w:lineRule="auto"/>
              <w:ind w:firstLine="0"/>
              <w:rPr>
                <w:color w:val="000000"/>
                <w:sz w:val="18"/>
              </w:rPr>
            </w:pPr>
            <w:r>
              <w:rPr>
                <w:rFonts w:ascii="宋体" w:hAnsi="宋体" w:eastAsia="宋体" w:cs="宋体"/>
                <w:color w:val="000000"/>
                <w:sz w:val="18"/>
              </w:rPr>
              <w:t>降级描述性参考</w:t>
            </w:r>
          </w:p>
        </w:tc>
      </w:tr>
      <w:tr w14:paraId="73BE1C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09A3B0E9">
            <w:pPr>
              <w:pStyle w:val="27"/>
              <w:spacing w:before="60" w:after="60" w:line="240" w:lineRule="auto"/>
              <w:ind w:firstLine="0"/>
              <w:rPr>
                <w:color w:val="000000"/>
                <w:sz w:val="18"/>
              </w:rPr>
            </w:pPr>
            <w:r>
              <w:rPr>
                <w:color w:val="000000"/>
                <w:sz w:val="18"/>
              </w:rPr>
              <w:t xml:space="preserve">L3 </w:t>
            </w:r>
            <w:r>
              <w:rPr>
                <w:rFonts w:ascii="宋体" w:hAnsi="宋体" w:eastAsia="宋体" w:cs="宋体"/>
                <w:color w:val="000000"/>
                <w:sz w:val="18"/>
              </w:rPr>
              <w:t>选择层</w:t>
            </w:r>
          </w:p>
        </w:tc>
        <w:tc>
          <w:tcPr>
            <w:tcBorders>
              <w:tl2br w:val="nil"/>
              <w:tr2bl w:val="nil"/>
            </w:tcBorders>
            <w:vAlign w:val="center"/>
          </w:tcPr>
          <w:p w14:paraId="2E002A0F">
            <w:pPr>
              <w:pStyle w:val="27"/>
              <w:spacing w:before="60" w:after="60" w:line="240" w:lineRule="auto"/>
              <w:ind w:firstLine="0"/>
              <w:rPr>
                <w:color w:val="000000"/>
                <w:sz w:val="18"/>
              </w:rPr>
            </w:pPr>
            <w:r>
              <w:rPr>
                <w:rFonts w:ascii="宋体" w:hAnsi="宋体" w:eastAsia="宋体" w:cs="宋体"/>
                <w:color w:val="000000"/>
                <w:sz w:val="18"/>
              </w:rPr>
              <w:t>改进主动份额</w:t>
            </w:r>
            <w:r>
              <w:rPr>
                <w:color w:val="000000"/>
                <w:sz w:val="18"/>
              </w:rPr>
              <w:t xml:space="preserve"> AS</w:t>
            </w:r>
          </w:p>
        </w:tc>
        <w:tc>
          <w:tcPr>
            <w:tcBorders>
              <w:tl2br w:val="nil"/>
              <w:tr2bl w:val="nil"/>
            </w:tcBorders>
            <w:vAlign w:val="center"/>
          </w:tcPr>
          <w:p w14:paraId="4502A55E">
            <w:pPr>
              <w:pStyle w:val="27"/>
              <w:spacing w:before="60" w:after="60" w:line="240" w:lineRule="auto"/>
              <w:ind w:firstLine="0"/>
              <w:rPr>
                <w:color w:val="000000"/>
                <w:sz w:val="18"/>
              </w:rPr>
            </w:pPr>
            <w:r>
              <w:rPr>
                <w:rFonts w:ascii="宋体" w:hAnsi="宋体" w:eastAsia="宋体" w:cs="宋体"/>
                <w:color w:val="000000"/>
                <w:sz w:val="18"/>
              </w:rPr>
              <w:t>½Σ|w基金−w基准|（基准=沪深300+中证500合并成分）</w:t>
            </w:r>
          </w:p>
        </w:tc>
        <w:tc>
          <w:tcPr>
            <w:tcBorders>
              <w:tl2br w:val="nil"/>
              <w:tr2bl w:val="nil"/>
            </w:tcBorders>
            <w:vAlign w:val="center"/>
          </w:tcPr>
          <w:p w14:paraId="336A7062">
            <w:pPr>
              <w:pStyle w:val="27"/>
              <w:spacing w:before="60" w:after="60" w:line="240" w:lineRule="auto"/>
              <w:ind w:firstLine="0"/>
              <w:rPr>
                <w:color w:val="000000"/>
                <w:sz w:val="18"/>
              </w:rPr>
            </w:pPr>
            <w:r>
              <w:rPr>
                <w:rFonts w:ascii="宋体" w:hAnsi="宋体" w:eastAsia="宋体" w:cs="宋体"/>
                <w:color w:val="000000"/>
                <w:sz w:val="18"/>
              </w:rPr>
              <w:t>真·主动选股</w:t>
            </w:r>
            <w:r>
              <w:rPr>
                <w:color w:val="000000"/>
                <w:sz w:val="18"/>
              </w:rPr>
              <w:t xml:space="preserve"> vs </w:t>
            </w:r>
            <w:r>
              <w:rPr>
                <w:rFonts w:ascii="宋体" w:hAnsi="宋体" w:eastAsia="宋体" w:cs="宋体"/>
                <w:color w:val="000000"/>
                <w:sz w:val="18"/>
              </w:rPr>
              <w:t>复制指数的程度</w:t>
            </w:r>
          </w:p>
        </w:tc>
        <w:tc>
          <w:tcPr>
            <w:tcBorders>
              <w:tl2br w:val="nil"/>
              <w:tr2bl w:val="nil"/>
            </w:tcBorders>
            <w:vAlign w:val="center"/>
          </w:tcPr>
          <w:p w14:paraId="2E15B4EC">
            <w:pPr>
              <w:pStyle w:val="27"/>
              <w:spacing w:before="60" w:after="60" w:line="240" w:lineRule="auto"/>
              <w:ind w:firstLine="0"/>
              <w:rPr>
                <w:color w:val="000000"/>
                <w:sz w:val="18"/>
              </w:rPr>
            </w:pPr>
            <w:r>
              <w:rPr>
                <w:rFonts w:ascii="宋体" w:hAnsi="宋体" w:eastAsia="宋体" w:cs="宋体"/>
                <w:color w:val="000000"/>
                <w:sz w:val="18"/>
              </w:rPr>
              <w:t>完整模型显著但方向为负（t=−2.81）</w:t>
            </w:r>
          </w:p>
        </w:tc>
        <w:tc>
          <w:tcPr>
            <w:tcBorders>
              <w:tl2br w:val="nil"/>
              <w:tr2bl w:val="nil"/>
            </w:tcBorders>
            <w:vAlign w:val="center"/>
          </w:tcPr>
          <w:p w14:paraId="546ACC7E">
            <w:pPr>
              <w:pStyle w:val="27"/>
              <w:spacing w:before="60" w:after="60" w:line="240" w:lineRule="auto"/>
              <w:ind w:firstLine="0"/>
              <w:rPr>
                <w:color w:val="000000"/>
                <w:sz w:val="18"/>
              </w:rPr>
            </w:pPr>
            <w:r>
              <w:rPr>
                <w:rFonts w:ascii="宋体" w:hAnsi="宋体" w:eastAsia="宋体" w:cs="宋体"/>
                <w:color w:val="000000"/>
                <w:sz w:val="18"/>
              </w:rPr>
              <w:t>配置偏离维度（辅）</w:t>
            </w:r>
          </w:p>
        </w:tc>
      </w:tr>
      <w:tr w14:paraId="0D8F6F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B75DA53">
            <w:pPr>
              <w:pStyle w:val="27"/>
              <w:spacing w:before="60" w:after="60" w:line="240" w:lineRule="auto"/>
              <w:ind w:firstLine="0"/>
              <w:rPr>
                <w:color w:val="000000"/>
                <w:sz w:val="18"/>
              </w:rPr>
            </w:pPr>
          </w:p>
        </w:tc>
        <w:tc>
          <w:tcPr>
            <w:tcBorders>
              <w:tl2br w:val="nil"/>
              <w:tr2bl w:val="nil"/>
            </w:tcBorders>
            <w:vAlign w:val="center"/>
          </w:tcPr>
          <w:p w14:paraId="55F37877">
            <w:pPr>
              <w:pStyle w:val="27"/>
              <w:spacing w:before="60" w:after="60" w:line="240" w:lineRule="auto"/>
              <w:ind w:firstLine="0"/>
              <w:rPr>
                <w:color w:val="000000"/>
                <w:sz w:val="18"/>
              </w:rPr>
            </w:pPr>
            <w:r>
              <w:rPr>
                <w:rFonts w:ascii="宋体" w:hAnsi="宋体" w:eastAsia="宋体" w:cs="宋体"/>
                <w:color w:val="000000"/>
                <w:sz w:val="18"/>
              </w:rPr>
              <w:t>行业集中度</w:t>
            </w:r>
            <w:r>
              <w:rPr>
                <w:color w:val="000000"/>
                <w:sz w:val="18"/>
              </w:rPr>
              <w:t xml:space="preserve"> ICI</w:t>
            </w:r>
          </w:p>
        </w:tc>
        <w:tc>
          <w:tcPr>
            <w:tcBorders>
              <w:tl2br w:val="nil"/>
              <w:tr2bl w:val="nil"/>
            </w:tcBorders>
            <w:vAlign w:val="center"/>
          </w:tcPr>
          <w:p w14:paraId="4B9A1610">
            <w:pPr>
              <w:pStyle w:val="27"/>
              <w:spacing w:before="60" w:after="60" w:line="240" w:lineRule="auto"/>
              <w:ind w:firstLine="0"/>
              <w:rPr>
                <w:color w:val="000000"/>
                <w:sz w:val="18"/>
              </w:rPr>
            </w:pPr>
            <w:r>
              <w:rPr>
                <w:rFonts w:ascii="宋体" w:hAnsi="宋体" w:eastAsia="宋体" w:cs="宋体"/>
                <w:color w:val="000000"/>
                <w:sz w:val="18"/>
              </w:rPr>
              <w:t>Σ(w行业−w市场均值)²</w:t>
            </w:r>
          </w:p>
        </w:tc>
        <w:tc>
          <w:tcPr>
            <w:tcBorders>
              <w:tl2br w:val="nil"/>
              <w:tr2bl w:val="nil"/>
            </w:tcBorders>
            <w:vAlign w:val="center"/>
          </w:tcPr>
          <w:p w14:paraId="68F92E7F">
            <w:pPr>
              <w:pStyle w:val="27"/>
              <w:spacing w:before="60" w:after="60" w:line="240" w:lineRule="auto"/>
              <w:ind w:firstLine="0"/>
              <w:rPr>
                <w:color w:val="000000"/>
                <w:sz w:val="18"/>
              </w:rPr>
            </w:pPr>
            <w:r>
              <w:rPr>
                <w:rFonts w:ascii="宋体" w:hAnsi="宋体" w:eastAsia="宋体" w:cs="宋体"/>
                <w:color w:val="000000"/>
                <w:sz w:val="18"/>
              </w:rPr>
              <w:t>行业下注的方向性押注强度</w:t>
            </w:r>
          </w:p>
        </w:tc>
        <w:tc>
          <w:tcPr>
            <w:tcBorders>
              <w:tl2br w:val="nil"/>
              <w:tr2bl w:val="nil"/>
            </w:tcBorders>
            <w:vAlign w:val="center"/>
          </w:tcPr>
          <w:p w14:paraId="470DD632">
            <w:pPr>
              <w:pStyle w:val="27"/>
              <w:spacing w:before="60" w:after="60" w:line="240" w:lineRule="auto"/>
              <w:ind w:firstLine="0"/>
              <w:rPr>
                <w:color w:val="000000"/>
                <w:sz w:val="18"/>
              </w:rPr>
            </w:pPr>
            <w:r>
              <w:rPr>
                <w:rFonts w:ascii="宋体" w:hAnsi="宋体" w:eastAsia="宋体" w:cs="宋体"/>
                <w:color w:val="000000"/>
                <w:sz w:val="18"/>
              </w:rPr>
              <w:t>显著（t=3.74），只解释择时</w:t>
            </w:r>
          </w:p>
        </w:tc>
        <w:tc>
          <w:tcPr>
            <w:tcBorders>
              <w:tl2br w:val="nil"/>
              <w:tr2bl w:val="nil"/>
            </w:tcBorders>
            <w:vAlign w:val="center"/>
          </w:tcPr>
          <w:p w14:paraId="066C55D6">
            <w:pPr>
              <w:pStyle w:val="27"/>
              <w:spacing w:before="60" w:after="60" w:line="240" w:lineRule="auto"/>
              <w:ind w:firstLine="0"/>
              <w:rPr>
                <w:color w:val="000000"/>
                <w:sz w:val="18"/>
              </w:rPr>
            </w:pPr>
            <w:r>
              <w:rPr>
                <w:rFonts w:ascii="宋体" w:hAnsi="宋体" w:eastAsia="宋体" w:cs="宋体"/>
                <w:color w:val="000000"/>
                <w:sz w:val="18"/>
              </w:rPr>
              <w:t>配置偏离维度（主）</w:t>
            </w:r>
          </w:p>
        </w:tc>
      </w:tr>
      <w:tr w14:paraId="581400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DEDF879">
            <w:pPr>
              <w:pStyle w:val="27"/>
              <w:spacing w:before="60" w:after="60" w:line="240" w:lineRule="auto"/>
              <w:ind w:firstLine="0"/>
              <w:rPr>
                <w:color w:val="000000"/>
                <w:sz w:val="18"/>
              </w:rPr>
            </w:pPr>
          </w:p>
        </w:tc>
        <w:tc>
          <w:tcPr>
            <w:tcBorders>
              <w:tl2br w:val="nil"/>
              <w:tr2bl w:val="nil"/>
            </w:tcBorders>
            <w:vAlign w:val="center"/>
          </w:tcPr>
          <w:p w14:paraId="5769909A">
            <w:pPr>
              <w:pStyle w:val="27"/>
              <w:spacing w:before="60" w:after="60" w:line="240" w:lineRule="auto"/>
              <w:ind w:firstLine="0"/>
              <w:rPr>
                <w:color w:val="000000"/>
                <w:sz w:val="18"/>
              </w:rPr>
            </w:pPr>
            <w:r>
              <w:rPr>
                <w:rFonts w:ascii="宋体" w:hAnsi="宋体" w:eastAsia="宋体" w:cs="宋体"/>
                <w:color w:val="000000"/>
                <w:sz w:val="18"/>
              </w:rPr>
              <w:t>行业分散度</w:t>
            </w:r>
            <w:r>
              <w:rPr>
                <w:color w:val="000000"/>
                <w:sz w:val="18"/>
              </w:rPr>
              <w:t xml:space="preserve"> HHI</w:t>
            </w:r>
          </w:p>
        </w:tc>
        <w:tc>
          <w:tcPr>
            <w:tcBorders>
              <w:tl2br w:val="nil"/>
              <w:tr2bl w:val="nil"/>
            </w:tcBorders>
            <w:vAlign w:val="center"/>
          </w:tcPr>
          <w:p w14:paraId="2C5E74E7">
            <w:pPr>
              <w:pStyle w:val="27"/>
              <w:spacing w:before="60" w:after="60" w:line="240" w:lineRule="auto"/>
              <w:ind w:firstLine="0"/>
              <w:rPr>
                <w:color w:val="000000"/>
                <w:sz w:val="18"/>
              </w:rPr>
            </w:pPr>
            <w:r>
              <w:rPr>
                <w:rFonts w:ascii="宋体" w:hAnsi="宋体" w:eastAsia="宋体" w:cs="宋体"/>
                <w:color w:val="000000"/>
                <w:sz w:val="18"/>
              </w:rPr>
              <w:t>Σw行业²</w:t>
            </w:r>
          </w:p>
        </w:tc>
        <w:tc>
          <w:tcPr>
            <w:tcBorders>
              <w:tl2br w:val="nil"/>
              <w:tr2bl w:val="nil"/>
            </w:tcBorders>
            <w:vAlign w:val="center"/>
          </w:tcPr>
          <w:p w14:paraId="00C15115">
            <w:pPr>
              <w:pStyle w:val="27"/>
              <w:spacing w:before="60" w:after="60" w:line="240" w:lineRule="auto"/>
              <w:ind w:firstLine="0"/>
              <w:rPr>
                <w:color w:val="000000"/>
                <w:sz w:val="18"/>
              </w:rPr>
            </w:pPr>
            <w:r>
              <w:rPr>
                <w:rFonts w:ascii="宋体" w:hAnsi="宋体" w:eastAsia="宋体" w:cs="宋体"/>
                <w:color w:val="000000"/>
                <w:sz w:val="18"/>
              </w:rPr>
              <w:t>绝对集中水平，与ICI口径互补</w:t>
            </w:r>
          </w:p>
        </w:tc>
        <w:tc>
          <w:tcPr>
            <w:tcBorders>
              <w:tl2br w:val="nil"/>
              <w:tr2bl w:val="nil"/>
            </w:tcBorders>
            <w:vAlign w:val="center"/>
          </w:tcPr>
          <w:p w14:paraId="64A97753">
            <w:pPr>
              <w:pStyle w:val="27"/>
              <w:spacing w:before="60" w:after="60" w:line="240" w:lineRule="auto"/>
              <w:ind w:firstLine="0"/>
              <w:rPr>
                <w:color w:val="000000"/>
                <w:sz w:val="18"/>
              </w:rPr>
            </w:pPr>
            <w:r>
              <w:rPr>
                <w:rFonts w:ascii="宋体" w:hAnsi="宋体" w:eastAsia="宋体" w:cs="宋体"/>
                <w:color w:val="000000"/>
                <w:sz w:val="18"/>
              </w:rPr>
              <w:t>M4全控制下不显著</w:t>
            </w:r>
          </w:p>
        </w:tc>
        <w:tc>
          <w:tcPr>
            <w:tcBorders>
              <w:tl2br w:val="nil"/>
              <w:tr2bl w:val="nil"/>
            </w:tcBorders>
            <w:vAlign w:val="center"/>
          </w:tcPr>
          <w:p w14:paraId="7882CA61">
            <w:pPr>
              <w:pStyle w:val="27"/>
              <w:spacing w:before="60" w:after="60" w:line="240" w:lineRule="auto"/>
              <w:ind w:firstLine="0"/>
              <w:rPr>
                <w:color w:val="000000"/>
                <w:sz w:val="18"/>
              </w:rPr>
            </w:pPr>
            <w:r>
              <w:rPr>
                <w:rFonts w:ascii="宋体" w:hAnsi="宋体" w:eastAsia="宋体" w:cs="宋体"/>
                <w:color w:val="000000"/>
                <w:sz w:val="18"/>
              </w:rPr>
              <w:t>对照指标</w:t>
            </w:r>
          </w:p>
        </w:tc>
      </w:tr>
      <w:tr w14:paraId="2C6929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06D781BF">
            <w:pPr>
              <w:pStyle w:val="27"/>
              <w:spacing w:before="60" w:after="60" w:line="240" w:lineRule="auto"/>
              <w:ind w:firstLine="0"/>
              <w:rPr>
                <w:color w:val="000000"/>
                <w:sz w:val="18"/>
              </w:rPr>
            </w:pPr>
            <w:r>
              <w:rPr>
                <w:color w:val="000000"/>
                <w:sz w:val="18"/>
              </w:rPr>
              <w:t xml:space="preserve">L4 </w:t>
            </w:r>
            <w:r>
              <w:rPr>
                <w:rFonts w:ascii="宋体" w:hAnsi="宋体" w:eastAsia="宋体" w:cs="宋体"/>
                <w:color w:val="000000"/>
                <w:sz w:val="18"/>
              </w:rPr>
              <w:t>执行风控层</w:t>
            </w:r>
          </w:p>
        </w:tc>
        <w:tc>
          <w:tcPr>
            <w:tcBorders>
              <w:tl2br w:val="nil"/>
              <w:tr2bl w:val="nil"/>
            </w:tcBorders>
            <w:vAlign w:val="center"/>
          </w:tcPr>
          <w:p w14:paraId="6489E90A">
            <w:pPr>
              <w:pStyle w:val="27"/>
              <w:spacing w:before="60" w:after="60" w:line="240" w:lineRule="auto"/>
              <w:ind w:firstLine="0"/>
              <w:rPr>
                <w:color w:val="000000"/>
                <w:sz w:val="18"/>
              </w:rPr>
            </w:pPr>
            <w:r>
              <w:rPr>
                <w:rFonts w:ascii="宋体" w:hAnsi="宋体" w:eastAsia="宋体" w:cs="宋体"/>
                <w:color w:val="000000"/>
                <w:sz w:val="18"/>
              </w:rPr>
              <w:t>风格漂移</w:t>
            </w:r>
            <w:r>
              <w:rPr>
                <w:color w:val="000000"/>
                <w:sz w:val="18"/>
              </w:rPr>
              <w:t xml:space="preserve"> SDI</w:t>
            </w:r>
          </w:p>
        </w:tc>
        <w:tc>
          <w:tcPr>
            <w:tcBorders>
              <w:tl2br w:val="nil"/>
              <w:tr2bl w:val="nil"/>
            </w:tcBorders>
            <w:vAlign w:val="center"/>
          </w:tcPr>
          <w:p w14:paraId="7DC6AFAF">
            <w:pPr>
              <w:pStyle w:val="27"/>
              <w:spacing w:before="60" w:after="60" w:line="240" w:lineRule="auto"/>
              <w:ind w:firstLine="0"/>
              <w:rPr>
                <w:color w:val="000000"/>
                <w:sz w:val="18"/>
              </w:rPr>
            </w:pPr>
            <w:r>
              <w:rPr>
                <w:rFonts w:ascii="宋体" w:hAnsi="宋体" w:eastAsia="宋体" w:cs="宋体"/>
                <w:color w:val="000000"/>
                <w:sz w:val="18"/>
              </w:rPr>
              <w:t>四宫格风格指数滚动回归权重→相邻期曼哈顿距离</w:t>
            </w:r>
          </w:p>
        </w:tc>
        <w:tc>
          <w:tcPr>
            <w:tcBorders>
              <w:tl2br w:val="nil"/>
              <w:tr2bl w:val="nil"/>
            </w:tcBorders>
            <w:vAlign w:val="center"/>
          </w:tcPr>
          <w:p w14:paraId="362A9435">
            <w:pPr>
              <w:pStyle w:val="27"/>
              <w:spacing w:before="60" w:after="60" w:line="240" w:lineRule="auto"/>
              <w:ind w:firstLine="0"/>
              <w:rPr>
                <w:color w:val="000000"/>
                <w:sz w:val="18"/>
              </w:rPr>
            </w:pPr>
            <w:r>
              <w:rPr>
                <w:rFonts w:ascii="宋体" w:hAnsi="宋体" w:eastAsia="宋体" w:cs="宋体"/>
                <w:color w:val="000000"/>
                <w:sz w:val="18"/>
              </w:rPr>
              <w:t>策略稳定性</w:t>
            </w:r>
          </w:p>
        </w:tc>
        <w:tc>
          <w:tcPr>
            <w:tcBorders>
              <w:tl2br w:val="nil"/>
              <w:tr2bl w:val="nil"/>
            </w:tcBorders>
            <w:vAlign w:val="center"/>
          </w:tcPr>
          <w:p w14:paraId="009A20E5">
            <w:pPr>
              <w:pStyle w:val="27"/>
              <w:spacing w:before="60" w:after="60" w:line="240" w:lineRule="auto"/>
              <w:ind w:firstLine="0"/>
              <w:rPr>
                <w:color w:val="000000"/>
                <w:sz w:val="18"/>
              </w:rPr>
            </w:pPr>
            <w:r>
              <w:rPr>
                <w:rFonts w:ascii="宋体" w:hAnsi="宋体" w:eastAsia="宋体" w:cs="宋体"/>
                <w:color w:val="000000"/>
                <w:sz w:val="18"/>
              </w:rPr>
              <w:t>主口径不显著，H1口径补充</w:t>
            </w:r>
          </w:p>
        </w:tc>
        <w:tc>
          <w:tcPr>
            <w:tcBorders>
              <w:tl2br w:val="nil"/>
              <w:tr2bl w:val="nil"/>
            </w:tcBorders>
            <w:vAlign w:val="center"/>
          </w:tcPr>
          <w:p w14:paraId="21616F7C">
            <w:pPr>
              <w:pStyle w:val="27"/>
              <w:spacing w:before="60" w:after="60" w:line="240" w:lineRule="auto"/>
              <w:ind w:firstLine="0"/>
              <w:rPr>
                <w:color w:val="000000"/>
                <w:sz w:val="18"/>
              </w:rPr>
            </w:pPr>
            <w:r>
              <w:rPr>
                <w:rFonts w:ascii="宋体" w:hAnsi="宋体" w:eastAsia="宋体" w:cs="宋体"/>
                <w:color w:val="000000"/>
                <w:sz w:val="18"/>
              </w:rPr>
              <w:t>稳健性补充</w:t>
            </w:r>
          </w:p>
        </w:tc>
      </w:tr>
      <w:tr w14:paraId="396F13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0925D508">
            <w:pPr>
              <w:pStyle w:val="27"/>
              <w:spacing w:before="60" w:after="60" w:line="240" w:lineRule="auto"/>
              <w:ind w:firstLine="0"/>
              <w:rPr>
                <w:color w:val="000000"/>
                <w:sz w:val="18"/>
              </w:rPr>
            </w:pPr>
          </w:p>
        </w:tc>
        <w:tc>
          <w:tcPr>
            <w:tcBorders>
              <w:tl2br w:val="nil"/>
              <w:tr2bl w:val="nil"/>
            </w:tcBorders>
            <w:vAlign w:val="center"/>
          </w:tcPr>
          <w:p w14:paraId="1CBB60D4">
            <w:pPr>
              <w:pStyle w:val="27"/>
              <w:spacing w:before="60" w:after="60" w:line="240" w:lineRule="auto"/>
              <w:ind w:firstLine="0"/>
              <w:rPr>
                <w:color w:val="000000"/>
                <w:sz w:val="18"/>
              </w:rPr>
            </w:pPr>
            <w:r>
              <w:rPr>
                <w:rFonts w:ascii="宋体" w:hAnsi="宋体" w:eastAsia="宋体" w:cs="宋体"/>
                <w:color w:val="000000"/>
                <w:sz w:val="18"/>
              </w:rPr>
              <w:t>换手率</w:t>
            </w:r>
            <w:r>
              <w:rPr>
                <w:color w:val="000000"/>
                <w:sz w:val="18"/>
              </w:rPr>
              <w:t xml:space="preserve"> TO</w:t>
            </w:r>
          </w:p>
        </w:tc>
        <w:tc>
          <w:tcPr>
            <w:tcBorders>
              <w:tl2br w:val="nil"/>
              <w:tr2bl w:val="nil"/>
            </w:tcBorders>
            <w:vAlign w:val="center"/>
          </w:tcPr>
          <w:p w14:paraId="35D9BEF0">
            <w:pPr>
              <w:pStyle w:val="27"/>
              <w:spacing w:before="60" w:after="60" w:line="240" w:lineRule="auto"/>
              <w:ind w:firstLine="0"/>
              <w:rPr>
                <w:color w:val="000000"/>
                <w:sz w:val="18"/>
              </w:rPr>
            </w:pPr>
            <w:r>
              <w:rPr>
                <w:rFonts w:ascii="宋体" w:hAnsi="宋体" w:eastAsia="宋体" w:cs="宋体"/>
                <w:color w:val="000000"/>
                <w:sz w:val="18"/>
              </w:rPr>
              <w:t>(买入+卖出)/(2×平均净资产)，双边口径</w:t>
            </w:r>
          </w:p>
        </w:tc>
        <w:tc>
          <w:tcPr>
            <w:tcBorders>
              <w:tl2br w:val="nil"/>
              <w:tr2bl w:val="nil"/>
            </w:tcBorders>
            <w:vAlign w:val="center"/>
          </w:tcPr>
          <w:p w14:paraId="5113391D">
            <w:pPr>
              <w:pStyle w:val="27"/>
              <w:spacing w:before="60" w:after="60" w:line="240" w:lineRule="auto"/>
              <w:ind w:firstLine="0"/>
              <w:rPr>
                <w:color w:val="000000"/>
                <w:sz w:val="18"/>
              </w:rPr>
            </w:pPr>
            <w:r>
              <w:rPr>
                <w:rFonts w:ascii="宋体" w:hAnsi="宋体" w:eastAsia="宋体" w:cs="宋体"/>
                <w:color w:val="000000"/>
                <w:sz w:val="18"/>
              </w:rPr>
              <w:t>交易频繁度及其成本侵蚀</w:t>
            </w:r>
          </w:p>
        </w:tc>
        <w:tc>
          <w:tcPr>
            <w:tcBorders>
              <w:tl2br w:val="nil"/>
              <w:tr2bl w:val="nil"/>
            </w:tcBorders>
            <w:vAlign w:val="center"/>
          </w:tcPr>
          <w:p w14:paraId="484E7EB5">
            <w:pPr>
              <w:pStyle w:val="27"/>
              <w:spacing w:before="60" w:after="60" w:line="240" w:lineRule="auto"/>
              <w:ind w:firstLine="0"/>
              <w:rPr>
                <w:color w:val="000000"/>
                <w:sz w:val="18"/>
              </w:rPr>
            </w:pPr>
            <w:r>
              <w:rPr>
                <w:rFonts w:ascii="宋体" w:hAnsi="宋体" w:eastAsia="宋体" w:cs="宋体"/>
                <w:color w:val="000000"/>
                <w:sz w:val="18"/>
              </w:rPr>
              <w:t>不显著</w:t>
            </w:r>
          </w:p>
        </w:tc>
        <w:tc>
          <w:tcPr>
            <w:tcBorders>
              <w:tl2br w:val="nil"/>
              <w:tr2bl w:val="nil"/>
            </w:tcBorders>
            <w:vAlign w:val="center"/>
          </w:tcPr>
          <w:p w14:paraId="3FDC96A1">
            <w:pPr>
              <w:pStyle w:val="27"/>
              <w:spacing w:before="60" w:after="60" w:line="240" w:lineRule="auto"/>
              <w:ind w:firstLine="0"/>
              <w:rPr>
                <w:color w:val="000000"/>
                <w:sz w:val="18"/>
              </w:rPr>
            </w:pPr>
            <w:r>
              <w:rPr>
                <w:rFonts w:ascii="宋体" w:hAnsi="宋体" w:eastAsia="宋体" w:cs="宋体"/>
                <w:color w:val="000000"/>
                <w:sz w:val="18"/>
              </w:rPr>
              <w:t>交易纪律维度（低权重）</w:t>
            </w:r>
          </w:p>
        </w:tc>
      </w:tr>
      <w:tr w14:paraId="368A2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144A062">
            <w:pPr>
              <w:pStyle w:val="27"/>
              <w:spacing w:before="60" w:after="60" w:line="240" w:lineRule="auto"/>
              <w:ind w:firstLine="0"/>
              <w:rPr>
                <w:color w:val="000000"/>
                <w:sz w:val="18"/>
              </w:rPr>
            </w:pPr>
          </w:p>
        </w:tc>
        <w:tc>
          <w:tcPr>
            <w:tcBorders>
              <w:tl2br w:val="nil"/>
              <w:tr2bl w:val="nil"/>
            </w:tcBorders>
            <w:vAlign w:val="center"/>
          </w:tcPr>
          <w:p w14:paraId="72EA0D7E">
            <w:pPr>
              <w:pStyle w:val="27"/>
              <w:spacing w:before="60" w:after="60" w:line="240" w:lineRule="auto"/>
              <w:ind w:firstLine="0"/>
              <w:rPr>
                <w:color w:val="000000"/>
                <w:sz w:val="18"/>
              </w:rPr>
            </w:pPr>
            <w:r>
              <w:rPr>
                <w:rFonts w:ascii="宋体" w:hAnsi="宋体" w:eastAsia="宋体" w:cs="宋体"/>
                <w:color w:val="000000"/>
                <w:sz w:val="18"/>
              </w:rPr>
              <w:t>过度交易指数</w:t>
            </w:r>
            <w:r>
              <w:rPr>
                <w:color w:val="000000"/>
                <w:sz w:val="18"/>
              </w:rPr>
              <w:t xml:space="preserve"> OCI</w:t>
            </w:r>
          </w:p>
        </w:tc>
        <w:tc>
          <w:tcPr>
            <w:tcBorders>
              <w:tl2br w:val="nil"/>
              <w:tr2bl w:val="nil"/>
            </w:tcBorders>
            <w:vAlign w:val="center"/>
          </w:tcPr>
          <w:p w14:paraId="02B1E9D7">
            <w:pPr>
              <w:pStyle w:val="27"/>
              <w:spacing w:before="60" w:after="60" w:line="240" w:lineRule="auto"/>
              <w:ind w:firstLine="0"/>
              <w:rPr>
                <w:color w:val="000000"/>
                <w:sz w:val="18"/>
              </w:rPr>
            </w:pPr>
            <w:r>
              <w:rPr>
                <w:rFonts w:ascii="宋体" w:hAnsi="宋体" w:eastAsia="宋体" w:cs="宋体"/>
                <w:color w:val="000000"/>
                <w:sz w:val="18"/>
              </w:rPr>
              <w:t>(TO−自身均值)/自身标准差</w:t>
            </w:r>
          </w:p>
        </w:tc>
        <w:tc>
          <w:tcPr>
            <w:tcBorders>
              <w:tl2br w:val="nil"/>
              <w:tr2bl w:val="nil"/>
            </w:tcBorders>
            <w:vAlign w:val="center"/>
          </w:tcPr>
          <w:p w14:paraId="732FC2A0">
            <w:pPr>
              <w:pStyle w:val="27"/>
              <w:spacing w:before="60" w:after="60" w:line="240" w:lineRule="auto"/>
              <w:ind w:firstLine="0"/>
              <w:rPr>
                <w:color w:val="000000"/>
                <w:sz w:val="18"/>
              </w:rPr>
            </w:pPr>
            <w:r>
              <w:rPr>
                <w:rFonts w:ascii="宋体" w:hAnsi="宋体" w:eastAsia="宋体" w:cs="宋体"/>
                <w:color w:val="000000"/>
                <w:sz w:val="18"/>
              </w:rPr>
              <w:t>剥离策略性高换手后的行为性过交易</w:t>
            </w:r>
          </w:p>
        </w:tc>
        <w:tc>
          <w:tcPr>
            <w:tcBorders>
              <w:tl2br w:val="nil"/>
              <w:tr2bl w:val="nil"/>
            </w:tcBorders>
            <w:vAlign w:val="center"/>
          </w:tcPr>
          <w:p w14:paraId="1F2D14A5">
            <w:pPr>
              <w:pStyle w:val="27"/>
              <w:spacing w:before="60" w:after="60" w:line="240" w:lineRule="auto"/>
              <w:ind w:firstLine="0"/>
              <w:rPr>
                <w:color w:val="000000"/>
                <w:sz w:val="18"/>
              </w:rPr>
            </w:pPr>
            <w:r>
              <w:rPr>
                <w:rFonts w:ascii="宋体" w:hAnsi="宋体" w:eastAsia="宋体" w:cs="宋体"/>
                <w:color w:val="000000"/>
                <w:sz w:val="18"/>
              </w:rPr>
              <w:t>不显著</w:t>
            </w:r>
          </w:p>
        </w:tc>
        <w:tc>
          <w:tcPr>
            <w:tcBorders>
              <w:tl2br w:val="nil"/>
              <w:tr2bl w:val="nil"/>
            </w:tcBorders>
            <w:vAlign w:val="center"/>
          </w:tcPr>
          <w:p w14:paraId="66F74F13">
            <w:pPr>
              <w:pStyle w:val="27"/>
              <w:spacing w:before="60" w:after="60" w:line="240" w:lineRule="auto"/>
              <w:ind w:firstLine="0"/>
              <w:rPr>
                <w:color w:val="000000"/>
                <w:sz w:val="18"/>
              </w:rPr>
            </w:pPr>
            <w:r>
              <w:rPr>
                <w:rFonts w:ascii="宋体" w:hAnsi="宋体" w:eastAsia="宋体" w:cs="宋体"/>
                <w:color w:val="000000"/>
                <w:sz w:val="18"/>
              </w:rPr>
              <w:t>交易纪律维度（低权重）</w:t>
            </w:r>
          </w:p>
        </w:tc>
      </w:tr>
      <w:tr w14:paraId="23CD1D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8340353">
            <w:pPr>
              <w:pStyle w:val="27"/>
              <w:spacing w:before="60" w:after="60" w:line="240" w:lineRule="auto"/>
              <w:ind w:firstLine="0"/>
              <w:rPr>
                <w:color w:val="000000"/>
                <w:sz w:val="18"/>
              </w:rPr>
            </w:pPr>
          </w:p>
        </w:tc>
        <w:tc>
          <w:tcPr>
            <w:tcBorders>
              <w:tl2br w:val="nil"/>
              <w:tr2bl w:val="nil"/>
            </w:tcBorders>
            <w:vAlign w:val="center"/>
          </w:tcPr>
          <w:p w14:paraId="15D7D711">
            <w:pPr>
              <w:pStyle w:val="27"/>
              <w:spacing w:before="60" w:after="60" w:line="240" w:lineRule="auto"/>
              <w:ind w:firstLine="0"/>
              <w:rPr>
                <w:color w:val="000000"/>
                <w:sz w:val="18"/>
              </w:rPr>
            </w:pPr>
            <w:r>
              <w:rPr>
                <w:rFonts w:ascii="宋体" w:hAnsi="宋体" w:eastAsia="宋体" w:cs="宋体"/>
                <w:color w:val="000000"/>
                <w:sz w:val="18"/>
              </w:rPr>
              <w:t>主动收益缺口波动</w:t>
            </w:r>
            <w:r>
              <w:rPr>
                <w:color w:val="000000"/>
                <w:sz w:val="18"/>
              </w:rPr>
              <w:t xml:space="preserve"> ARG</w:t>
            </w:r>
          </w:p>
        </w:tc>
        <w:tc>
          <w:tcPr>
            <w:tcBorders>
              <w:tl2br w:val="nil"/>
              <w:tr2bl w:val="nil"/>
            </w:tcBorders>
            <w:vAlign w:val="center"/>
          </w:tcPr>
          <w:p w14:paraId="743955BD">
            <w:pPr>
              <w:pStyle w:val="27"/>
              <w:spacing w:before="60" w:after="60" w:line="240" w:lineRule="auto"/>
              <w:ind w:firstLine="0"/>
              <w:rPr>
                <w:color w:val="000000"/>
                <w:sz w:val="18"/>
              </w:rPr>
            </w:pPr>
            <w:r>
              <w:rPr>
                <w:rFonts w:ascii="宋体" w:hAnsi="宋体" w:eastAsia="宋体" w:cs="宋体"/>
                <w:color w:val="000000"/>
                <w:sz w:val="18"/>
              </w:rPr>
              <w:t>Σ|净值收益−上期持仓模拟收益|</w:t>
            </w:r>
          </w:p>
        </w:tc>
        <w:tc>
          <w:tcPr>
            <w:tcBorders>
              <w:tl2br w:val="nil"/>
              <w:tr2bl w:val="nil"/>
            </w:tcBorders>
            <w:vAlign w:val="center"/>
          </w:tcPr>
          <w:p w14:paraId="3D100AEA">
            <w:pPr>
              <w:pStyle w:val="27"/>
              <w:spacing w:before="60" w:after="60" w:line="240" w:lineRule="auto"/>
              <w:ind w:firstLine="0"/>
              <w:rPr>
                <w:color w:val="000000"/>
                <w:sz w:val="18"/>
              </w:rPr>
            </w:pPr>
            <w:r>
              <w:rPr>
                <w:rFonts w:ascii="宋体" w:hAnsi="宋体" w:eastAsia="宋体" w:cs="宋体"/>
                <w:color w:val="000000"/>
                <w:sz w:val="18"/>
              </w:rPr>
              <w:t>未观测主动行动强度</w:t>
            </w:r>
          </w:p>
        </w:tc>
        <w:tc>
          <w:tcPr>
            <w:tcBorders>
              <w:tl2br w:val="nil"/>
              <w:tr2bl w:val="nil"/>
            </w:tcBorders>
            <w:vAlign w:val="center"/>
          </w:tcPr>
          <w:p w14:paraId="56302093">
            <w:pPr>
              <w:pStyle w:val="27"/>
              <w:spacing w:before="60" w:after="60" w:line="240" w:lineRule="auto"/>
              <w:ind w:firstLine="0"/>
              <w:rPr>
                <w:color w:val="000000"/>
                <w:sz w:val="18"/>
              </w:rPr>
            </w:pPr>
            <w:r>
              <w:rPr>
                <w:rFonts w:ascii="宋体" w:hAnsi="宋体" w:eastAsia="宋体" w:cs="宋体"/>
                <w:color w:val="000000"/>
                <w:sz w:val="18"/>
              </w:rPr>
              <w:t>显著（t=2.98），解释选股（t=8.59），证据最强</w:t>
            </w:r>
          </w:p>
        </w:tc>
        <w:tc>
          <w:tcPr>
            <w:tcBorders>
              <w:tl2br w:val="nil"/>
              <w:tr2bl w:val="nil"/>
            </w:tcBorders>
            <w:vAlign w:val="center"/>
          </w:tcPr>
          <w:p w14:paraId="21B03D55">
            <w:pPr>
              <w:pStyle w:val="27"/>
              <w:spacing w:before="60" w:after="60" w:line="240" w:lineRule="auto"/>
              <w:ind w:firstLine="0"/>
              <w:rPr>
                <w:color w:val="000000"/>
                <w:sz w:val="18"/>
              </w:rPr>
            </w:pPr>
            <w:r>
              <w:rPr>
                <w:rFonts w:ascii="宋体" w:hAnsi="宋体" w:eastAsia="宋体" w:cs="宋体"/>
                <w:color w:val="000000"/>
                <w:sz w:val="18"/>
              </w:rPr>
              <w:t>主动行动维度（最高权重）</w:t>
            </w:r>
          </w:p>
        </w:tc>
      </w:tr>
      <w:tr w14:paraId="3CED47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7F2CD992">
            <w:pPr>
              <w:pStyle w:val="27"/>
              <w:spacing w:before="60" w:after="60" w:line="240" w:lineRule="auto"/>
              <w:ind w:firstLine="0"/>
              <w:rPr>
                <w:color w:val="000000"/>
                <w:sz w:val="18"/>
              </w:rPr>
            </w:pPr>
          </w:p>
        </w:tc>
        <w:tc>
          <w:tcPr>
            <w:tcBorders>
              <w:tl2br w:val="nil"/>
              <w:tr2bl w:val="nil"/>
            </w:tcBorders>
            <w:vAlign w:val="center"/>
          </w:tcPr>
          <w:p w14:paraId="3B9DFB59">
            <w:pPr>
              <w:pStyle w:val="27"/>
              <w:spacing w:before="60" w:after="60" w:line="240" w:lineRule="auto"/>
              <w:ind w:firstLine="0"/>
              <w:rPr>
                <w:color w:val="000000"/>
                <w:sz w:val="18"/>
              </w:rPr>
            </w:pPr>
            <w:r>
              <w:rPr>
                <w:rFonts w:ascii="宋体" w:hAnsi="宋体" w:eastAsia="宋体" w:cs="宋体"/>
                <w:color w:val="000000"/>
                <w:sz w:val="18"/>
              </w:rPr>
              <w:t>收益波动率</w:t>
            </w:r>
            <w:r>
              <w:rPr>
                <w:color w:val="000000"/>
                <w:sz w:val="18"/>
              </w:rPr>
              <w:t xml:space="preserve"> RV</w:t>
            </w:r>
          </w:p>
        </w:tc>
        <w:tc>
          <w:tcPr>
            <w:tcBorders>
              <w:tl2br w:val="nil"/>
              <w:tr2bl w:val="nil"/>
            </w:tcBorders>
            <w:vAlign w:val="center"/>
          </w:tcPr>
          <w:p w14:paraId="3D7F5F14">
            <w:pPr>
              <w:pStyle w:val="27"/>
              <w:spacing w:before="60" w:after="60" w:line="240" w:lineRule="auto"/>
              <w:ind w:firstLine="0"/>
              <w:rPr>
                <w:color w:val="000000"/>
                <w:sz w:val="18"/>
              </w:rPr>
            </w:pPr>
            <w:r>
              <w:rPr>
                <w:rFonts w:ascii="宋体" w:hAnsi="宋体" w:eastAsia="宋体" w:cs="宋体"/>
                <w:color w:val="000000"/>
                <w:sz w:val="18"/>
              </w:rPr>
              <w:t>季度收益滚动8期标准差</w:t>
            </w:r>
          </w:p>
        </w:tc>
        <w:tc>
          <w:tcPr>
            <w:tcBorders>
              <w:tl2br w:val="nil"/>
              <w:tr2bl w:val="nil"/>
            </w:tcBorders>
            <w:vAlign w:val="center"/>
          </w:tcPr>
          <w:p w14:paraId="1BD3E77D">
            <w:pPr>
              <w:pStyle w:val="27"/>
              <w:spacing w:before="60" w:after="60" w:line="240" w:lineRule="auto"/>
              <w:ind w:firstLine="0"/>
              <w:rPr>
                <w:color w:val="000000"/>
                <w:sz w:val="18"/>
              </w:rPr>
            </w:pPr>
            <w:r>
              <w:rPr>
                <w:rFonts w:ascii="宋体" w:hAnsi="宋体" w:eastAsia="宋体" w:cs="宋体"/>
                <w:color w:val="000000"/>
                <w:sz w:val="18"/>
              </w:rPr>
              <w:t>选股择时仓位共同作用的综合风险</w:t>
            </w:r>
          </w:p>
        </w:tc>
        <w:tc>
          <w:tcPr>
            <w:tcBorders>
              <w:tl2br w:val="nil"/>
              <w:tr2bl w:val="nil"/>
            </w:tcBorders>
            <w:vAlign w:val="center"/>
          </w:tcPr>
          <w:p w14:paraId="40703806">
            <w:pPr>
              <w:pStyle w:val="27"/>
              <w:spacing w:before="60" w:after="60" w:line="240" w:lineRule="auto"/>
              <w:ind w:firstLine="0"/>
              <w:rPr>
                <w:color w:val="000000"/>
                <w:sz w:val="18"/>
              </w:rPr>
            </w:pPr>
            <w:r>
              <w:rPr>
                <w:rFonts w:ascii="宋体" w:hAnsi="宋体" w:eastAsia="宋体" w:cs="宋体"/>
                <w:color w:val="000000"/>
                <w:sz w:val="18"/>
              </w:rPr>
              <w:t>不显著</w:t>
            </w:r>
          </w:p>
        </w:tc>
        <w:tc>
          <w:tcPr>
            <w:tcBorders>
              <w:tl2br w:val="nil"/>
              <w:tr2bl w:val="nil"/>
            </w:tcBorders>
            <w:vAlign w:val="center"/>
          </w:tcPr>
          <w:p w14:paraId="62419D58">
            <w:pPr>
              <w:pStyle w:val="27"/>
              <w:spacing w:before="60" w:after="60" w:line="240" w:lineRule="auto"/>
              <w:ind w:firstLine="0"/>
              <w:rPr>
                <w:color w:val="000000"/>
                <w:sz w:val="18"/>
              </w:rPr>
            </w:pPr>
            <w:r>
              <w:rPr>
                <w:rFonts w:ascii="宋体" w:hAnsi="宋体" w:eastAsia="宋体" w:cs="宋体"/>
                <w:color w:val="000000"/>
                <w:sz w:val="18"/>
              </w:rPr>
              <w:t>主动行动维度（低权重）</w:t>
            </w:r>
          </w:p>
        </w:tc>
      </w:tr>
    </w:tbl>
    <w:p w14:paraId="4C9360EA">
      <w:pPr>
        <w:pStyle w:val="5"/>
        <w:spacing w:before="120" w:after="120" w:line="240" w:lineRule="auto"/>
        <w:ind w:firstLine="0"/>
        <w:jc w:val="left"/>
        <w:rPr>
          <w:rFonts w:ascii="Times New Roman" w:eastAsia="黑体"/>
          <w:b/>
          <w:color w:val="000000"/>
          <w:sz w:val="24"/>
        </w:rPr>
      </w:pPr>
      <w:bookmarkStart w:id="9" w:name="基本面层l1"/>
      <w:r>
        <w:rPr>
          <w:rFonts w:ascii="Times New Roman" w:eastAsia="黑体"/>
          <w:b/>
          <w:color w:val="000000"/>
          <w:sz w:val="24"/>
        </w:rPr>
        <w:t xml:space="preserve">3.2.1 </w:t>
      </w:r>
      <w:r>
        <w:rPr>
          <w:rFonts w:ascii="Times New Roman" w:hAnsi="宋体" w:eastAsia="黑体" w:cs="宋体"/>
          <w:b/>
          <w:color w:val="000000"/>
          <w:sz w:val="24"/>
        </w:rPr>
        <w:t>基本面层（L1）</w:t>
      </w:r>
    </w:p>
    <w:p w14:paraId="156994FD">
      <w:pPr>
        <w:pStyle w:val="26"/>
        <w:spacing w:before="0" w:after="0" w:line="360" w:lineRule="auto"/>
        <w:ind w:firstLine="482" w:firstLineChars="200"/>
        <w:jc w:val="both"/>
      </w:pPr>
      <w:r>
        <w:rPr>
          <w:rFonts w:ascii="宋体" w:hAnsi="宋体" w:eastAsia="宋体" w:cs="宋体"/>
          <w:b/>
          <w:bCs/>
        </w:rPr>
        <w:t>从业年限</w:t>
      </w:r>
      <w:r>
        <w:rPr>
          <w:rFonts w:ascii="宋体" w:hAnsi="宋体" w:eastAsia="宋体" w:cs="宋体"/>
        </w:rPr>
        <w:t>。该指标衡量基金经理截至观测季度的总任职天数，是人力资本积累的直接度量。计算方法为：以基金经理首次担任基金经理的日期为起点，至观测时点止，按自然天数累计。数据来自akshare的基金经理信息接口中的任职记录。其经济含义在于：从业年限越长，经理积累的市场经验与投资技能可能越丰富，但过长的从业经历也可能伴随思维定式与能力固化，两种效应的方向由实证判定。</w:t>
      </w:r>
    </w:p>
    <w:p w14:paraId="7152077E">
      <w:pPr>
        <w:pStyle w:val="3"/>
        <w:spacing w:before="0" w:after="0" w:line="360" w:lineRule="auto"/>
        <w:ind w:firstLine="482" w:firstLineChars="200"/>
        <w:jc w:val="both"/>
      </w:pPr>
      <w:r>
        <w:rPr>
          <w:rFonts w:ascii="宋体" w:hAnsi="宋体" w:eastAsia="宋体" w:cs="宋体"/>
          <w:b/>
          <w:bCs/>
        </w:rPr>
        <w:t>基金年龄</w:t>
      </w:r>
      <w:r>
        <w:rPr>
          <w:rFonts w:ascii="宋体" w:hAnsi="宋体" w:eastAsia="宋体" w:cs="宋体"/>
        </w:rPr>
        <w:t>。该指标衡量基金产品存续时间的对数。计算方法为：基金成立月至观测季度的月数，取自然对数以缓解右偏分布。数据来自基金基本信息中的成立日期。其经济含义在于：存续时间长的基金策略与风控经受了更长时间的市场检验，但也可能存在规模膨胀与策略老化的问题。</w:t>
      </w:r>
    </w:p>
    <w:bookmarkEnd w:id="9"/>
    <w:p w14:paraId="4EF15AFB">
      <w:pPr>
        <w:pStyle w:val="5"/>
        <w:spacing w:before="120" w:after="120" w:line="240" w:lineRule="auto"/>
        <w:ind w:firstLine="0"/>
        <w:jc w:val="left"/>
        <w:rPr>
          <w:rFonts w:ascii="Times New Roman" w:eastAsia="黑体"/>
          <w:b/>
          <w:color w:val="000000"/>
          <w:sz w:val="24"/>
        </w:rPr>
      </w:pPr>
      <w:bookmarkStart w:id="10" w:name="认知层l2核心创新"/>
      <w:r>
        <w:rPr>
          <w:rFonts w:ascii="Times New Roman" w:eastAsia="黑体"/>
          <w:b/>
          <w:color w:val="000000"/>
          <w:sz w:val="24"/>
        </w:rPr>
        <w:t xml:space="preserve">3.2.2 </w:t>
      </w:r>
      <w:r>
        <w:rPr>
          <w:rFonts w:ascii="Times New Roman" w:hAnsi="宋体" w:eastAsia="黑体" w:cs="宋体"/>
          <w:b/>
          <w:color w:val="000000"/>
          <w:sz w:val="24"/>
        </w:rPr>
        <w:t>认知层（L2，核心创新）</w:t>
      </w:r>
    </w:p>
    <w:p w14:paraId="14440147">
      <w:pPr>
        <w:pStyle w:val="26"/>
        <w:spacing w:before="0" w:after="0" w:line="360" w:lineRule="auto"/>
        <w:ind w:firstLine="480" w:firstLineChars="200"/>
        <w:jc w:val="both"/>
      </w:pPr>
      <w:r>
        <w:rPr>
          <w:rFonts w:ascii="宋体" w:hAnsi="宋体" w:eastAsia="宋体" w:cs="宋体"/>
        </w:rPr>
        <w:t>认知层关注经理在不确定条件下决策的心理模式，是后续选择、执行与风控行为的深层动因。三个指标分别基于完全不同的数据源构建，从设计上避免信息冗余：处置效应基于持仓与个股价格，羊群效应基于全持仓的横截面比较，风险承担不对称基于净值面板。这一数据源隔离策略保证了三指标的低共线性（方差膨胀因子均不超过1.02，两两相关最大仅0.139）。需要说明的是，三个指标度量的本质是行为模式，“认知偏差”是理论导向的近似命名而非严格的心理学测量；本文的核心声称——控制可观测行为后仍存在独立预测信息——并不依赖于它们是否”真正”构成认知偏差。</w:t>
      </w:r>
    </w:p>
    <w:p w14:paraId="11534676">
      <w:pPr>
        <w:pStyle w:val="3"/>
        <w:spacing w:before="0" w:after="0" w:line="360" w:lineRule="auto"/>
        <w:ind w:firstLine="482" w:firstLineChars="200"/>
        <w:jc w:val="both"/>
      </w:pPr>
      <w:r>
        <w:rPr>
          <w:rFonts w:ascii="宋体" w:hAnsi="宋体" w:eastAsia="宋体" w:cs="宋体"/>
          <w:b/>
          <w:bCs/>
        </w:rPr>
        <w:t>处置效应</w:t>
      </w:r>
      <w:r>
        <w:rPr>
          <w:rFonts w:ascii="宋体" w:hAnsi="宋体" w:eastAsia="宋体" w:cs="宋体"/>
        </w:rPr>
        <w:t>。该指标衡量盈亏状态下卖出倾向的差异，经典定义为”过早卖盈、过久持亏”的倾向。计算方法沿用Odean（1998）：</w:t>
      </w:r>
    </w:p>
    <w:p w14:paraId="0C41EBDB">
      <w:pPr>
        <w:pStyle w:val="3"/>
        <w:spacing w:before="120" w:after="120" w:line="240" w:lineRule="auto"/>
        <w:ind w:firstLine="0"/>
        <w:jc w:val="center"/>
      </w:pPr>
      <m:oMathPara>
        <m:oMathParaPr>
          <m:jc m:val="center"/>
        </m:oMathParaPr>
        <m:oMath>
          <m:r>
            <m:rPr/>
            <w:rPr>
              <w:rFonts w:hint="default" w:ascii="Cambria Math" w:hAnsi="Cambria Math" w:cs="Cambria Math"/>
              <w:sz w:val="24"/>
            </w:rPr>
            <m:t>DE</m:t>
          </m:r>
          <m:r>
            <m:rPr>
              <m:sty m:val="p"/>
            </m:rPr>
            <w:rPr>
              <w:rFonts w:hint="default" w:ascii="Cambria Math" w:hAnsi="Cambria Math" w:cs="Cambria Math"/>
              <w:sz w:val="24"/>
            </w:rPr>
            <m:t>=</m:t>
          </m:r>
          <m:r>
            <m:rPr/>
            <w:rPr>
              <w:rFonts w:hint="default" w:ascii="Cambria Math" w:hAnsi="Cambria Math" w:cs="Cambria Math"/>
              <w:sz w:val="24"/>
            </w:rPr>
            <m:t>PGR</m:t>
          </m:r>
          <m:r>
            <m:rPr>
              <m:sty m:val="p"/>
            </m:rPr>
            <w:rPr>
              <w:rFonts w:hint="default" w:ascii="Cambria Math" w:hAnsi="Cambria Math" w:cs="Cambria Math"/>
              <w:sz w:val="24"/>
            </w:rPr>
            <m:t>−</m:t>
          </m:r>
          <m:r>
            <m:rPr/>
            <w:rPr>
              <w:rFonts w:hint="default" w:ascii="Cambria Math" w:hAnsi="Cambria Math" w:cs="Cambria Math"/>
              <w:sz w:val="24"/>
            </w:rPr>
            <m:t>PLR</m:t>
          </m:r>
        </m:oMath>
      </m:oMathPara>
    </w:p>
    <w:p w14:paraId="1A4EE5EC">
      <w:pPr>
        <w:pStyle w:val="26"/>
        <w:spacing w:before="120" w:after="120" w:line="240" w:lineRule="auto"/>
        <w:ind w:firstLine="0"/>
        <w:jc w:val="center"/>
      </w:pPr>
      <m:oMathPara>
        <m:oMathParaPr>
          <m:jc m:val="center"/>
        </m:oMathParaPr>
        <m:oMath>
          <m:r>
            <m:rPr/>
            <w:rPr>
              <w:rFonts w:hint="default" w:ascii="Cambria Math" w:hAnsi="Cambria Math" w:cs="Cambria Math"/>
              <w:sz w:val="24"/>
            </w:rPr>
            <m:t>PGR</m:t>
          </m:r>
          <m:r>
            <m:rPr>
              <m:sty m:val="p"/>
            </m:rPr>
            <w:rPr>
              <w:rFonts w:hint="default" w:ascii="Cambria Math" w:hAnsi="Cambria Math" w:cs="Cambria Math"/>
              <w:sz w:val="24"/>
            </w:rPr>
            <m:t>=</m:t>
          </m:r>
          <m:f>
            <m:fPr>
              <m:ctrlPr>
                <w:rPr>
                  <w:rFonts w:hint="default" w:ascii="Cambria Math" w:hAnsi="Cambria Math" w:cs="Cambria Math"/>
                  <w:sz w:val="24"/>
                </w:rPr>
              </m:ctrlPr>
            </m:fPr>
            <m:num>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s</m:t>
                  </m:r>
                  <m:ctrlPr>
                    <w:rPr>
                      <w:rFonts w:hint="default" w:ascii="Cambria Math" w:hAnsi="Cambria Math" w:cs="Cambria Math"/>
                      <w:sz w:val="24"/>
                    </w:rPr>
                  </m:ctrlPr>
                </m:sub>
              </m:sSub>
              <m:ctrlPr>
                <w:rPr>
                  <w:rFonts w:hint="default" w:ascii="Cambria Math" w:hAnsi="Cambria Math" w:cs="Cambria Math"/>
                  <w:sz w:val="24"/>
                </w:rPr>
              </m:ctrlPr>
            </m:num>
            <m:den>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s</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ℎ</m:t>
                  </m:r>
                  <m:ctrlPr>
                    <w:rPr>
                      <w:rFonts w:hint="default" w:ascii="Cambria Math" w:hAnsi="Cambria Math" w:cs="Cambria Math"/>
                      <w:sz w:val="24"/>
                    </w:rPr>
                  </m:ctrlPr>
                </m:sub>
              </m:sSub>
              <m:ctrlPr>
                <w:rPr>
                  <w:rFonts w:hint="default" w:ascii="Cambria Math" w:hAnsi="Cambria Math" w:cs="Cambria Math"/>
                  <w:sz w:val="24"/>
                </w:rPr>
              </m:ctrlPr>
            </m:den>
          </m:f>
          <m:r>
            <m:rPr>
              <m:sty m:val="p"/>
            </m:rPr>
            <w:rPr>
              <w:rFonts w:hint="default" w:ascii="Cambria Math" w:hAnsi="Cambria Math" w:cs="Cambria Math"/>
              <w:sz w:val="24"/>
            </w:rPr>
            <m:t>,</m:t>
          </m:r>
          <m:r>
            <m:rPr/>
            <w:rPr>
              <w:rFonts w:hint="default" w:ascii="Cambria Math" w:hAnsi="Cambria Math" w:cs="Cambria Math"/>
              <w:sz w:val="24"/>
            </w:rPr>
            <m:t>  PLR</m:t>
          </m:r>
          <m:r>
            <m:rPr>
              <m:sty m:val="p"/>
            </m:rPr>
            <w:rPr>
              <w:rFonts w:hint="default" w:ascii="Cambria Math" w:hAnsi="Cambria Math" w:cs="Cambria Math"/>
              <w:sz w:val="24"/>
            </w:rPr>
            <m:t>=</m:t>
          </m:r>
          <m:f>
            <m:fPr>
              <m:ctrlPr>
                <w:rPr>
                  <w:rFonts w:hint="default" w:ascii="Cambria Math" w:hAnsi="Cambria Math" w:cs="Cambria Math"/>
                  <w:sz w:val="24"/>
                </w:rPr>
              </m:ctrlPr>
            </m:fPr>
            <m:num>
              <m:sSub>
                <m:sSubPr>
                  <m:ctrlPr>
                    <w:rPr>
                      <w:rFonts w:hint="default" w:ascii="Cambria Math" w:hAnsi="Cambria Math" w:cs="Cambria Math"/>
                      <w:sz w:val="24"/>
                    </w:rPr>
                  </m:ctrlPr>
                </m:sSubPr>
                <m:e>
                  <m:r>
                    <m:rPr/>
                    <w:rPr>
                      <w:rFonts w:hint="default" w:ascii="Cambria Math" w:hAnsi="Cambria Math" w:cs="Cambria Math"/>
                      <w:sz w:val="24"/>
                    </w:rPr>
                    <m:t>L</m:t>
                  </m:r>
                  <m:ctrlPr>
                    <w:rPr>
                      <w:rFonts w:hint="default" w:ascii="Cambria Math" w:hAnsi="Cambria Math" w:cs="Cambria Math"/>
                      <w:sz w:val="24"/>
                    </w:rPr>
                  </m:ctrlPr>
                </m:e>
                <m:sub>
                  <m:r>
                    <m:rPr/>
                    <w:rPr>
                      <w:rFonts w:hint="default" w:ascii="Cambria Math" w:hAnsi="Cambria Math" w:cs="Cambria Math"/>
                      <w:sz w:val="24"/>
                    </w:rPr>
                    <m:t>s</m:t>
                  </m:r>
                  <m:ctrlPr>
                    <w:rPr>
                      <w:rFonts w:hint="default" w:ascii="Cambria Math" w:hAnsi="Cambria Math" w:cs="Cambria Math"/>
                      <w:sz w:val="24"/>
                    </w:rPr>
                  </m:ctrlPr>
                </m:sub>
              </m:sSub>
              <m:ctrlPr>
                <w:rPr>
                  <w:rFonts w:hint="default" w:ascii="Cambria Math" w:hAnsi="Cambria Math" w:cs="Cambria Math"/>
                  <w:sz w:val="24"/>
                </w:rPr>
              </m:ctrlPr>
            </m:num>
            <m:den>
              <m:sSub>
                <m:sSubPr>
                  <m:ctrlPr>
                    <w:rPr>
                      <w:rFonts w:hint="default" w:ascii="Cambria Math" w:hAnsi="Cambria Math" w:cs="Cambria Math"/>
                      <w:sz w:val="24"/>
                    </w:rPr>
                  </m:ctrlPr>
                </m:sSubPr>
                <m:e>
                  <m:r>
                    <m:rPr/>
                    <w:rPr>
                      <w:rFonts w:hint="default" w:ascii="Cambria Math" w:hAnsi="Cambria Math" w:cs="Cambria Math"/>
                      <w:sz w:val="24"/>
                    </w:rPr>
                    <m:t>L</m:t>
                  </m:r>
                  <m:ctrlPr>
                    <w:rPr>
                      <w:rFonts w:hint="default" w:ascii="Cambria Math" w:hAnsi="Cambria Math" w:cs="Cambria Math"/>
                      <w:sz w:val="24"/>
                    </w:rPr>
                  </m:ctrlPr>
                </m:e>
                <m:sub>
                  <m:r>
                    <m:rPr/>
                    <w:rPr>
                      <w:rFonts w:hint="default" w:ascii="Cambria Math" w:hAnsi="Cambria Math" w:cs="Cambria Math"/>
                      <w:sz w:val="24"/>
                    </w:rPr>
                    <m:t>s</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L</m:t>
                  </m:r>
                  <m:ctrlPr>
                    <w:rPr>
                      <w:rFonts w:hint="default" w:ascii="Cambria Math" w:hAnsi="Cambria Math" w:cs="Cambria Math"/>
                      <w:sz w:val="24"/>
                    </w:rPr>
                  </m:ctrlPr>
                </m:e>
                <m:sub>
                  <m:r>
                    <m:rPr/>
                    <w:rPr>
                      <w:rFonts w:hint="default" w:ascii="Cambria Math" w:hAnsi="Cambria Math" w:cs="Cambria Math"/>
                      <w:sz w:val="24"/>
                    </w:rPr>
                    <m:t>ℎ</m:t>
                  </m:r>
                  <m:ctrlPr>
                    <w:rPr>
                      <w:rFonts w:hint="default" w:ascii="Cambria Math" w:hAnsi="Cambria Math" w:cs="Cambria Math"/>
                      <w:sz w:val="24"/>
                    </w:rPr>
                  </m:ctrlPr>
                </m:sub>
              </m:sSub>
              <m:ctrlPr>
                <w:rPr>
                  <w:rFonts w:hint="default" w:ascii="Cambria Math" w:hAnsi="Cambria Math" w:cs="Cambria Math"/>
                  <w:sz w:val="24"/>
                </w:rPr>
              </m:ctrlPr>
            </m:den>
          </m:f>
        </m:oMath>
      </m:oMathPara>
    </w:p>
    <w:p w14:paraId="3C3AD97B">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s</m:t>
            </m:r>
            <m:ctrlPr>
              <w:rPr>
                <w:rFonts w:hint="default" w:ascii="Cambria Math" w:hAnsi="Cambria Math" w:cs="Cambria Math"/>
                <w:sz w:val="24"/>
              </w:rPr>
            </m:ctrlPr>
          </m:sub>
        </m:sSub>
      </m:oMath>
      <w:r>
        <w:t xml:space="preserve"> </w:t>
      </w:r>
      <w:r>
        <w:rPr>
          <w:rFonts w:ascii="宋体" w:hAnsi="宋体" w:eastAsia="宋体" w:cs="宋体"/>
        </w:rPr>
        <w:t>为盈利股票中被实现卖出的数量，</w:t>
      </w:r>
      <m:oMath>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ℎ</m:t>
            </m:r>
            <m:ctrlPr>
              <w:rPr>
                <w:rFonts w:hint="default" w:ascii="Cambria Math" w:hAnsi="Cambria Math" w:cs="Cambria Math"/>
                <w:sz w:val="24"/>
              </w:rPr>
            </m:ctrlPr>
          </m:sub>
        </m:sSub>
      </m:oMath>
      <w:r>
        <w:t xml:space="preserve"> </w:t>
      </w:r>
      <w:r>
        <w:rPr>
          <w:rFonts w:ascii="宋体" w:hAnsi="宋体" w:eastAsia="宋体" w:cs="宋体"/>
        </w:rPr>
        <w:t>为盈利股票中继续持有的数量，</w:t>
      </w:r>
      <m:oMath>
        <m:sSub>
          <m:sSubPr>
            <m:ctrlPr>
              <w:rPr>
                <w:rFonts w:hint="default" w:ascii="Cambria Math" w:hAnsi="Cambria Math" w:cs="Cambria Math"/>
                <w:sz w:val="24"/>
              </w:rPr>
            </m:ctrlPr>
          </m:sSubPr>
          <m:e>
            <m:r>
              <m:rPr/>
              <w:rPr>
                <w:rFonts w:hint="default" w:ascii="Cambria Math" w:hAnsi="Cambria Math" w:cs="Cambria Math"/>
                <w:sz w:val="24"/>
              </w:rPr>
              <m:t>L</m:t>
            </m:r>
            <m:ctrlPr>
              <w:rPr>
                <w:rFonts w:hint="default" w:ascii="Cambria Math" w:hAnsi="Cambria Math" w:cs="Cambria Math"/>
                <w:sz w:val="24"/>
              </w:rPr>
            </m:ctrlPr>
          </m:e>
          <m:sub>
            <m:r>
              <m:rPr/>
              <w:rPr>
                <w:rFonts w:hint="default" w:ascii="Cambria Math" w:hAnsi="Cambria Math" w:cs="Cambria Math"/>
                <w:sz w:val="24"/>
              </w:rPr>
              <m:t>s</m:t>
            </m:r>
            <m:ctrlPr>
              <w:rPr>
                <w:rFonts w:hint="default" w:ascii="Cambria Math" w:hAnsi="Cambria Math" w:cs="Cambria Math"/>
                <w:sz w:val="24"/>
              </w:rPr>
            </m:ctrlPr>
          </m:sub>
        </m:sSub>
      </m:oMath>
      <w:r>
        <w:t xml:space="preserve"> </w:t>
      </w:r>
      <w:r>
        <w:rPr>
          <w:rFonts w:ascii="宋体" w:hAnsi="宋体" w:eastAsia="宋体" w:cs="宋体"/>
        </w:rPr>
        <w:t>为亏损股票中被实现卖出的数量，</w:t>
      </w:r>
      <m:oMath>
        <m:sSub>
          <m:sSubPr>
            <m:ctrlPr>
              <w:rPr>
                <w:rFonts w:hint="default" w:ascii="Cambria Math" w:hAnsi="Cambria Math" w:cs="Cambria Math"/>
                <w:sz w:val="24"/>
              </w:rPr>
            </m:ctrlPr>
          </m:sSubPr>
          <m:e>
            <m:r>
              <m:rPr/>
              <w:rPr>
                <w:rFonts w:hint="default" w:ascii="Cambria Math" w:hAnsi="Cambria Math" w:cs="Cambria Math"/>
                <w:sz w:val="24"/>
              </w:rPr>
              <m:t>L</m:t>
            </m:r>
            <m:ctrlPr>
              <w:rPr>
                <w:rFonts w:hint="default" w:ascii="Cambria Math" w:hAnsi="Cambria Math" w:cs="Cambria Math"/>
                <w:sz w:val="24"/>
              </w:rPr>
            </m:ctrlPr>
          </m:e>
          <m:sub>
            <m:r>
              <m:rPr/>
              <w:rPr>
                <w:rFonts w:hint="default" w:ascii="Cambria Math" w:hAnsi="Cambria Math" w:cs="Cambria Math"/>
                <w:sz w:val="24"/>
              </w:rPr>
              <m:t>ℎ</m:t>
            </m:r>
            <m:ctrlPr>
              <w:rPr>
                <w:rFonts w:hint="default" w:ascii="Cambria Math" w:hAnsi="Cambria Math" w:cs="Cambria Math"/>
                <w:sz w:val="24"/>
              </w:rPr>
            </m:ctrlPr>
          </m:sub>
        </m:sSub>
      </m:oMath>
      <w:r>
        <w:t xml:space="preserve"> </w:t>
      </w:r>
      <w:r>
        <w:rPr>
          <w:rFonts w:ascii="宋体" w:hAnsi="宋体" w:eastAsia="宋体" w:cs="宋体"/>
        </w:rPr>
        <w:t>为亏损股票中继续持有的数量。盈利实现比率与亏损实现比率之差即为处置效应。数据来源为基金全持仓与个股月度收盘价（用于判断盈亏状态），覆盖399只基金，观测层覆盖率46.6%。需要说明的是，该指标基于季度持仓快照，季中交易不可观测，这一经典测量误差会将处置效应向零衰减，故本文检测到的效应是保守下界。其经济含义在于：正向处置效应意味着”急于兑现盈利、拖延承认亏损”，负向则意味着更果断的止损纪律。本文实证发现中国基金经理处置效应均值为−0.127（盈利实现比率0.659小于亏损实现比率0.785），与西方经典文献的正向处置效应相反，表明中国经理更倾向于止损而非持有待涨，可能与A股波动较大与止损文化较强有关。</w:t>
      </w:r>
    </w:p>
    <w:p w14:paraId="18AFED51">
      <w:pPr>
        <w:pStyle w:val="3"/>
        <w:spacing w:before="0" w:after="0" w:line="360" w:lineRule="auto"/>
        <w:ind w:firstLine="482" w:firstLineChars="200"/>
        <w:jc w:val="both"/>
      </w:pPr>
      <w:r>
        <w:rPr>
          <w:rFonts w:ascii="宋体" w:hAnsi="宋体" w:eastAsia="宋体" w:cs="宋体"/>
          <w:b/>
          <w:bCs/>
        </w:rPr>
        <w:t>羊群效应</w:t>
      </w:r>
      <w:r>
        <w:rPr>
          <w:rFonts w:ascii="宋体" w:hAnsi="宋体" w:eastAsia="宋体" w:cs="宋体"/>
        </w:rPr>
        <w:t>。该指标衡量基金聚集交易于被协同炒作股票的程度。计算方法沿用Lakonishok、Shleifer与Vishny（1992）的非负定义：</w:t>
      </w:r>
    </w:p>
    <w:p w14:paraId="55C7E31B">
      <w:pPr>
        <w:pStyle w:val="3"/>
        <w:spacing w:before="120" w:after="120" w:line="240" w:lineRule="auto"/>
        <w:ind w:firstLine="0"/>
        <w:jc w:val="center"/>
      </w:pPr>
      <m:oMathPara>
        <m:oMathParaPr>
          <m:jc m:val="center"/>
        </m:oMathParaPr>
        <m:oMath>
          <m:r>
            <m:rPr/>
            <w:rPr>
              <w:rFonts w:hint="default" w:ascii="Cambria Math" w:hAnsi="Cambria Math" w:cs="Cambria Math"/>
              <w:sz w:val="24"/>
            </w:rPr>
            <m:t>LS</m:t>
          </m:r>
          <m:sSub>
            <m:sSubPr>
              <m:ctrlPr>
                <w:rPr>
                  <w:rFonts w:hint="default" w:ascii="Cambria Math" w:hAnsi="Cambria Math" w:cs="Cambria Math"/>
                  <w:sz w:val="24"/>
                </w:rPr>
              </m:ctrlPr>
            </m:sSubPr>
            <m:e>
              <m:r>
                <m:rPr/>
                <w:rPr>
                  <w:rFonts w:hint="default" w:ascii="Cambria Math" w:hAnsi="Cambria Math" w:cs="Cambria Math"/>
                  <w:sz w:val="24"/>
                </w:rPr>
                <m:t>V</m:t>
              </m:r>
              <m:ctrlPr>
                <w:rPr>
                  <w:rFonts w:hint="default" w:ascii="Cambria Math" w:hAnsi="Cambria Math" w:cs="Cambria Math"/>
                  <w:sz w:val="24"/>
                </w:rPr>
              </m:ctrlPr>
            </m:e>
            <m:sub>
              <m:r>
                <m:rPr/>
                <w:rPr>
                  <w:rFonts w:hint="default" w:ascii="Cambria Math" w:hAnsi="Cambria Math" w:cs="Cambria Math"/>
                  <w:sz w:val="24"/>
                </w:rPr>
                <m:t>j</m:t>
              </m:r>
              <m:ctrlPr>
                <w:rPr>
                  <w:rFonts w:hint="default" w:ascii="Cambria Math" w:hAnsi="Cambria Math" w:cs="Cambria Math"/>
                  <w:sz w:val="24"/>
                </w:rPr>
              </m:ctrlPr>
            </m:sub>
          </m:sSub>
          <m:r>
            <m:rPr>
              <m:sty m:val="p"/>
            </m:rPr>
            <w:rPr>
              <w:rFonts w:hint="default" w:ascii="Cambria Math" w:hAnsi="Cambria Math" w:cs="Cambria Math"/>
              <w:sz w:val="24"/>
            </w:rPr>
            <m:t>=</m:t>
          </m:r>
          <m:d>
            <m:dPr>
              <m:begChr m:val="|"/>
              <m:sepChr m:val=""/>
              <m:endChr m:val="|"/>
              <m:ctrlPr>
                <w:rPr>
                  <w:rFonts w:hint="default" w:ascii="Cambria Math" w:hAnsi="Cambria Math" w:cs="Cambria Math"/>
                  <w:sz w:val="24"/>
                </w:rPr>
              </m:ctrlPr>
            </m:dPr>
            <m:e>
              <m:sSub>
                <m:sSubPr>
                  <m:ctrlPr>
                    <w:rPr>
                      <w:rFonts w:hint="default" w:ascii="Cambria Math" w:hAnsi="Cambria Math" w:cs="Cambria Math"/>
                      <w:sz w:val="24"/>
                    </w:rPr>
                  </m:ctrlPr>
                </m:sSubPr>
                <m:e>
                  <m:r>
                    <m:rPr/>
                    <w:rPr>
                      <w:rFonts w:hint="default" w:ascii="Cambria Math" w:hAnsi="Cambria Math" w:cs="Cambria Math"/>
                      <w:sz w:val="24"/>
                    </w:rPr>
                    <m:t>p</m:t>
                  </m:r>
                  <m:ctrlPr>
                    <w:rPr>
                      <w:rFonts w:hint="default" w:ascii="Cambria Math" w:hAnsi="Cambria Math" w:cs="Cambria Math"/>
                      <w:sz w:val="24"/>
                    </w:rPr>
                  </m:ctrlPr>
                </m:e>
                <m:sub>
                  <m:r>
                    <m:rPr/>
                    <w:rPr>
                      <w:rFonts w:hint="default" w:ascii="Cambria Math" w:hAnsi="Cambria Math" w:cs="Cambria Math"/>
                      <w:sz w:val="24"/>
                    </w:rPr>
                    <m:t>j</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acc>
                    <m:accPr>
                      <m:chr m:val="‾"/>
                      <m:ctrlPr>
                        <w:rPr>
                          <w:rFonts w:hint="default" w:ascii="Cambria Math" w:hAnsi="Cambria Math" w:cs="Cambria Math"/>
                          <w:sz w:val="24"/>
                        </w:rPr>
                      </m:ctrlPr>
                    </m:accPr>
                    <m:e>
                      <m:r>
                        <m:rPr/>
                        <w:rPr>
                          <w:rFonts w:hint="default" w:ascii="Cambria Math" w:hAnsi="Cambria Math" w:cs="Cambria Math"/>
                          <w:sz w:val="24"/>
                        </w:rPr>
                        <m:t>p</m:t>
                      </m:r>
                      <m:ctrlPr>
                        <w:rPr>
                          <w:rFonts w:hint="default" w:ascii="Cambria Math" w:hAnsi="Cambria Math" w:cs="Cambria Math"/>
                          <w:sz w:val="24"/>
                        </w:rPr>
                      </m:ctrlPr>
                    </m:e>
                  </m:acc>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ctrlPr>
                <w:rPr>
                  <w:rFonts w:hint="default" w:ascii="Cambria Math" w:hAnsi="Cambria Math" w:cs="Cambria Math"/>
                  <w:sz w:val="24"/>
                </w:rPr>
              </m:ctrlPr>
            </m:e>
          </m:d>
          <m:r>
            <m:rPr>
              <m:sty m:val="p"/>
            </m:rPr>
            <w:rPr>
              <w:rFonts w:hint="default" w:ascii="Cambria Math" w:hAnsi="Cambria Math" w:cs="Cambria Math"/>
              <w:sz w:val="24"/>
            </w:rPr>
            <m:t>−</m:t>
          </m:r>
          <m:r>
            <m:rPr/>
            <w:rPr>
              <w:rFonts w:hint="default" w:ascii="Cambria Math" w:hAnsi="Cambria Math" w:cs="Cambria Math"/>
              <w:sz w:val="24"/>
            </w:rPr>
            <m:t>AF</m:t>
          </m:r>
          <m:r>
            <m:rPr>
              <m:sty m:val="p"/>
            </m:rPr>
            <w:rPr>
              <w:rFonts w:hint="default" w:ascii="Cambria Math" w:hAnsi="Cambria Math" w:cs="Cambria Math"/>
              <w:sz w:val="24"/>
            </w:rPr>
            <m:t>,</m:t>
          </m:r>
          <m:r>
            <m:rPr/>
            <w:rPr>
              <w:rFonts w:hint="default" w:ascii="Cambria Math" w:hAnsi="Cambria Math" w:cs="Cambria Math"/>
              <w:sz w:val="24"/>
            </w:rPr>
            <m:t>  AF</m:t>
          </m:r>
          <m:r>
            <m:rPr>
              <m:sty m:val="p"/>
            </m:rPr>
            <w:rPr>
              <w:rFonts w:hint="default" w:ascii="Cambria Math" w:hAnsi="Cambria Math" w:cs="Cambria Math"/>
              <w:sz w:val="24"/>
            </w:rPr>
            <m:t>=</m:t>
          </m:r>
          <m:r>
            <m:rPr/>
            <w:rPr>
              <w:rFonts w:hint="default" w:ascii="Cambria Math" w:hAnsi="Cambria Math" w:cs="Cambria Math"/>
              <w:sz w:val="24"/>
            </w:rPr>
            <m:t>E</m:t>
          </m:r>
          <m:d>
            <m:dPr>
              <m:begChr m:val="["/>
              <m:sepChr m:val=""/>
              <m:endChr m:val="]"/>
              <m:ctrlPr>
                <w:rPr>
                  <w:rFonts w:hint="default" w:ascii="Cambria Math" w:hAnsi="Cambria Math" w:cs="Cambria Math"/>
                  <w:sz w:val="24"/>
                </w:rPr>
              </m:ctrlPr>
            </m:dPr>
            <m:e>
              <m:d>
                <m:dPr>
                  <m:begChr m:val="|"/>
                  <m:sepChr m:val=""/>
                  <m:endChr m:val="|"/>
                  <m:ctrlPr>
                    <w:rPr>
                      <w:rFonts w:hint="default" w:ascii="Cambria Math" w:hAnsi="Cambria Math" w:cs="Cambria Math"/>
                      <w:sz w:val="24"/>
                    </w:rPr>
                  </m:ctrlPr>
                </m:dPr>
                <m:e>
                  <m:sSub>
                    <m:sSubPr>
                      <m:ctrlPr>
                        <w:rPr>
                          <w:rFonts w:hint="default" w:ascii="Cambria Math" w:hAnsi="Cambria Math" w:cs="Cambria Math"/>
                          <w:sz w:val="24"/>
                        </w:rPr>
                      </m:ctrlPr>
                    </m:sSubPr>
                    <m:e>
                      <m:r>
                        <m:rPr/>
                        <w:rPr>
                          <w:rFonts w:hint="default" w:ascii="Cambria Math" w:hAnsi="Cambria Math" w:cs="Cambria Math"/>
                          <w:sz w:val="24"/>
                        </w:rPr>
                        <m:t>p</m:t>
                      </m:r>
                      <m:ctrlPr>
                        <w:rPr>
                          <w:rFonts w:hint="default" w:ascii="Cambria Math" w:hAnsi="Cambria Math" w:cs="Cambria Math"/>
                          <w:sz w:val="24"/>
                        </w:rPr>
                      </m:ctrlPr>
                    </m:e>
                    <m:sub>
                      <m:r>
                        <m:rPr/>
                        <w:rPr>
                          <w:rFonts w:hint="default" w:ascii="Cambria Math" w:hAnsi="Cambria Math" w:cs="Cambria Math"/>
                          <w:sz w:val="24"/>
                        </w:rPr>
                        <m:t>j</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acc>
                        <m:accPr>
                          <m:chr m:val="‾"/>
                          <m:ctrlPr>
                            <w:rPr>
                              <w:rFonts w:hint="default" w:ascii="Cambria Math" w:hAnsi="Cambria Math" w:cs="Cambria Math"/>
                              <w:sz w:val="24"/>
                            </w:rPr>
                          </m:ctrlPr>
                        </m:accPr>
                        <m:e>
                          <m:r>
                            <m:rPr/>
                            <w:rPr>
                              <w:rFonts w:hint="default" w:ascii="Cambria Math" w:hAnsi="Cambria Math" w:cs="Cambria Math"/>
                              <w:sz w:val="24"/>
                            </w:rPr>
                            <m:t>p</m:t>
                          </m:r>
                          <m:ctrlPr>
                            <w:rPr>
                              <w:rFonts w:hint="default" w:ascii="Cambria Math" w:hAnsi="Cambria Math" w:cs="Cambria Math"/>
                              <w:sz w:val="24"/>
                            </w:rPr>
                          </m:ctrlPr>
                        </m:e>
                      </m:acc>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ctrlPr>
                    <w:rPr>
                      <w:rFonts w:hint="default" w:ascii="Cambria Math" w:hAnsi="Cambria Math" w:cs="Cambria Math"/>
                      <w:sz w:val="24"/>
                    </w:rPr>
                  </m:ctrlPr>
                </m:e>
              </m:d>
              <m:ctrlPr>
                <w:rPr>
                  <w:rFonts w:hint="default" w:ascii="Cambria Math" w:hAnsi="Cambria Math" w:cs="Cambria Math"/>
                  <w:sz w:val="24"/>
                </w:rPr>
              </m:ctrlPr>
            </m:e>
          </m:d>
        </m:oMath>
      </m:oMathPara>
    </w:p>
    <w:p w14:paraId="1C25EBFF">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p</m:t>
            </m:r>
            <m:ctrlPr>
              <w:rPr>
                <w:rFonts w:hint="default" w:ascii="Cambria Math" w:hAnsi="Cambria Math" w:cs="Cambria Math"/>
                <w:sz w:val="24"/>
              </w:rPr>
            </m:ctrlPr>
          </m:e>
          <m:sub>
            <m:r>
              <m:rPr/>
              <w:rPr>
                <w:rFonts w:hint="default" w:ascii="Cambria Math" w:hAnsi="Cambria Math" w:cs="Cambria Math"/>
                <w:sz w:val="24"/>
              </w:rPr>
              <m:t>j</m:t>
            </m:r>
            <m:ctrlPr>
              <w:rPr>
                <w:rFonts w:hint="default" w:ascii="Cambria Math" w:hAnsi="Cambria Math" w:cs="Cambria Math"/>
                <w:sz w:val="24"/>
              </w:rPr>
            </m:ctrlPr>
          </m:sub>
        </m:sSub>
      </m:oMath>
      <w:r>
        <w:t xml:space="preserve"> </w:t>
      </w:r>
      <w:r>
        <w:rPr>
          <w:rFonts w:ascii="宋体" w:hAnsi="宋体" w:eastAsia="宋体" w:cs="宋体"/>
        </w:rPr>
        <w:t>为基金</w:t>
      </w:r>
      <w:r>
        <w:t xml:space="preserve"> </w:t>
      </w:r>
      <m:oMath>
        <m:r>
          <m:rPr/>
          <w:rPr>
            <w:rFonts w:hint="default" w:ascii="Cambria Math" w:hAnsi="Cambria Math" w:cs="Cambria Math"/>
            <w:sz w:val="24"/>
          </w:rPr>
          <m:t>j</m:t>
        </m:r>
      </m:oMath>
      <w:r>
        <w:t xml:space="preserve"> </w:t>
      </w:r>
      <w:r>
        <w:rPr>
          <w:rFonts w:ascii="宋体" w:hAnsi="宋体" w:eastAsia="宋体" w:cs="宋体"/>
        </w:rPr>
        <w:t>在当期买入股票占其全部交易的比例，</w:t>
      </w:r>
      <m:oMath>
        <m:sSub>
          <m:sSubPr>
            <m:ctrlPr>
              <w:rPr>
                <w:rFonts w:hint="default" w:ascii="Cambria Math" w:hAnsi="Cambria Math" w:cs="Cambria Math"/>
                <w:sz w:val="24"/>
              </w:rPr>
            </m:ctrlPr>
          </m:sSubPr>
          <m:e>
            <m:acc>
              <m:accPr>
                <m:chr m:val="‾"/>
                <m:ctrlPr>
                  <w:rPr>
                    <w:rFonts w:hint="default" w:ascii="Cambria Math" w:hAnsi="Cambria Math" w:cs="Cambria Math"/>
                    <w:sz w:val="24"/>
                  </w:rPr>
                </m:ctrlPr>
              </m:accPr>
              <m:e>
                <m:r>
                  <m:rPr/>
                  <w:rPr>
                    <w:rFonts w:hint="default" w:ascii="Cambria Math" w:hAnsi="Cambria Math" w:cs="Cambria Math"/>
                    <w:sz w:val="24"/>
                  </w:rPr>
                  <m:t>p</m:t>
                </m:r>
                <m:ctrlPr>
                  <w:rPr>
                    <w:rFonts w:hint="default" w:ascii="Cambria Math" w:hAnsi="Cambria Math" w:cs="Cambria Math"/>
                    <w:sz w:val="24"/>
                  </w:rPr>
                </m:ctrlPr>
              </m:e>
            </m:acc>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为同期全体基金的平均买入比例，</w:t>
      </w:r>
      <m:oMath>
        <m:r>
          <m:rPr/>
          <w:rPr>
            <w:rFonts w:hint="default" w:ascii="Cambria Math" w:hAnsi="Cambria Math" w:cs="Cambria Math"/>
            <w:sz w:val="24"/>
          </w:rPr>
          <m:t>AF</m:t>
        </m:r>
      </m:oMath>
      <w:r>
        <w:t xml:space="preserve"> </w:t>
      </w:r>
      <w:r>
        <w:rPr>
          <w:rFonts w:ascii="宋体" w:hAnsi="宋体" w:eastAsia="宋体" w:cs="宋体"/>
        </w:rPr>
        <w:t>为零假设（基金独立交易）下该绝对偏差的期望值，用于修正小样本偏误。按标准定义，基金层取各股票正向协同部分的均值，恒为非负。数据来源为东方财富全持仓数据（400只基金全覆盖），持仓快照变动代理买卖方向，有效观测9187个，覆盖率92.1%。其经济含义在于：羊群效应度量经理是否放弃私有信息而跟随他人交易；正向羊群与信息级联、声誉保护两种机制均相容。本文实证发现羊群效应均值为+0.088，整体呈协同交易特征，与美国市场的”知情羊群”方向一致。需要指出的是，该指标的回归结果对样本口径敏感，本文最终将其定位为选择敏感的描述性证据。</w:t>
      </w:r>
    </w:p>
    <w:p w14:paraId="38211782">
      <w:pPr>
        <w:pStyle w:val="3"/>
        <w:spacing w:before="0" w:after="0" w:line="360" w:lineRule="auto"/>
        <w:ind w:firstLine="482" w:firstLineChars="200"/>
        <w:jc w:val="both"/>
      </w:pPr>
      <w:r>
        <w:rPr>
          <w:rFonts w:ascii="宋体" w:hAnsi="宋体" w:eastAsia="宋体" w:cs="宋体"/>
          <w:b/>
          <w:bCs/>
        </w:rPr>
        <w:t>风险承担不对称</w:t>
      </w:r>
      <w:r>
        <w:rPr>
          <w:rFonts w:ascii="宋体" w:hAnsi="宋体" w:eastAsia="宋体" w:cs="宋体"/>
        </w:rPr>
        <w:t>。该指标衡量盈利期与亏损期收益波动率的差异，刻画不同业绩状态下的风险偏好漂移。计算方法为：</w:t>
      </w:r>
    </w:p>
    <w:p w14:paraId="1DA5BD65">
      <w:pPr>
        <w:pStyle w:val="3"/>
        <w:spacing w:before="120" w:after="120" w:line="240" w:lineRule="auto"/>
        <w:ind w:firstLine="0"/>
        <w:jc w:val="center"/>
      </w:pPr>
      <m:oMathPara>
        <m:oMathParaPr>
          <m:jc m:val="center"/>
        </m:oMathParaPr>
        <m:oMath>
          <m:r>
            <m:rPr/>
            <w:rPr>
              <w:rFonts w:hint="default" w:ascii="Cambria Math" w:hAnsi="Cambria Math" w:cs="Cambria Math"/>
              <w:sz w:val="24"/>
            </w:rPr>
            <m:t>RA</m:t>
          </m:r>
          <m:r>
            <m:rPr>
              <m:sty m:val="p"/>
            </m:rPr>
            <w:rPr>
              <w:rFonts w:hint="default" w:ascii="Cambria Math" w:hAnsi="Cambria Math" w:cs="Cambria Math"/>
              <w:sz w:val="24"/>
            </w:rPr>
            <m:t>=</m:t>
          </m:r>
          <m:r>
            <m:rPr/>
            <w:rPr>
              <w:rFonts w:hint="default" w:ascii="Cambria Math" w:hAnsi="Cambria Math" w:cs="Cambria Math"/>
              <w:sz w:val="24"/>
            </w:rPr>
            <m:t>σ</m:t>
          </m:r>
          <m:r>
            <m:rPr>
              <m:sty m:val="p"/>
            </m:rPr>
            <w:rPr>
              <w:rFonts w:hint="default" w:ascii="Cambria Math" w:hAnsi="Cambria Math" w:cs="Cambria Math"/>
              <w:sz w:val="24"/>
            </w:rPr>
            <m:t>(</m:t>
          </m:r>
          <m:r>
            <m:rPr/>
            <w:rPr>
              <w:rFonts w:hint="default" w:ascii="Cambria Math" w:hAnsi="Cambria Math" w:cs="Cambria Math"/>
              <w:sz w:val="24"/>
            </w:rPr>
            <m:t>g</m:t>
          </m:r>
          <m:r>
            <m:rPr>
              <m:sty m:val="p"/>
            </m:rPr>
            <w:rPr>
              <w:rFonts w:hint="default" w:ascii="Cambria Math" w:hAnsi="Cambria Math" w:cs="Cambria Math"/>
              <w:sz w:val="24"/>
            </w:rPr>
            <m:t>)−</m:t>
          </m:r>
          <m:r>
            <m:rPr/>
            <w:rPr>
              <w:rFonts w:hint="default" w:ascii="Cambria Math" w:hAnsi="Cambria Math" w:cs="Cambria Math"/>
              <w:sz w:val="24"/>
            </w:rPr>
            <m:t>σ</m:t>
          </m:r>
          <m:r>
            <m:rPr>
              <m:sty m:val="p"/>
            </m:rPr>
            <w:rPr>
              <w:rFonts w:hint="default" w:ascii="Cambria Math" w:hAnsi="Cambria Math" w:cs="Cambria Math"/>
              <w:sz w:val="24"/>
            </w:rPr>
            <m:t>(</m:t>
          </m:r>
          <m:r>
            <m:rPr/>
            <w:rPr>
              <w:rFonts w:hint="default" w:ascii="Cambria Math" w:hAnsi="Cambria Math" w:cs="Cambria Math"/>
              <w:sz w:val="24"/>
            </w:rPr>
            <m:t>l</m:t>
          </m:r>
          <m:r>
            <m:rPr>
              <m:sty m:val="p"/>
            </m:rPr>
            <w:rPr>
              <w:rFonts w:hint="default" w:ascii="Cambria Math" w:hAnsi="Cambria Math" w:cs="Cambria Math"/>
              <w:sz w:val="24"/>
            </w:rPr>
            <m:t>)</m:t>
          </m:r>
        </m:oMath>
      </m:oMathPara>
    </w:p>
    <w:p w14:paraId="4614BBFD">
      <w:pPr>
        <w:pStyle w:val="26"/>
        <w:spacing w:before="0" w:after="0" w:line="360" w:lineRule="auto"/>
        <w:ind w:firstLine="480" w:firstLineChars="200"/>
        <w:jc w:val="both"/>
      </w:pPr>
      <w:r>
        <w:rPr>
          <w:rFonts w:ascii="宋体" w:hAnsi="宋体" w:eastAsia="宋体" w:cs="宋体"/>
        </w:rPr>
        <w:t>式中，</w:t>
      </w:r>
      <m:oMath>
        <m:r>
          <m:rPr/>
          <w:rPr>
            <w:rFonts w:hint="default" w:ascii="Cambria Math" w:hAnsi="Cambria Math" w:cs="Cambria Math"/>
            <w:sz w:val="24"/>
          </w:rPr>
          <m:t>σ</m:t>
        </m:r>
        <m:r>
          <m:rPr>
            <m:sty m:val="p"/>
          </m:rPr>
          <w:rPr>
            <w:rFonts w:hint="default" w:ascii="Cambria Math" w:hAnsi="Cambria Math" w:cs="Cambria Math"/>
            <w:sz w:val="24"/>
          </w:rPr>
          <m:t>(</m:t>
        </m:r>
        <m:r>
          <m:rPr/>
          <w:rPr>
            <w:rFonts w:hint="default" w:ascii="Cambria Math" w:hAnsi="Cambria Math" w:cs="Cambria Math"/>
            <w:sz w:val="24"/>
          </w:rPr>
          <m:t>g</m:t>
        </m:r>
        <m:r>
          <m:rPr>
            <m:sty m:val="p"/>
          </m:rPr>
          <w:rPr>
            <w:rFonts w:hint="default" w:ascii="Cambria Math" w:hAnsi="Cambria Math" w:cs="Cambria Math"/>
            <w:sz w:val="24"/>
          </w:rPr>
          <m:t>)</m:t>
        </m:r>
      </m:oMath>
      <w:r>
        <w:t xml:space="preserve"> </w:t>
      </w:r>
      <w:r>
        <w:rPr>
          <w:rFonts w:ascii="宋体" w:hAnsi="宋体" w:eastAsia="宋体" w:cs="宋体"/>
        </w:rPr>
        <w:t>为盈利期（净值上涨阶段）的收益波动率，</w:t>
      </w:r>
      <m:oMath>
        <m:r>
          <m:rPr/>
          <w:rPr>
            <w:rFonts w:hint="default" w:ascii="Cambria Math" w:hAnsi="Cambria Math" w:cs="Cambria Math"/>
            <w:sz w:val="24"/>
          </w:rPr>
          <m:t>σ</m:t>
        </m:r>
        <m:r>
          <m:rPr>
            <m:sty m:val="p"/>
          </m:rPr>
          <w:rPr>
            <w:rFonts w:hint="default" w:ascii="Cambria Math" w:hAnsi="Cambria Math" w:cs="Cambria Math"/>
            <w:sz w:val="24"/>
          </w:rPr>
          <m:t>(</m:t>
        </m:r>
        <m:r>
          <m:rPr/>
          <w:rPr>
            <w:rFonts w:hint="default" w:ascii="Cambria Math" w:hAnsi="Cambria Math" w:cs="Cambria Math"/>
            <w:sz w:val="24"/>
          </w:rPr>
          <m:t>l</m:t>
        </m:r>
        <m:r>
          <m:rPr>
            <m:sty m:val="p"/>
          </m:rPr>
          <w:rPr>
            <w:rFonts w:hint="default" w:ascii="Cambria Math" w:hAnsi="Cambria Math" w:cs="Cambria Math"/>
            <w:sz w:val="24"/>
          </w:rPr>
          <m:t>)</m:t>
        </m:r>
      </m:oMath>
      <w:r>
        <w:t xml:space="preserve"> </w:t>
      </w:r>
      <w:r>
        <w:rPr>
          <w:rFonts w:ascii="宋体" w:hAnsi="宋体" w:eastAsia="宋体" w:cs="宋体"/>
        </w:rPr>
        <w:t>为亏损期的收益波动率，均采用滚动8个季度的时变窗口计算。数据来源为akshare净值数据，覆盖386只基金，覆盖率72.0%。其经济含义在于：正值对应盈利期风险承担更高的”赌资效应”，负值对应亏损期加风险博反转的锦标赛效应。本文实证发现均值为+0.035，呈温和赌资效应；与业绩的关系呈倒U型非线性——适度不对称有益，过度则有害。值得强调的是，该指标度量的是条件波动率的不对称，既可能反映赌资效应，也可能反映上行择时能力（善于在上行期放大暴露的基金天然呈盈利期高波动）；本文在稳健性检验中控制择时系数后风险承担不对称仍显著（t=7.19，与择时系数相关仅0.06），排除了择时驱动这一替代解释。</w:t>
      </w:r>
    </w:p>
    <w:bookmarkEnd w:id="10"/>
    <w:p w14:paraId="4DD5EABF">
      <w:pPr>
        <w:pStyle w:val="5"/>
        <w:spacing w:before="120" w:after="120" w:line="240" w:lineRule="auto"/>
        <w:ind w:firstLine="0"/>
        <w:jc w:val="left"/>
        <w:rPr>
          <w:rFonts w:ascii="Times New Roman" w:eastAsia="黑体"/>
          <w:b/>
          <w:color w:val="000000"/>
          <w:sz w:val="24"/>
        </w:rPr>
      </w:pPr>
      <w:bookmarkStart w:id="11" w:name="选择层l3"/>
      <w:r>
        <w:rPr>
          <w:rFonts w:ascii="Times New Roman" w:eastAsia="黑体"/>
          <w:b/>
          <w:color w:val="000000"/>
          <w:sz w:val="24"/>
        </w:rPr>
        <w:t xml:space="preserve">3.2.3 </w:t>
      </w:r>
      <w:r>
        <w:rPr>
          <w:rFonts w:ascii="Times New Roman" w:hAnsi="宋体" w:eastAsia="黑体" w:cs="宋体"/>
          <w:b/>
          <w:color w:val="000000"/>
          <w:sz w:val="24"/>
        </w:rPr>
        <w:t>选择层（L3）</w:t>
      </w:r>
    </w:p>
    <w:p w14:paraId="64095287">
      <w:pPr>
        <w:pStyle w:val="26"/>
        <w:spacing w:before="0" w:after="0" w:line="360" w:lineRule="auto"/>
        <w:ind w:firstLine="482" w:firstLineChars="200"/>
        <w:jc w:val="both"/>
      </w:pPr>
      <w:r>
        <w:rPr>
          <w:rFonts w:ascii="宋体" w:hAnsi="宋体" w:eastAsia="宋体" w:cs="宋体"/>
          <w:b/>
          <w:bCs/>
        </w:rPr>
        <w:t>改进主动份额</w:t>
      </w:r>
      <w:r>
        <w:rPr>
          <w:rFonts w:ascii="宋体" w:hAnsi="宋体" w:eastAsia="宋体" w:cs="宋体"/>
        </w:rPr>
        <w:t>。该指标衡量基金主动管理程度，即组合权重与基准权重偏离的程度。计算方法为：</w:t>
      </w:r>
    </w:p>
    <w:p w14:paraId="558CFEDC">
      <w:pPr>
        <w:pStyle w:val="3"/>
        <w:spacing w:before="120" w:after="120" w:line="240" w:lineRule="auto"/>
        <w:ind w:firstLine="0"/>
        <w:jc w:val="center"/>
      </w:pPr>
      <m:oMathPara>
        <m:oMathParaPr>
          <m:jc m:val="center"/>
        </m:oMathParaPr>
        <m:oMath>
          <m:r>
            <m:rPr/>
            <w:rPr>
              <w:rFonts w:hint="default" w:ascii="Cambria Math" w:hAnsi="Cambria Math" w:cs="Cambria Math"/>
              <w:sz w:val="24"/>
            </w:rPr>
            <m:t>AS</m:t>
          </m:r>
          <m:r>
            <m:rPr>
              <m:sty m:val="p"/>
            </m:rPr>
            <w:rPr>
              <w:rFonts w:hint="default" w:ascii="Cambria Math" w:hAnsi="Cambria Math" w:cs="Cambria Math"/>
              <w:sz w:val="24"/>
            </w:rPr>
            <m:t>=</m:t>
          </m:r>
          <m:f>
            <m:fPr>
              <m:ctrlPr>
                <w:rPr>
                  <w:rFonts w:hint="default" w:ascii="Cambria Math" w:hAnsi="Cambria Math" w:cs="Cambria Math"/>
                  <w:sz w:val="24"/>
                </w:rPr>
              </m:ctrlPr>
            </m:fPr>
            <m:num>
              <m:r>
                <m:rPr/>
                <w:rPr>
                  <w:rFonts w:hint="default" w:ascii="Cambria Math" w:hAnsi="Cambria Math" w:cs="Cambria Math"/>
                  <w:sz w:val="24"/>
                </w:rPr>
                <m:t>1</m:t>
              </m:r>
              <m:ctrlPr>
                <w:rPr>
                  <w:rFonts w:hint="default" w:ascii="Cambria Math" w:hAnsi="Cambria Math" w:cs="Cambria Math"/>
                  <w:sz w:val="24"/>
                </w:rPr>
              </m:ctrlPr>
            </m:num>
            <m:den>
              <m:r>
                <m:rPr/>
                <w:rPr>
                  <w:rFonts w:hint="default" w:ascii="Cambria Math" w:hAnsi="Cambria Math" w:cs="Cambria Math"/>
                  <w:sz w:val="24"/>
                </w:rPr>
                <m:t>2</m:t>
              </m:r>
              <m:ctrlPr>
                <w:rPr>
                  <w:rFonts w:hint="default" w:ascii="Cambria Math" w:hAnsi="Cambria Math" w:cs="Cambria Math"/>
                  <w:sz w:val="24"/>
                </w:rPr>
              </m:ctrlPr>
            </m:den>
          </m:f>
          <m:nary>
            <m:naryPr>
              <m:chr m:val="∑"/>
              <m:limLoc m:val="undOvr"/>
              <m:ctrlPr>
                <w:rPr>
                  <w:rFonts w:hint="default" w:ascii="Cambria Math" w:hAnsi="Cambria Math" w:cs="Cambria Math"/>
                  <w:sz w:val="24"/>
                </w:rPr>
              </m:ctrlPr>
            </m:naryPr>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N</m:t>
              </m:r>
              <m:ctrlPr>
                <w:rPr>
                  <w:rFonts w:hint="default" w:ascii="Cambria Math" w:hAnsi="Cambria Math" w:cs="Cambria Math"/>
                  <w:sz w:val="24"/>
                </w:rPr>
              </m:ctrlPr>
            </m:sup>
            <m:e>
              <m:d>
                <m:dPr>
                  <m:begChr m:val="|"/>
                  <m:sepChr m:val=""/>
                  <m:endChr m:val="|"/>
                  <m:ctrlPr>
                    <w:rPr>
                      <w:rFonts w:hint="default" w:ascii="Cambria Math" w:hAnsi="Cambria Math" w:cs="Cambria Math"/>
                      <w:sz w:val="24"/>
                    </w:rPr>
                  </m:ctrlPr>
                </m:dPr>
                <m:e>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f</m:t>
                      </m:r>
                      <m:r>
                        <m:rPr>
                          <m:sty m:val="p"/>
                        </m:rPr>
                        <w:rPr>
                          <w:rFonts w:hint="default" w:ascii="Cambria Math" w:hAnsi="Cambria Math" w:cs="Cambria Math"/>
                          <w:sz w:val="24"/>
                        </w:rPr>
                        <m:t>,</m:t>
                      </m:r>
                      <m:r>
                        <m:rPr/>
                        <w:rPr>
                          <w:rFonts w:hint="default" w:ascii="Cambria Math" w:hAnsi="Cambria Math" w:cs="Cambria Math"/>
                          <w:sz w:val="24"/>
                        </w:rPr>
                        <m:t>i</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b</m:t>
                      </m:r>
                      <m:r>
                        <m:rPr>
                          <m:sty m:val="p"/>
                        </m:rPr>
                        <w:rPr>
                          <w:rFonts w:hint="default" w:ascii="Cambria Math" w:hAnsi="Cambria Math" w:cs="Cambria Math"/>
                          <w:sz w:val="24"/>
                        </w:rPr>
                        <m:t>,</m:t>
                      </m:r>
                      <m:r>
                        <m:rPr/>
                        <w:rPr>
                          <w:rFonts w:hint="default" w:ascii="Cambria Math" w:hAnsi="Cambria Math" w:cs="Cambria Math"/>
                          <w:sz w:val="24"/>
                        </w:rPr>
                        <m:t>i</m:t>
                      </m:r>
                      <m:ctrlPr>
                        <w:rPr>
                          <w:rFonts w:hint="default" w:ascii="Cambria Math" w:hAnsi="Cambria Math" w:cs="Cambria Math"/>
                          <w:sz w:val="24"/>
                        </w:rPr>
                      </m:ctrlPr>
                    </m:sub>
                  </m:sSub>
                  <m:ctrlPr>
                    <w:rPr>
                      <w:rFonts w:hint="default" w:ascii="Cambria Math" w:hAnsi="Cambria Math" w:cs="Cambria Math"/>
                      <w:sz w:val="24"/>
                    </w:rPr>
                  </m:ctrlPr>
                </m:e>
              </m:d>
              <m:ctrlPr>
                <w:rPr>
                  <w:rFonts w:hint="default" w:ascii="Cambria Math" w:hAnsi="Cambria Math" w:cs="Cambria Math"/>
                  <w:sz w:val="24"/>
                </w:rPr>
              </m:ctrlPr>
            </m:e>
          </m:nary>
        </m:oMath>
      </m:oMathPara>
    </w:p>
    <w:p w14:paraId="49331160">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f</m:t>
            </m:r>
            <m:r>
              <m:rPr>
                <m:sty m:val="p"/>
              </m:rPr>
              <w:rPr>
                <w:rFonts w:hint="default" w:ascii="Cambria Math" w:hAnsi="Cambria Math" w:cs="Cambria Math"/>
                <w:sz w:val="24"/>
              </w:rPr>
              <m:t>,</m:t>
            </m:r>
            <m:r>
              <m:rPr/>
              <w:rPr>
                <w:rFonts w:hint="default" w:ascii="Cambria Math" w:hAnsi="Cambria Math" w:cs="Cambria Math"/>
                <w:sz w:val="24"/>
              </w:rPr>
              <m:t>i</m:t>
            </m:r>
            <m:ctrlPr>
              <w:rPr>
                <w:rFonts w:hint="default" w:ascii="Cambria Math" w:hAnsi="Cambria Math" w:cs="Cambria Math"/>
                <w:sz w:val="24"/>
              </w:rPr>
            </m:ctrlPr>
          </m:sub>
        </m:sSub>
      </m:oMath>
      <w:r>
        <w:t xml:space="preserve"> </w:t>
      </w:r>
      <w:r>
        <w:rPr>
          <w:rFonts w:ascii="宋体" w:hAnsi="宋体" w:eastAsia="宋体" w:cs="宋体"/>
        </w:rPr>
        <w:t>为基金在第</w:t>
      </w:r>
      <w:r>
        <w:t xml:space="preserve"> </w:t>
      </w:r>
      <m:oMath>
        <m:r>
          <m:rPr/>
          <w:rPr>
            <w:rFonts w:hint="default" w:ascii="Cambria Math" w:hAnsi="Cambria Math" w:cs="Cambria Math"/>
            <w:sz w:val="24"/>
          </w:rPr>
          <m:t>i</m:t>
        </m:r>
      </m:oMath>
      <w:r>
        <w:t xml:space="preserve"> </w:t>
      </w:r>
      <w:r>
        <w:rPr>
          <w:rFonts w:ascii="宋体" w:hAnsi="宋体" w:eastAsia="宋体" w:cs="宋体"/>
        </w:rPr>
        <w:t>只股票上的权重，</w:t>
      </w:r>
      <m:oMath>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b</m:t>
            </m:r>
            <m:r>
              <m:rPr>
                <m:sty m:val="p"/>
              </m:rPr>
              <w:rPr>
                <w:rFonts w:hint="default" w:ascii="Cambria Math" w:hAnsi="Cambria Math" w:cs="Cambria Math"/>
                <w:sz w:val="24"/>
              </w:rPr>
              <m:t>,</m:t>
            </m:r>
            <m:r>
              <m:rPr/>
              <w:rPr>
                <w:rFonts w:hint="default" w:ascii="Cambria Math" w:hAnsi="Cambria Math" w:cs="Cambria Math"/>
                <w:sz w:val="24"/>
              </w:rPr>
              <m:t>i</m:t>
            </m:r>
            <m:ctrlPr>
              <w:rPr>
                <w:rFonts w:hint="default" w:ascii="Cambria Math" w:hAnsi="Cambria Math" w:cs="Cambria Math"/>
                <w:sz w:val="24"/>
              </w:rPr>
            </m:ctrlPr>
          </m:sub>
        </m:sSub>
      </m:oMath>
      <w:r>
        <w:t xml:space="preserve"> </w:t>
      </w:r>
      <w:r>
        <w:rPr>
          <w:rFonts w:ascii="宋体" w:hAnsi="宋体" w:eastAsia="宋体" w:cs="宋体"/>
        </w:rPr>
        <w:t>为基准指数在第</w:t>
      </w:r>
      <w:r>
        <w:t xml:space="preserve"> </w:t>
      </w:r>
      <m:oMath>
        <m:r>
          <m:rPr/>
          <w:rPr>
            <w:rFonts w:hint="default" w:ascii="Cambria Math" w:hAnsi="Cambria Math" w:cs="Cambria Math"/>
            <w:sz w:val="24"/>
          </w:rPr>
          <m:t>i</m:t>
        </m:r>
      </m:oMath>
      <w:r>
        <w:t xml:space="preserve"> </w:t>
      </w:r>
      <w:r>
        <w:rPr>
          <w:rFonts w:ascii="宋体" w:hAnsi="宋体" w:eastAsia="宋体" w:cs="宋体"/>
        </w:rPr>
        <w:t>只股票上的权重，</w:t>
      </w:r>
      <m:oMath>
        <m:r>
          <m:rPr/>
          <w:rPr>
            <w:rFonts w:hint="default" w:ascii="Cambria Math" w:hAnsi="Cambria Math" w:cs="Cambria Math"/>
            <w:sz w:val="24"/>
          </w:rPr>
          <m:t>N</m:t>
        </m:r>
      </m:oMath>
      <w:r>
        <w:t xml:space="preserve"> </w:t>
      </w:r>
      <w:r>
        <w:rPr>
          <w:rFonts w:ascii="宋体" w:hAnsi="宋体" w:eastAsia="宋体" w:cs="宋体"/>
        </w:rPr>
        <w:t>为并集股票数。指标取值介于0与1之间：取值为0表示完全复制基准，取值为1表示与基准完全不重叠。数据来源为基金持仓与沪深300、中证500成分股权重。与西方文献多以单一指数为基准不同，本文采用沪深300与中证500合并的真实成分股权重作为基准，以贴近中国主动偏股基金实际使用的复合基准，避免对主动程度的系统性低估。其经济含义在于：主动份额高的基金真正进行了偏离基准的主动选择，是区分真选股能力与规模化复制指数的工具。</w:t>
      </w:r>
    </w:p>
    <w:p w14:paraId="5AA2A9FA">
      <w:pPr>
        <w:pStyle w:val="3"/>
        <w:spacing w:before="0" w:after="0" w:line="360" w:lineRule="auto"/>
        <w:ind w:firstLine="482" w:firstLineChars="200"/>
        <w:jc w:val="both"/>
      </w:pPr>
      <w:r>
        <w:rPr>
          <w:rFonts w:ascii="宋体" w:hAnsi="宋体" w:eastAsia="宋体" w:cs="宋体"/>
          <w:b/>
          <w:bCs/>
        </w:rPr>
        <w:t>行业集中度</w:t>
      </w:r>
      <w:r>
        <w:rPr>
          <w:rFonts w:ascii="宋体" w:hAnsi="宋体" w:eastAsia="宋体" w:cs="宋体"/>
        </w:rPr>
        <w:t>。该指标衡量基金行业配置偏离市场平均水平的程度。计算方法为：</w:t>
      </w:r>
    </w:p>
    <w:p w14:paraId="18B42F7C">
      <w:pPr>
        <w:pStyle w:val="3"/>
        <w:spacing w:before="120" w:after="120" w:line="240" w:lineRule="auto"/>
        <w:ind w:firstLine="0"/>
        <w:jc w:val="center"/>
      </w:pPr>
      <m:oMathPara>
        <m:oMathParaPr>
          <m:jc m:val="center"/>
        </m:oMathParaPr>
        <m:oMath>
          <m:r>
            <m:rPr/>
            <w:rPr>
              <w:rFonts w:hint="default" w:ascii="Cambria Math" w:hAnsi="Cambria Math" w:cs="Cambria Math"/>
              <w:sz w:val="24"/>
            </w:rPr>
            <m:t>ICI</m:t>
          </m:r>
          <m:r>
            <m:rPr>
              <m:sty m:val="p"/>
            </m:rPr>
            <w:rPr>
              <w:rFonts w:hint="default" w:ascii="Cambria Math" w:hAnsi="Cambria Math" w:cs="Cambria Math"/>
              <w:sz w:val="24"/>
            </w:rPr>
            <m:t>=</m:t>
          </m:r>
          <m:nary>
            <m:naryPr>
              <m:chr m:val="∑"/>
              <m:limLoc m:val="undOvr"/>
              <m:ctrlPr>
                <w:rPr>
                  <w:rFonts w:hint="default" w:ascii="Cambria Math" w:hAnsi="Cambria Math" w:cs="Cambria Math"/>
                  <w:sz w:val="24"/>
                </w:rPr>
              </m:ctrlPr>
            </m:naryPr>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K</m:t>
              </m:r>
              <m:ctrlPr>
                <w:rPr>
                  <w:rFonts w:hint="default" w:ascii="Cambria Math" w:hAnsi="Cambria Math" w:cs="Cambria Math"/>
                  <w:sz w:val="24"/>
                </w:rPr>
              </m:ctrlPr>
            </m:sup>
            <m:e>
              <m:r>
                <m:rPr>
                  <m:sty m:val="p"/>
                </m:rPr>
                <w:rPr>
                  <w:rFonts w:hint="default" w:ascii="Cambria Math" w:hAnsi="Cambria Math" w:cs="Cambria Math"/>
                  <w:sz w:val="24"/>
                </w:rPr>
                <m:t>(</m:t>
              </m:r>
              <m:ctrlPr>
                <w:rPr>
                  <w:rFonts w:hint="default" w:ascii="Cambria Math" w:hAnsi="Cambria Math" w:cs="Cambria Math"/>
                  <w:sz w:val="24"/>
                </w:rPr>
              </m:ctrlPr>
            </m:e>
          </m:nary>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acc>
                <m:accPr>
                  <m:chr m:val="‾"/>
                  <m:ctrlPr>
                    <w:rPr>
                      <w:rFonts w:hint="default" w:ascii="Cambria Math" w:hAnsi="Cambria Math" w:cs="Cambria Math"/>
                      <w:sz w:val="24"/>
                    </w:rPr>
                  </m:ctrlPr>
                </m:accPr>
                <m:e>
                  <m:r>
                    <m:rPr/>
                    <w:rPr>
                      <w:rFonts w:hint="default" w:ascii="Cambria Math" w:hAnsi="Cambria Math" w:cs="Cambria Math"/>
                      <w:sz w:val="24"/>
                    </w:rPr>
                    <m:t>W</m:t>
                  </m:r>
                  <m:ctrlPr>
                    <w:rPr>
                      <w:rFonts w:hint="default" w:ascii="Cambria Math" w:hAnsi="Cambria Math" w:cs="Cambria Math"/>
                      <w:sz w:val="24"/>
                    </w:rPr>
                  </m:ctrlPr>
                </m:e>
              </m:acc>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Sub>
          <m:sSup>
            <m:sSupPr>
              <m:ctrlPr>
                <w:rPr>
                  <w:rFonts w:hint="default" w:ascii="Cambria Math" w:hAnsi="Cambria Math" w:cs="Cambria Math"/>
                  <w:sz w:val="24"/>
                </w:rPr>
              </m:ctrlPr>
            </m:sSupPr>
            <m:e>
              <m:r>
                <m:rPr>
                  <m:sty m:val="p"/>
                </m:rPr>
                <w:rPr>
                  <w:rFonts w:hint="default" w:ascii="Cambria Math" w:hAnsi="Cambria Math" w:cs="Cambria Math"/>
                  <w:sz w:val="24"/>
                </w:rPr>
                <m:t>)</m:t>
              </m:r>
              <m:ctrlPr>
                <w:rPr>
                  <w:rFonts w:hint="default" w:ascii="Cambria Math" w:hAnsi="Cambria Math" w:cs="Cambria Math"/>
                  <w:sz w:val="24"/>
                </w:rPr>
              </m:ctrlPr>
            </m:e>
            <m:sup>
              <m:r>
                <m:rPr/>
                <w:rPr>
                  <w:rFonts w:hint="default" w:ascii="Cambria Math" w:hAnsi="Cambria Math" w:cs="Cambria Math"/>
                  <w:sz w:val="24"/>
                </w:rPr>
                <m:t>2</m:t>
              </m:r>
              <m:ctrlPr>
                <w:rPr>
                  <w:rFonts w:hint="default" w:ascii="Cambria Math" w:hAnsi="Cambria Math" w:cs="Cambria Math"/>
                  <w:sz w:val="24"/>
                </w:rPr>
              </m:ctrlPr>
            </m:sup>
          </m:sSup>
        </m:oMath>
      </m:oMathPara>
    </w:p>
    <w:p w14:paraId="6B93EBB6">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Sub>
      </m:oMath>
      <w:r>
        <w:t xml:space="preserve"> </w:t>
      </w:r>
      <w:r>
        <w:rPr>
          <w:rFonts w:ascii="宋体" w:hAnsi="宋体" w:eastAsia="宋体" w:cs="宋体"/>
        </w:rPr>
        <w:t>为基金在行业</w:t>
      </w:r>
      <w:r>
        <w:t xml:space="preserve"> </w:t>
      </w:r>
      <m:oMath>
        <m:r>
          <m:rPr/>
          <w:rPr>
            <w:rFonts w:hint="default" w:ascii="Cambria Math" w:hAnsi="Cambria Math" w:cs="Cambria Math"/>
            <w:sz w:val="24"/>
          </w:rPr>
          <m:t>i</m:t>
        </m:r>
      </m:oMath>
      <w:r>
        <w:t xml:space="preserve"> </w:t>
      </w:r>
      <w:r>
        <w:rPr>
          <w:rFonts w:ascii="宋体" w:hAnsi="宋体" w:eastAsia="宋体" w:cs="宋体"/>
        </w:rPr>
        <w:t>的权重，</w:t>
      </w:r>
      <m:oMath>
        <m:sSub>
          <m:sSubPr>
            <m:ctrlPr>
              <w:rPr>
                <w:rFonts w:hint="default" w:ascii="Cambria Math" w:hAnsi="Cambria Math" w:cs="Cambria Math"/>
                <w:sz w:val="24"/>
              </w:rPr>
            </m:ctrlPr>
          </m:sSubPr>
          <m:e>
            <m:acc>
              <m:accPr>
                <m:chr m:val="‾"/>
                <m:ctrlPr>
                  <w:rPr>
                    <w:rFonts w:hint="default" w:ascii="Cambria Math" w:hAnsi="Cambria Math" w:cs="Cambria Math"/>
                    <w:sz w:val="24"/>
                  </w:rPr>
                </m:ctrlPr>
              </m:accPr>
              <m:e>
                <m:r>
                  <m:rPr/>
                  <w:rPr>
                    <w:rFonts w:hint="default" w:ascii="Cambria Math" w:hAnsi="Cambria Math" w:cs="Cambria Math"/>
                    <w:sz w:val="24"/>
                  </w:rPr>
                  <m:t>W</m:t>
                </m:r>
                <m:ctrlPr>
                  <w:rPr>
                    <w:rFonts w:hint="default" w:ascii="Cambria Math" w:hAnsi="Cambria Math" w:cs="Cambria Math"/>
                    <w:sz w:val="24"/>
                  </w:rPr>
                </m:ctrlPr>
              </m:e>
            </m:acc>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Sub>
      </m:oMath>
      <w:r>
        <w:t xml:space="preserve"> </w:t>
      </w:r>
      <w:r>
        <w:rPr>
          <w:rFonts w:ascii="宋体" w:hAnsi="宋体" w:eastAsia="宋体" w:cs="宋体"/>
        </w:rPr>
        <w:t>为市场平均的行业权重，</w:t>
      </w:r>
      <m:oMath>
        <m:r>
          <m:rPr/>
          <w:rPr>
            <w:rFonts w:hint="default" w:ascii="Cambria Math" w:hAnsi="Cambria Math" w:cs="Cambria Math"/>
            <w:sz w:val="24"/>
          </w:rPr>
          <m:t>K</m:t>
        </m:r>
      </m:oMath>
      <w:r>
        <w:t xml:space="preserve"> </w:t>
      </w:r>
      <w:r>
        <w:rPr>
          <w:rFonts w:ascii="宋体" w:hAnsi="宋体" w:eastAsia="宋体" w:cs="宋体"/>
        </w:rPr>
        <w:t>为行业数。指标取值越大，基金行业配置越偏离市场共识。数据来源为基金持仓的行业权重分布。其经济含义在于：行业集中度度量经理的行业判断主动性，集中配置可能带来超额收益，同时也放大了特质风险。</w:t>
      </w:r>
    </w:p>
    <w:p w14:paraId="35906E9A">
      <w:pPr>
        <w:pStyle w:val="3"/>
        <w:spacing w:before="0" w:after="0" w:line="360" w:lineRule="auto"/>
        <w:ind w:firstLine="482" w:firstLineChars="200"/>
        <w:jc w:val="both"/>
      </w:pPr>
      <w:r>
        <w:rPr>
          <w:rFonts w:ascii="宋体" w:hAnsi="宋体" w:eastAsia="宋体" w:cs="宋体"/>
          <w:b/>
          <w:bCs/>
        </w:rPr>
        <w:t>行业分散度</w:t>
      </w:r>
      <w:r>
        <w:rPr>
          <w:rFonts w:ascii="宋体" w:hAnsi="宋体" w:eastAsia="宋体" w:cs="宋体"/>
        </w:rPr>
        <w:t>。该指标衡量组合本身的绝对集中程度。计算方法为：</w:t>
      </w:r>
    </w:p>
    <w:p w14:paraId="4692A9DB">
      <w:pPr>
        <w:pStyle w:val="3"/>
        <w:spacing w:before="120" w:after="120" w:line="240" w:lineRule="auto"/>
        <w:ind w:firstLine="0"/>
        <w:jc w:val="center"/>
      </w:pPr>
      <m:oMathPara>
        <m:oMathParaPr>
          <m:jc m:val="center"/>
        </m:oMathParaPr>
        <m:oMath>
          <m:r>
            <m:rPr/>
            <w:rPr>
              <w:rFonts w:hint="default" w:ascii="Cambria Math" w:hAnsi="Cambria Math" w:cs="Cambria Math"/>
              <w:sz w:val="24"/>
            </w:rPr>
            <m:t>HHI</m:t>
          </m:r>
          <m:r>
            <m:rPr>
              <m:sty m:val="p"/>
            </m:rPr>
            <w:rPr>
              <w:rFonts w:hint="default" w:ascii="Cambria Math" w:hAnsi="Cambria Math" w:cs="Cambria Math"/>
              <w:sz w:val="24"/>
            </w:rPr>
            <m:t>=</m:t>
          </m:r>
          <m:nary>
            <m:naryPr>
              <m:chr m:val="∑"/>
              <m:limLoc m:val="undOvr"/>
              <m:ctrlPr>
                <w:rPr>
                  <w:rFonts w:hint="default" w:ascii="Cambria Math" w:hAnsi="Cambria Math" w:cs="Cambria Math"/>
                  <w:sz w:val="24"/>
                </w:rPr>
              </m:ctrlPr>
            </m:naryPr>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K</m:t>
              </m:r>
              <m:ctrlPr>
                <w:rPr>
                  <w:rFonts w:hint="default" w:ascii="Cambria Math" w:hAnsi="Cambria Math" w:cs="Cambria Math"/>
                  <w:sz w:val="24"/>
                </w:rPr>
              </m:ctrlPr>
            </m:sup>
            <m:e>
              <m:sSubSup>
                <m:sSubSupPr>
                  <m:ctrlPr>
                    <w:rPr>
                      <w:rFonts w:hint="default" w:ascii="Cambria Math" w:hAnsi="Cambria Math" w:cs="Cambria Math"/>
                      <w:sz w:val="24"/>
                    </w:rPr>
                  </m:ctrlPr>
                </m:sSubSup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up>
                  <m:r>
                    <m:rPr/>
                    <w:rPr>
                      <w:rFonts w:hint="default" w:ascii="Cambria Math" w:hAnsi="Cambria Math" w:cs="Cambria Math"/>
                      <w:sz w:val="24"/>
                    </w:rPr>
                    <m:t>2</m:t>
                  </m:r>
                  <m:ctrlPr>
                    <w:rPr>
                      <w:rFonts w:hint="default" w:ascii="Cambria Math" w:hAnsi="Cambria Math" w:cs="Cambria Math"/>
                      <w:sz w:val="24"/>
                    </w:rPr>
                  </m:ctrlPr>
                </m:sup>
              </m:sSubSup>
              <m:ctrlPr>
                <w:rPr>
                  <w:rFonts w:hint="default" w:ascii="Cambria Math" w:hAnsi="Cambria Math" w:cs="Cambria Math"/>
                  <w:sz w:val="24"/>
                </w:rPr>
              </m:ctrlPr>
            </m:e>
          </m:nary>
        </m:oMath>
      </m:oMathPara>
    </w:p>
    <w:p w14:paraId="77ACC5B5">
      <w:pPr>
        <w:pStyle w:val="26"/>
        <w:spacing w:before="0" w:after="0" w:line="360" w:lineRule="auto"/>
        <w:ind w:firstLine="480" w:firstLineChars="200"/>
        <w:jc w:val="both"/>
      </w:pPr>
      <w:r>
        <w:rPr>
          <w:rFonts w:ascii="宋体" w:hAnsi="宋体" w:eastAsia="宋体" w:cs="宋体"/>
        </w:rPr>
        <w:t>式中符号含义同上。取值介于</w:t>
      </w:r>
      <w:r>
        <w:t xml:space="preserve"> </w:t>
      </w:r>
      <m:oMath>
        <m:r>
          <m:rPr/>
          <w:rPr>
            <w:rFonts w:hint="default" w:ascii="Cambria Math" w:hAnsi="Cambria Math" w:cs="Cambria Math"/>
            <w:sz w:val="24"/>
          </w:rPr>
          <m:t>1</m:t>
        </m:r>
        <m:r>
          <m:rPr>
            <m:sty m:val="p"/>
          </m:rPr>
          <w:rPr>
            <w:rFonts w:hint="default" w:ascii="Cambria Math" w:hAnsi="Cambria Math" w:cs="Cambria Math"/>
            <w:sz w:val="24"/>
          </w:rPr>
          <m:t>/</m:t>
        </m:r>
        <m:r>
          <m:rPr/>
          <w:rPr>
            <w:rFonts w:hint="default" w:ascii="Cambria Math" w:hAnsi="Cambria Math" w:cs="Cambria Math"/>
            <w:sz w:val="24"/>
          </w:rPr>
          <m:t>K</m:t>
        </m:r>
      </m:oMath>
      <w:r>
        <w:t xml:space="preserve"> </w:t>
      </w:r>
      <w:r>
        <w:rPr>
          <w:rFonts w:ascii="宋体" w:hAnsi="宋体" w:eastAsia="宋体" w:cs="宋体"/>
        </w:rPr>
        <w:t>与1之间，取值越大组合越集中。需要强调的是，行业集中度度量的是相对市场平均的偏离（选择主动性），行业分散度度量的是组合的绝对集中程度（分散化水平），二者在数学上由交叉项联结而并非简单反向关系，实证上高度共线（面板相关系数为0.70）。完整模型的结果表明，携带预测信息的是”相对偏离”维度而非”绝对集中”维度，这一区分是本文对行业配置变量的细化贡献。</w:t>
      </w:r>
    </w:p>
    <w:bookmarkEnd w:id="11"/>
    <w:p w14:paraId="310634A5">
      <w:pPr>
        <w:pStyle w:val="5"/>
        <w:spacing w:before="120" w:after="120" w:line="240" w:lineRule="auto"/>
        <w:ind w:firstLine="0"/>
        <w:jc w:val="left"/>
        <w:rPr>
          <w:rFonts w:ascii="Times New Roman" w:eastAsia="黑体"/>
          <w:b/>
          <w:color w:val="000000"/>
          <w:sz w:val="24"/>
        </w:rPr>
      </w:pPr>
      <w:bookmarkStart w:id="12" w:name="执行风控层l4"/>
      <w:r>
        <w:rPr>
          <w:rFonts w:ascii="Times New Roman" w:eastAsia="黑体"/>
          <w:b/>
          <w:color w:val="000000"/>
          <w:sz w:val="24"/>
        </w:rPr>
        <w:t xml:space="preserve">3.2.4 </w:t>
      </w:r>
      <w:r>
        <w:rPr>
          <w:rFonts w:ascii="Times New Roman" w:hAnsi="宋体" w:eastAsia="黑体" w:cs="宋体"/>
          <w:b/>
          <w:color w:val="000000"/>
          <w:sz w:val="24"/>
        </w:rPr>
        <w:t>执行风控层（L4）</w:t>
      </w:r>
    </w:p>
    <w:p w14:paraId="395B13AA">
      <w:pPr>
        <w:pStyle w:val="26"/>
        <w:spacing w:before="0" w:after="0" w:line="360" w:lineRule="auto"/>
        <w:ind w:firstLine="480" w:firstLineChars="200"/>
        <w:jc w:val="both"/>
      </w:pPr>
      <w:r>
        <w:rPr>
          <w:rFonts w:ascii="宋体" w:hAnsi="宋体" w:eastAsia="宋体" w:cs="宋体"/>
        </w:rPr>
        <w:t>执行风控层合并刻画决策落地的两个侧面：交易执行的痕迹与组合运作的结果。五个指标——风格漂移指数、换手率、过度交易指数、主动收益缺口波动与收益波动率——均以组合运作的动态过程为度量对象，共同回答”决策如何落地、付出了什么代价”。在嵌套回归设计中，本层五个变量作为同一模块进入模型，概念分层与计量分层由此完全对齐。</w:t>
      </w:r>
    </w:p>
    <w:p w14:paraId="13082AC3">
      <w:pPr>
        <w:pStyle w:val="3"/>
        <w:spacing w:before="0" w:after="0" w:line="360" w:lineRule="auto"/>
        <w:ind w:firstLine="482" w:firstLineChars="200"/>
        <w:jc w:val="both"/>
      </w:pPr>
      <w:r>
        <w:rPr>
          <w:rFonts w:ascii="宋体" w:hAnsi="宋体" w:eastAsia="宋体" w:cs="宋体"/>
          <w:b/>
          <w:bCs/>
        </w:rPr>
        <w:t>风格漂移指数</w:t>
      </w:r>
      <w:r>
        <w:rPr>
          <w:rFonts w:ascii="宋体" w:hAnsi="宋体" w:eastAsia="宋体" w:cs="宋体"/>
        </w:rPr>
        <w:t>。该指标衡量基金投资风格随时间变动的幅度。计算方法为：</w:t>
      </w:r>
    </w:p>
    <w:p w14:paraId="17B2420C">
      <w:pPr>
        <w:pStyle w:val="3"/>
        <w:spacing w:before="120" w:after="120" w:line="240" w:lineRule="auto"/>
        <w:ind w:firstLine="0"/>
        <w:jc w:val="center"/>
      </w:pPr>
      <m:oMathPara>
        <m:oMathParaPr>
          <m:jc m:val="center"/>
        </m:oMathParaPr>
        <m:oMath>
          <m:r>
            <m:rPr/>
            <w:rPr>
              <w:rFonts w:hint="default" w:ascii="Cambria Math" w:hAnsi="Cambria Math" w:cs="Cambria Math"/>
              <w:sz w:val="24"/>
            </w:rPr>
            <m:t>SDI</m:t>
          </m:r>
          <m:r>
            <m:rPr>
              <m:sty m:val="p"/>
            </m:rPr>
            <w:rPr>
              <w:rFonts w:hint="default" w:ascii="Cambria Math" w:hAnsi="Cambria Math" w:cs="Cambria Math"/>
              <w:sz w:val="24"/>
            </w:rPr>
            <m:t>=</m:t>
          </m:r>
          <m:nary>
            <m:naryPr>
              <m:chr m:val="∑"/>
              <m:limLoc m:val="undOvr"/>
              <m:ctrlPr>
                <w:rPr>
                  <w:rFonts w:hint="default" w:ascii="Cambria Math" w:hAnsi="Cambria Math" w:cs="Cambria Math"/>
                  <w:sz w:val="24"/>
                </w:rPr>
              </m:ctrlPr>
            </m:naryPr>
            <m:sub>
              <m:r>
                <m:rPr/>
                <w:rPr>
                  <w:rFonts w:hint="default" w:ascii="Cambria Math" w:hAnsi="Cambria Math" w:cs="Cambria Math"/>
                  <w:sz w:val="24"/>
                </w:rPr>
                <m:t>k</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M</m:t>
              </m:r>
              <m:ctrlPr>
                <w:rPr>
                  <w:rFonts w:hint="default" w:ascii="Cambria Math" w:hAnsi="Cambria Math" w:cs="Cambria Math"/>
                  <w:sz w:val="24"/>
                </w:rPr>
              </m:ctrlPr>
            </m:sup>
            <m:e>
              <m:d>
                <m:dPr>
                  <m:begChr m:val="|"/>
                  <m:sepChr m:val=""/>
                  <m:endChr m:val="|"/>
                  <m:ctrlPr>
                    <w:rPr>
                      <w:rFonts w:hint="default" w:ascii="Cambria Math" w:hAnsi="Cambria Math" w:cs="Cambria Math"/>
                      <w:sz w:val="24"/>
                    </w:rPr>
                  </m:ctrlPr>
                </m:dPr>
                <m:e>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k</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k</m:t>
                      </m:r>
                      <m:r>
                        <m:rPr>
                          <m:sty m:val="p"/>
                        </m:rPr>
                        <w:rPr>
                          <w:rFonts w:hint="default" w:ascii="Cambria Math" w:hAnsi="Cambria Math" w:cs="Cambria Math"/>
                          <w:sz w:val="24"/>
                        </w:rPr>
                        <m:t>,</m:t>
                      </m:r>
                      <m:r>
                        <m:rPr/>
                        <w:rPr>
                          <w:rFonts w:hint="default" w:ascii="Cambria Math" w:hAnsi="Cambria Math" w:cs="Cambria Math"/>
                          <w:sz w:val="24"/>
                        </w:rPr>
                        <m:t>t</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Sub>
                  <m:ctrlPr>
                    <w:rPr>
                      <w:rFonts w:hint="default" w:ascii="Cambria Math" w:hAnsi="Cambria Math" w:cs="Cambria Math"/>
                      <w:sz w:val="24"/>
                    </w:rPr>
                  </m:ctrlPr>
                </m:e>
              </m:d>
              <m:ctrlPr>
                <w:rPr>
                  <w:rFonts w:hint="default" w:ascii="Cambria Math" w:hAnsi="Cambria Math" w:cs="Cambria Math"/>
                  <w:sz w:val="24"/>
                </w:rPr>
              </m:ctrlPr>
            </m:e>
          </m:nary>
        </m:oMath>
      </m:oMathPara>
    </w:p>
    <w:p w14:paraId="6E6A1293">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k</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为基金在第</w:t>
      </w:r>
      <w:r>
        <w:t xml:space="preserve"> </w:t>
      </w:r>
      <m:oMath>
        <m:r>
          <m:rPr/>
          <w:rPr>
            <w:rFonts w:hint="default" w:ascii="Cambria Math" w:hAnsi="Cambria Math" w:cs="Cambria Math"/>
            <w:sz w:val="24"/>
          </w:rPr>
          <m:t>t</m:t>
        </m:r>
      </m:oMath>
      <w:r>
        <w:t xml:space="preserve"> </w:t>
      </w:r>
      <w:r>
        <w:rPr>
          <w:rFonts w:ascii="宋体" w:hAnsi="宋体" w:eastAsia="宋体" w:cs="宋体"/>
        </w:rPr>
        <w:t>期风格类别</w:t>
      </w:r>
      <w:r>
        <w:t xml:space="preserve"> </w:t>
      </w:r>
      <m:oMath>
        <m:r>
          <m:rPr/>
          <w:rPr>
            <w:rFonts w:hint="default" w:ascii="Cambria Math" w:hAnsi="Cambria Math" w:cs="Cambria Math"/>
            <w:sz w:val="24"/>
          </w:rPr>
          <m:t>k</m:t>
        </m:r>
      </m:oMath>
      <w:r>
        <w:t xml:space="preserve"> </w:t>
      </w:r>
      <w:r>
        <w:rPr>
          <w:rFonts w:ascii="宋体" w:hAnsi="宋体" w:eastAsia="宋体" w:cs="宋体"/>
        </w:rPr>
        <w:t>上的权重，风格类别按规模与价值成长两个维度划分，</w:t>
      </w:r>
      <m:oMath>
        <m:r>
          <m:rPr/>
          <w:rPr>
            <w:rFonts w:hint="default" w:ascii="Cambria Math" w:hAnsi="Cambria Math" w:cs="Cambria Math"/>
            <w:sz w:val="24"/>
          </w:rPr>
          <m:t>M</m:t>
        </m:r>
      </m:oMath>
      <w:r>
        <w:t xml:space="preserve"> </w:t>
      </w:r>
      <w:r>
        <w:rPr>
          <w:rFonts w:ascii="宋体" w:hAnsi="宋体" w:eastAsia="宋体" w:cs="宋体"/>
        </w:rPr>
        <w:t>为风格类别数。指标越大，相邻两期风格漂移越严重。数据来源为基金持仓的风格资产分类。其经济含义在于：频繁的风格切换增加交易成本，且难以在各风格上保持选股优势，反映策略稳定性不足。</w:t>
      </w:r>
    </w:p>
    <w:p w14:paraId="2FCC8450">
      <w:pPr>
        <w:pStyle w:val="3"/>
        <w:spacing w:before="0" w:after="0" w:line="360" w:lineRule="auto"/>
        <w:ind w:firstLine="482" w:firstLineChars="200"/>
        <w:jc w:val="both"/>
      </w:pPr>
      <w:r>
        <w:rPr>
          <w:rFonts w:ascii="宋体" w:hAnsi="宋体" w:eastAsia="宋体" w:cs="宋体"/>
          <w:b/>
          <w:bCs/>
        </w:rPr>
        <w:t>换手率</w:t>
      </w:r>
      <w:r>
        <w:rPr>
          <w:rFonts w:ascii="宋体" w:hAnsi="宋体" w:eastAsia="宋体" w:cs="宋体"/>
        </w:rPr>
        <w:t>。该指标衡量基金交易的频繁程度。计算方法采用双边换手率口径，以买入与卖出总额之和的一半除以平均净资产：</w:t>
      </w:r>
    </w:p>
    <w:p w14:paraId="5C7B3C51">
      <w:pPr>
        <w:pStyle w:val="3"/>
        <w:spacing w:before="120" w:after="120" w:line="240" w:lineRule="auto"/>
        <w:ind w:firstLine="0"/>
        <w:jc w:val="center"/>
      </w:pPr>
      <m:oMathPara>
        <m:oMathParaPr>
          <m:jc m:val="center"/>
        </m:oMathParaPr>
        <m:oMath>
          <m:r>
            <m:rPr/>
            <w:rPr>
              <w:rFonts w:hint="default" w:ascii="Cambria Math" w:hAnsi="Cambria Math" w:cs="Cambria Math"/>
              <w:sz w:val="24"/>
            </w:rPr>
            <m:t>TO</m:t>
          </m:r>
          <m:r>
            <m:rPr>
              <m:sty m:val="p"/>
            </m:rPr>
            <w:rPr>
              <w:rFonts w:hint="default" w:ascii="Cambria Math" w:hAnsi="Cambria Math" w:cs="Cambria Math"/>
              <w:sz w:val="24"/>
            </w:rPr>
            <m:t>=</m:t>
          </m:r>
          <m:f>
            <m:fPr>
              <m:ctrlPr>
                <w:rPr>
                  <w:rFonts w:hint="default" w:ascii="Cambria Math" w:hAnsi="Cambria Math" w:cs="Cambria Math"/>
                  <w:sz w:val="24"/>
                </w:rPr>
              </m:ctrlPr>
            </m:fPr>
            <m:num>
              <m:r>
                <m:rPr/>
                <w:rPr>
                  <w:rFonts w:hint="default" w:ascii="Cambria Math" w:hAnsi="Cambria Math" w:cs="Cambria Math"/>
                  <w:sz w:val="24"/>
                </w:rPr>
                <m:t>B</m:t>
              </m:r>
              <m:r>
                <m:rPr>
                  <m:sty m:val="p"/>
                </m:rPr>
                <w:rPr>
                  <w:rFonts w:hint="default" w:ascii="Cambria Math" w:hAnsi="Cambria Math" w:cs="Cambria Math"/>
                  <w:sz w:val="24"/>
                </w:rPr>
                <m:t>+</m:t>
              </m:r>
              <m:r>
                <m:rPr/>
                <w:rPr>
                  <w:rFonts w:hint="default" w:ascii="Cambria Math" w:hAnsi="Cambria Math" w:cs="Cambria Math"/>
                  <w:sz w:val="24"/>
                </w:rPr>
                <m:t>S</m:t>
              </m:r>
              <m:ctrlPr>
                <w:rPr>
                  <w:rFonts w:hint="default" w:ascii="Cambria Math" w:hAnsi="Cambria Math" w:cs="Cambria Math"/>
                  <w:sz w:val="24"/>
                </w:rPr>
              </m:ctrlPr>
            </m:num>
            <m:den>
              <m:r>
                <m:rPr/>
                <w:rPr>
                  <w:rFonts w:hint="default" w:ascii="Cambria Math" w:hAnsi="Cambria Math" w:cs="Cambria Math"/>
                  <w:sz w:val="24"/>
                </w:rPr>
                <m:t>2A</m:t>
              </m:r>
              <m:ctrlPr>
                <w:rPr>
                  <w:rFonts w:hint="default" w:ascii="Cambria Math" w:hAnsi="Cambria Math" w:cs="Cambria Math"/>
                  <w:sz w:val="24"/>
                </w:rPr>
              </m:ctrlPr>
            </m:den>
          </m:f>
        </m:oMath>
      </m:oMathPara>
    </w:p>
    <w:p w14:paraId="14FAE13C">
      <w:pPr>
        <w:pStyle w:val="26"/>
        <w:spacing w:before="0" w:after="0" w:line="360" w:lineRule="auto"/>
        <w:ind w:firstLine="480" w:firstLineChars="200"/>
        <w:jc w:val="both"/>
      </w:pPr>
      <w:r>
        <w:rPr>
          <w:rFonts w:ascii="宋体" w:hAnsi="宋体" w:eastAsia="宋体" w:cs="宋体"/>
        </w:rPr>
        <w:t>式中，</w:t>
      </w:r>
      <m:oMath>
        <m:r>
          <m:rPr/>
          <w:rPr>
            <w:rFonts w:hint="default" w:ascii="Cambria Math" w:hAnsi="Cambria Math" w:cs="Cambria Math"/>
            <w:sz w:val="24"/>
          </w:rPr>
          <m:t>B</m:t>
        </m:r>
      </m:oMath>
      <w:r>
        <w:t xml:space="preserve"> </w:t>
      </w:r>
      <w:r>
        <w:rPr>
          <w:rFonts w:ascii="宋体" w:hAnsi="宋体" w:eastAsia="宋体" w:cs="宋体"/>
        </w:rPr>
        <w:t>为报告期买入总额，</w:t>
      </w:r>
      <m:oMath>
        <m:r>
          <m:rPr/>
          <w:rPr>
            <w:rFonts w:hint="default" w:ascii="Cambria Math" w:hAnsi="Cambria Math" w:cs="Cambria Math"/>
            <w:sz w:val="24"/>
          </w:rPr>
          <m:t>S</m:t>
        </m:r>
      </m:oMath>
      <w:r>
        <w:t xml:space="preserve"> </w:t>
      </w:r>
      <w:r>
        <w:rPr>
          <w:rFonts w:ascii="宋体" w:hAnsi="宋体" w:eastAsia="宋体" w:cs="宋体"/>
        </w:rPr>
        <w:t>为报告期卖出总额，</w:t>
      </w:r>
      <m:oMath>
        <m:r>
          <m:rPr/>
          <w:rPr>
            <w:rFonts w:hint="default" w:ascii="Cambria Math" w:hAnsi="Cambria Math" w:cs="Cambria Math"/>
            <w:sz w:val="24"/>
          </w:rPr>
          <m:t>A</m:t>
        </m:r>
      </m:oMath>
      <w:r>
        <w:t xml:space="preserve"> </w:t>
      </w:r>
      <w:r>
        <w:rPr>
          <w:rFonts w:ascii="宋体" w:hAnsi="宋体" w:eastAsia="宋体" w:cs="宋体"/>
        </w:rPr>
        <w:t>为基金平均净资产。买卖两侧同时计入再取半，是标准的双边换手率定义：仅计买入会遗漏卖出侧的主动调仓信息，而申赎资金进出对买卖两端的污染近似对称，双边平均可部分抵消这一噪声。主口径数据来自Wind交易数据，另以持仓快照估计的口径作稳健性对照。其经济含义在于：高换手率意味着更高的佣金、印花税与冲击成本，直接侵蚀业绩。</w:t>
      </w:r>
    </w:p>
    <w:p w14:paraId="1544453F">
      <w:pPr>
        <w:pStyle w:val="3"/>
        <w:spacing w:before="0" w:after="0" w:line="360" w:lineRule="auto"/>
        <w:ind w:firstLine="482" w:firstLineChars="200"/>
        <w:jc w:val="both"/>
      </w:pPr>
      <w:r>
        <w:rPr>
          <w:rFonts w:ascii="宋体" w:hAnsi="宋体" w:eastAsia="宋体" w:cs="宋体"/>
          <w:b/>
          <w:bCs/>
        </w:rPr>
        <w:t>过度交易指数</w:t>
      </w:r>
      <w:r>
        <w:rPr>
          <w:rFonts w:ascii="宋体" w:hAnsi="宋体" w:eastAsia="宋体" w:cs="宋体"/>
        </w:rPr>
        <w:t>。该指标衡量换手率相对自身历史水平的偏离。计算方法为：</w:t>
      </w:r>
    </w:p>
    <w:p w14:paraId="410BAF8F">
      <w:pPr>
        <w:pStyle w:val="3"/>
        <w:spacing w:before="120" w:after="120" w:line="240" w:lineRule="auto"/>
        <w:ind w:firstLine="0"/>
        <w:jc w:val="center"/>
      </w:pPr>
      <m:oMathPara>
        <m:oMathParaPr>
          <m:jc m:val="center"/>
        </m:oMathParaPr>
        <m:oMath>
          <m:r>
            <m:rPr/>
            <w:rPr>
              <w:rFonts w:hint="default" w:ascii="Cambria Math" w:hAnsi="Cambria Math" w:cs="Cambria Math"/>
              <w:sz w:val="24"/>
            </w:rPr>
            <m:t>OCI</m:t>
          </m:r>
          <m:r>
            <m:rPr>
              <m:sty m:val="p"/>
            </m:rPr>
            <w:rPr>
              <w:rFonts w:hint="default" w:ascii="Cambria Math" w:hAnsi="Cambria Math" w:cs="Cambria Math"/>
              <w:sz w:val="24"/>
            </w:rPr>
            <m:t>=</m:t>
          </m:r>
          <m:f>
            <m:fPr>
              <m:ctrlPr>
                <w:rPr>
                  <w:rFonts w:hint="default" w:ascii="Cambria Math" w:hAnsi="Cambria Math" w:cs="Cambria Math"/>
                  <w:sz w:val="24"/>
                </w:rPr>
              </m:ctrlPr>
            </m:fPr>
            <m:num>
              <m:r>
                <m:rPr/>
                <w:rPr>
                  <w:rFonts w:hint="default" w:ascii="Cambria Math" w:hAnsi="Cambria Math" w:cs="Cambria Math"/>
                  <w:sz w:val="24"/>
                </w:rPr>
                <m:t>TO</m:t>
              </m:r>
              <m:r>
                <m:rPr>
                  <m:sty m:val="p"/>
                </m:rPr>
                <w:rPr>
                  <w:rFonts w:hint="default" w:ascii="Cambria Math" w:hAnsi="Cambria Math" w:cs="Cambria Math"/>
                  <w:sz w:val="24"/>
                </w:rPr>
                <m:t>−</m:t>
              </m:r>
              <m:acc>
                <m:accPr>
                  <m:chr m:val="‾"/>
                  <m:ctrlPr>
                    <w:rPr>
                      <w:rFonts w:hint="default" w:ascii="Cambria Math" w:hAnsi="Cambria Math" w:cs="Cambria Math"/>
                      <w:sz w:val="24"/>
                    </w:rPr>
                  </m:ctrlPr>
                </m:accPr>
                <m:e>
                  <m:r>
                    <m:rPr/>
                    <w:rPr>
                      <w:rFonts w:hint="default" w:ascii="Cambria Math" w:hAnsi="Cambria Math" w:cs="Cambria Math"/>
                      <w:sz w:val="24"/>
                    </w:rPr>
                    <m:t>TO</m:t>
                  </m:r>
                  <m:ctrlPr>
                    <w:rPr>
                      <w:rFonts w:hint="default" w:ascii="Cambria Math" w:hAnsi="Cambria Math" w:cs="Cambria Math"/>
                      <w:sz w:val="24"/>
                    </w:rPr>
                  </m:ctrlPr>
                </m:e>
              </m:acc>
              <m:ctrlPr>
                <w:rPr>
                  <w:rFonts w:hint="default" w:ascii="Cambria Math" w:hAnsi="Cambria Math" w:cs="Cambria Math"/>
                  <w:sz w:val="24"/>
                </w:rPr>
              </m:ctrlPr>
            </m:num>
            <m:den>
              <m:r>
                <m:rPr/>
                <w:rPr>
                  <w:rFonts w:hint="default" w:ascii="Cambria Math" w:hAnsi="Cambria Math" w:cs="Cambria Math"/>
                  <w:sz w:val="24"/>
                </w:rPr>
                <m:t>σ</m:t>
              </m:r>
              <m:r>
                <m:rPr>
                  <m:sty m:val="p"/>
                </m:rPr>
                <w:rPr>
                  <w:rFonts w:hint="default" w:ascii="Cambria Math" w:hAnsi="Cambria Math" w:cs="Cambria Math"/>
                  <w:sz w:val="24"/>
                </w:rPr>
                <m:t>(</m:t>
              </m:r>
              <m:r>
                <m:rPr/>
                <w:rPr>
                  <w:rFonts w:hint="default" w:ascii="Cambria Math" w:hAnsi="Cambria Math" w:cs="Cambria Math"/>
                  <w:sz w:val="24"/>
                </w:rPr>
                <m:t>TO</m:t>
              </m:r>
              <m:r>
                <m:rPr>
                  <m:sty m:val="p"/>
                </m:rPr>
                <w:rPr>
                  <w:rFonts w:hint="default" w:ascii="Cambria Math" w:hAnsi="Cambria Math" w:cs="Cambria Math"/>
                  <w:sz w:val="24"/>
                </w:rPr>
                <m:t>)</m:t>
              </m:r>
              <m:ctrlPr>
                <w:rPr>
                  <w:rFonts w:hint="default" w:ascii="Cambria Math" w:hAnsi="Cambria Math" w:cs="Cambria Math"/>
                  <w:sz w:val="24"/>
                </w:rPr>
              </m:ctrlPr>
            </m:den>
          </m:f>
        </m:oMath>
      </m:oMathPara>
    </w:p>
    <w:p w14:paraId="0759C97B">
      <w:pPr>
        <w:pStyle w:val="26"/>
        <w:spacing w:before="0" w:after="0" w:line="360" w:lineRule="auto"/>
        <w:ind w:firstLine="480" w:firstLineChars="200"/>
        <w:jc w:val="both"/>
      </w:pPr>
      <w:r>
        <w:rPr>
          <w:rFonts w:ascii="宋体" w:hAnsi="宋体" w:eastAsia="宋体" w:cs="宋体"/>
        </w:rPr>
        <w:t>式中，</w:t>
      </w:r>
      <m:oMath>
        <m:acc>
          <m:accPr>
            <m:chr m:val="‾"/>
            <m:ctrlPr>
              <w:rPr>
                <w:rFonts w:hint="default" w:ascii="Cambria Math" w:hAnsi="Cambria Math" w:cs="Cambria Math"/>
                <w:sz w:val="24"/>
              </w:rPr>
            </m:ctrlPr>
          </m:accPr>
          <m:e>
            <m:r>
              <m:rPr/>
              <w:rPr>
                <w:rFonts w:hint="default" w:ascii="Cambria Math" w:hAnsi="Cambria Math" w:cs="Cambria Math"/>
                <w:sz w:val="24"/>
              </w:rPr>
              <m:t>TO</m:t>
            </m:r>
            <m:ctrlPr>
              <w:rPr>
                <w:rFonts w:hint="default" w:ascii="Cambria Math" w:hAnsi="Cambria Math" w:cs="Cambria Math"/>
                <w:sz w:val="24"/>
              </w:rPr>
            </m:ctrlPr>
          </m:e>
        </m:acc>
      </m:oMath>
      <w:r>
        <w:t xml:space="preserve"> </w:t>
      </w:r>
      <w:r>
        <w:rPr>
          <w:rFonts w:ascii="宋体" w:hAnsi="宋体" w:eastAsia="宋体" w:cs="宋体"/>
        </w:rPr>
        <w:t>为该基金历史换手率均值，</w:t>
      </w:r>
      <m:oMath>
        <m:r>
          <m:rPr/>
          <w:rPr>
            <w:rFonts w:hint="default" w:ascii="Cambria Math" w:hAnsi="Cambria Math" w:cs="Cambria Math"/>
            <w:sz w:val="24"/>
          </w:rPr>
          <m:t>σ</m:t>
        </m:r>
        <m:r>
          <m:rPr>
            <m:sty m:val="p"/>
          </m:rPr>
          <w:rPr>
            <w:rFonts w:hint="default" w:ascii="Cambria Math" w:hAnsi="Cambria Math" w:cs="Cambria Math"/>
            <w:sz w:val="24"/>
          </w:rPr>
          <m:t>(</m:t>
        </m:r>
        <m:r>
          <m:rPr/>
          <w:rPr>
            <w:rFonts w:hint="default" w:ascii="Cambria Math" w:hAnsi="Cambria Math" w:cs="Cambria Math"/>
            <w:sz w:val="24"/>
          </w:rPr>
          <m:t>TO</m:t>
        </m:r>
        <m:r>
          <m:rPr>
            <m:sty m:val="p"/>
          </m:rPr>
          <w:rPr>
            <w:rFonts w:hint="default" w:ascii="Cambria Math" w:hAnsi="Cambria Math" w:cs="Cambria Math"/>
            <w:sz w:val="24"/>
          </w:rPr>
          <m:t>)</m:t>
        </m:r>
      </m:oMath>
      <w:r>
        <w:t xml:space="preserve"> </w:t>
      </w:r>
      <w:r>
        <w:rPr>
          <w:rFonts w:ascii="宋体" w:hAnsi="宋体" w:eastAsia="宋体" w:cs="宋体"/>
        </w:rPr>
        <w:t>为历史换手率标准差。指标大于0表示当期交易高于自身历史均值。其经济含义在于：不同基金换手的绝对水平受策略与规模影响差异较大，标准化后才可比，从而将”策略性高换手”与”行为性过度交易”区分开来。</w:t>
      </w:r>
    </w:p>
    <w:p w14:paraId="2B3B0D55">
      <w:pPr>
        <w:pStyle w:val="3"/>
        <w:spacing w:before="0" w:after="0" w:line="360" w:lineRule="auto"/>
        <w:ind w:firstLine="482" w:firstLineChars="200"/>
        <w:jc w:val="both"/>
      </w:pPr>
      <w:r>
        <w:rPr>
          <w:rFonts w:ascii="宋体" w:hAnsi="宋体" w:eastAsia="宋体" w:cs="宋体"/>
          <w:b/>
          <w:bCs/>
        </w:rPr>
        <w:t>主动收益缺口波动（ARG）</w:t>
      </w:r>
      <w:r>
        <w:rPr>
          <w:rFonts w:ascii="宋体" w:hAnsi="宋体" w:eastAsia="宋体" w:cs="宋体"/>
        </w:rPr>
        <w:t>。该指标衡量净值收益超出持仓可解释部分的累计强度。先构造收益缺口，再加总其绝对值：</w:t>
      </w:r>
    </w:p>
    <w:p w14:paraId="578BC861">
      <w:pPr>
        <w:pStyle w:val="3"/>
        <w:spacing w:before="120" w:after="120" w:line="240" w:lineRule="auto"/>
        <w:ind w:firstLine="0"/>
        <w:jc w:val="center"/>
      </w:pPr>
      <m:oMathPara>
        <m:oMathParaPr>
          <m:jc m:val="center"/>
        </m:oMathParaPr>
        <m:oMath>
          <m:r>
            <m:rPr/>
            <w:rPr>
              <w:rFonts w:hint="default" w:ascii="Cambria Math" w:hAnsi="Cambria Math" w:cs="Cambria Math"/>
              <w:sz w:val="24"/>
            </w:rPr>
            <m:t>R</m:t>
          </m:r>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nary>
            <m:naryPr>
              <m:chr m:val="∑"/>
              <m:limLoc m:val="undOvr"/>
              <m:ctrlPr>
                <w:rPr>
                  <w:rFonts w:hint="default" w:ascii="Cambria Math" w:hAnsi="Cambria Math" w:cs="Cambria Math"/>
                  <w:sz w:val="24"/>
                </w:rPr>
              </m:ctrlPr>
            </m:naryPr>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N</m:t>
              </m:r>
              <m:ctrlPr>
                <w:rPr>
                  <w:rFonts w:hint="default" w:ascii="Cambria Math" w:hAnsi="Cambria Math" w:cs="Cambria Math"/>
                  <w:sz w:val="24"/>
                </w:rPr>
              </m:ctrlPr>
            </m:sup>
            <m:e>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Sub>
              <m:ctrlPr>
                <w:rPr>
                  <w:rFonts w:hint="default" w:ascii="Cambria Math" w:hAnsi="Cambria Math" w:cs="Cambria Math"/>
                  <w:sz w:val="24"/>
                </w:rPr>
              </m:ctrlPr>
            </m:e>
          </m:nary>
          <m:r>
            <m:rPr/>
            <w:rPr>
              <w:rFonts w:hint="default" w:ascii="Cambria Math" w:hAnsi="Cambria Math" w:cs="Cambria Math"/>
              <w:sz w:val="24"/>
            </w:rPr>
            <m:t> </m:t>
          </m:r>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r>
            <m:rPr/>
            <w:rPr>
              <w:rFonts w:hint="default" w:ascii="Cambria Math" w:hAnsi="Cambria Math" w:cs="Cambria Math"/>
              <w:sz w:val="24"/>
            </w:rPr>
            <m:t>  ARG</m:t>
          </m:r>
          <m:r>
            <m:rPr>
              <m:sty m:val="p"/>
            </m:rPr>
            <w:rPr>
              <w:rFonts w:hint="default" w:ascii="Cambria Math" w:hAnsi="Cambria Math" w:cs="Cambria Math"/>
              <w:sz w:val="24"/>
            </w:rPr>
            <m:t>=</m:t>
          </m:r>
          <m:nary>
            <m:naryPr>
              <m:chr m:val="∑"/>
              <m:limLoc m:val="undOvr"/>
              <m:ctrlPr>
                <w:rPr>
                  <w:rFonts w:hint="default" w:ascii="Cambria Math" w:hAnsi="Cambria Math" w:cs="Cambria Math"/>
                  <w:sz w:val="24"/>
                </w:rPr>
              </m:ctrlPr>
            </m:naryPr>
            <m:sub>
              <m:r>
                <m:rPr/>
                <w:rPr>
                  <w:rFonts w:hint="default" w:ascii="Cambria Math" w:hAnsi="Cambria Math" w:cs="Cambria Math"/>
                  <w:sz w:val="24"/>
                </w:rPr>
                <m:t>t</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T</m:t>
              </m:r>
              <m:ctrlPr>
                <w:rPr>
                  <w:rFonts w:hint="default" w:ascii="Cambria Math" w:hAnsi="Cambria Math" w:cs="Cambria Math"/>
                  <w:sz w:val="24"/>
                </w:rPr>
              </m:ctrlPr>
            </m:sup>
            <m:e>
              <m:d>
                <m:dPr>
                  <m:begChr m:val="|"/>
                  <m:sepChr m:val=""/>
                  <m:endChr m:val="|"/>
                  <m:ctrlPr>
                    <w:rPr>
                      <w:rFonts w:hint="default" w:ascii="Cambria Math" w:hAnsi="Cambria Math" w:cs="Cambria Math"/>
                      <w:sz w:val="24"/>
                    </w:rPr>
                  </m:ctrlPr>
                </m:dPr>
                <m:e>
                  <m:r>
                    <m:rPr/>
                    <w:rPr>
                      <w:rFonts w:hint="default" w:ascii="Cambria Math" w:hAnsi="Cambria Math" w:cs="Cambria Math"/>
                      <w:sz w:val="24"/>
                    </w:rPr>
                    <m:t>R</m:t>
                  </m:r>
                  <m:sSub>
                    <m:sSubPr>
                      <m:ctrlPr>
                        <w:rPr>
                          <w:rFonts w:hint="default" w:ascii="Cambria Math" w:hAnsi="Cambria Math" w:cs="Cambria Math"/>
                          <w:sz w:val="24"/>
                        </w:rPr>
                      </m:ctrlPr>
                    </m:sSubPr>
                    <m:e>
                      <m:r>
                        <m:rPr/>
                        <w:rPr>
                          <w:rFonts w:hint="default" w:ascii="Cambria Math" w:hAnsi="Cambria Math" w:cs="Cambria Math"/>
                          <w:sz w:val="24"/>
                        </w:rPr>
                        <m:t>G</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ctrlPr>
                    <w:rPr>
                      <w:rFonts w:hint="default" w:ascii="Cambria Math" w:hAnsi="Cambria Math" w:cs="Cambria Math"/>
                      <w:sz w:val="24"/>
                    </w:rPr>
                  </m:ctrlPr>
                </m:e>
              </m:d>
              <m:ctrlPr>
                <w:rPr>
                  <w:rFonts w:hint="default" w:ascii="Cambria Math" w:hAnsi="Cambria Math" w:cs="Cambria Math"/>
                  <w:sz w:val="24"/>
                </w:rPr>
              </m:ctrlPr>
            </m:e>
          </m:nary>
        </m:oMath>
      </m:oMathPara>
    </w:p>
    <w:p w14:paraId="532847A5">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为基金第</w:t>
      </w:r>
      <w:r>
        <w:t xml:space="preserve"> </w:t>
      </w:r>
      <m:oMath>
        <m:r>
          <m:rPr/>
          <w:rPr>
            <w:rFonts w:hint="default" w:ascii="Cambria Math" w:hAnsi="Cambria Math" w:cs="Cambria Math"/>
            <w:sz w:val="24"/>
          </w:rPr>
          <m:t>t</m:t>
        </m:r>
      </m:oMath>
      <w:r>
        <w:t xml:space="preserve"> </w:t>
      </w:r>
      <w:r>
        <w:rPr>
          <w:rFonts w:ascii="宋体" w:hAnsi="宋体" w:eastAsia="宋体" w:cs="宋体"/>
        </w:rPr>
        <w:t>期实际收益，</w:t>
      </w:r>
      <m:oMath>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Sub>
      </m:oMath>
      <w:r>
        <w:t xml:space="preserve"> </w:t>
      </w:r>
      <w:r>
        <w:rPr>
          <w:rFonts w:ascii="宋体" w:hAnsi="宋体" w:eastAsia="宋体" w:cs="宋体"/>
        </w:rPr>
        <w:t>为上期末股票</w:t>
      </w:r>
      <w:r>
        <w:t xml:space="preserve"> </w:t>
      </w:r>
      <m:oMath>
        <m:r>
          <m:rPr/>
          <w:rPr>
            <w:rFonts w:hint="default" w:ascii="Cambria Math" w:hAnsi="Cambria Math" w:cs="Cambria Math"/>
            <w:sz w:val="24"/>
          </w:rPr>
          <m:t>i</m:t>
        </m:r>
      </m:oMath>
      <w:r>
        <w:t xml:space="preserve"> </w:t>
      </w:r>
      <w:r>
        <w:rPr>
          <w:rFonts w:ascii="宋体" w:hAnsi="宋体" w:eastAsia="宋体" w:cs="宋体"/>
        </w:rPr>
        <w:t>的持仓权重，</w:t>
      </w:r>
      <m:oMath>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为该股本期收益，</w:t>
      </w:r>
      <m:oMath>
        <m:r>
          <m:rPr/>
          <w:rPr>
            <w:rFonts w:hint="default" w:ascii="Cambria Math" w:hAnsi="Cambria Math" w:cs="Cambria Math"/>
            <w:sz w:val="24"/>
          </w:rPr>
          <m:t>N</m:t>
        </m:r>
      </m:oMath>
      <w:r>
        <w:t xml:space="preserve"> </w:t>
      </w:r>
      <w:r>
        <w:rPr>
          <w:rFonts w:ascii="宋体" w:hAnsi="宋体" w:eastAsia="宋体" w:cs="宋体"/>
        </w:rPr>
        <w:t>为持仓股票数，</w:t>
      </w:r>
      <m:oMath>
        <m:r>
          <m:rPr/>
          <w:rPr>
            <w:rFonts w:hint="default" w:ascii="Cambria Math" w:hAnsi="Cambria Math" w:cs="Cambria Math"/>
            <w:sz w:val="24"/>
          </w:rPr>
          <m:t>T</m:t>
        </m:r>
      </m:oMath>
      <w:r>
        <w:t xml:space="preserve"> </w:t>
      </w:r>
      <w:r>
        <w:rPr>
          <w:rFonts w:ascii="宋体" w:hAnsi="宋体" w:eastAsia="宋体" w:cs="宋体"/>
        </w:rPr>
        <w:t>为样本期数。数据来源为基金净值、季度全持仓与个股收益。其理论来源为基金业绩归因文献中的收益缺口方法：若基金经理不存在持仓之外的主动行动（期间调仓、隐性交易），净值应完全由披露持仓复制，缺口应接近于零，因此缺口的绝对值累计刻画的是未观测主动行动的强度。取绝对值而非代数值，是因为本框架关注行动强度本身——无论方向为盈为亏，频繁偏离披露组合均意味着更高的操作密度与更弱的风格纪律。需要指出的是，风格漂移指数变动的是持仓风格构成，而ARG度量的是净值对持仓的可解释性偏离，二者实证近似正交（相关系数仅0.06），可分离”换风格但可被持仓解释”与”不换风格但净值脱离持仓”两种行为。</w:t>
      </w:r>
    </w:p>
    <w:p w14:paraId="009B4180">
      <w:pPr>
        <w:pStyle w:val="3"/>
        <w:spacing w:before="0" w:after="0" w:line="360" w:lineRule="auto"/>
        <w:ind w:firstLine="482" w:firstLineChars="200"/>
        <w:jc w:val="both"/>
      </w:pPr>
      <w:r>
        <w:rPr>
          <w:rFonts w:ascii="宋体" w:hAnsi="宋体" w:eastAsia="宋体" w:cs="宋体"/>
          <w:b/>
          <w:bCs/>
        </w:rPr>
        <w:t>收益波动率</w:t>
      </w:r>
      <w:r>
        <w:rPr>
          <w:rFonts w:ascii="宋体" w:hAnsi="宋体" w:eastAsia="宋体" w:cs="宋体"/>
        </w:rPr>
        <w:t>。该指标衡量基金收益率的滚动波动程度。计算方法为滚动8个季度的收益率标准差：</w:t>
      </w:r>
    </w:p>
    <w:p w14:paraId="11B2F162">
      <w:pPr>
        <w:pStyle w:val="3"/>
        <w:spacing w:before="120" w:after="120" w:line="240" w:lineRule="auto"/>
        <w:ind w:firstLine="0"/>
        <w:jc w:val="center"/>
      </w:pPr>
      <m:oMathPara>
        <m:oMathParaPr>
          <m:jc m:val="center"/>
        </m:oMathParaPr>
        <m:oMath>
          <m:sSub>
            <m:sSubPr>
              <m:ctrlPr>
                <w:rPr>
                  <w:rFonts w:hint="default" w:ascii="Cambria Math" w:hAnsi="Cambria Math" w:cs="Cambria Math"/>
                  <w:sz w:val="24"/>
                </w:rPr>
              </m:ctrlPr>
            </m:sSubPr>
            <m:e>
              <m:r>
                <m:rPr/>
                <w:rPr>
                  <w:rFonts w:hint="default" w:ascii="Cambria Math" w:hAnsi="Cambria Math" w:cs="Cambria Math"/>
                  <w:sz w:val="24"/>
                </w:rPr>
                <m:t>σ</m:t>
              </m:r>
              <m:ctrlPr>
                <w:rPr>
                  <w:rFonts w:hint="default" w:ascii="Cambria Math" w:hAnsi="Cambria Math" w:cs="Cambria Math"/>
                  <w:sz w:val="24"/>
                </w:rPr>
              </m:ctrlPr>
            </m:e>
            <m:sub>
              <m:r>
                <m:rPr/>
                <w:rPr>
                  <w:rFonts w:hint="default" w:ascii="Cambria Math" w:hAnsi="Cambria Math" w:cs="Cambria Math"/>
                  <w:sz w:val="24"/>
                </w:rPr>
                <m:t>8Q</m:t>
              </m:r>
              <m:ctrlPr>
                <w:rPr>
                  <w:rFonts w:hint="default" w:ascii="Cambria Math" w:hAnsi="Cambria Math" w:cs="Cambria Math"/>
                  <w:sz w:val="24"/>
                </w:rPr>
              </m:ctrlPr>
            </m:sub>
          </m:sSub>
          <m:r>
            <m:rPr>
              <m:sty m:val="p"/>
            </m:rPr>
            <w:rPr>
              <w:rFonts w:hint="default" w:ascii="Cambria Math" w:hAnsi="Cambria Math" w:cs="Cambria Math"/>
              <w:sz w:val="24"/>
            </w:rPr>
            <m:t>=</m:t>
          </m:r>
          <m:rad>
            <m:radPr>
              <m:degHide m:val="1"/>
              <m:ctrlPr>
                <w:rPr>
                  <w:rFonts w:hint="default" w:ascii="Cambria Math" w:hAnsi="Cambria Math" w:cs="Cambria Math"/>
                  <w:sz w:val="24"/>
                </w:rPr>
              </m:ctrlPr>
            </m:radPr>
            <m:deg>
              <m:ctrlPr>
                <w:rPr>
                  <w:rFonts w:hint="default" w:ascii="Cambria Math" w:hAnsi="Cambria Math" w:cs="Cambria Math"/>
                  <w:sz w:val="24"/>
                </w:rPr>
              </m:ctrlPr>
            </m:deg>
            <m:e>
              <m:f>
                <m:fPr>
                  <m:ctrlPr>
                    <w:rPr>
                      <w:rFonts w:hint="default" w:ascii="Cambria Math" w:hAnsi="Cambria Math" w:cs="Cambria Math"/>
                      <w:sz w:val="24"/>
                    </w:rPr>
                  </m:ctrlPr>
                </m:fPr>
                <m:num>
                  <m:r>
                    <m:rPr/>
                    <w:rPr>
                      <w:rFonts w:hint="default" w:ascii="Cambria Math" w:hAnsi="Cambria Math" w:cs="Cambria Math"/>
                      <w:sz w:val="24"/>
                    </w:rPr>
                    <m:t>1</m:t>
                  </m:r>
                  <m:ctrlPr>
                    <w:rPr>
                      <w:rFonts w:hint="default" w:ascii="Cambria Math" w:hAnsi="Cambria Math" w:cs="Cambria Math"/>
                      <w:sz w:val="24"/>
                    </w:rPr>
                  </m:ctrlPr>
                </m:num>
                <m:den>
                  <m:r>
                    <m:rPr/>
                    <w:rPr>
                      <w:rFonts w:hint="default" w:ascii="Cambria Math" w:hAnsi="Cambria Math" w:cs="Cambria Math"/>
                      <w:sz w:val="24"/>
                    </w:rPr>
                    <m:t>7</m:t>
                  </m:r>
                  <m:ctrlPr>
                    <w:rPr>
                      <w:rFonts w:hint="default" w:ascii="Cambria Math" w:hAnsi="Cambria Math" w:cs="Cambria Math"/>
                      <w:sz w:val="24"/>
                    </w:rPr>
                  </m:ctrlPr>
                </m:den>
              </m:f>
              <m:nary>
                <m:naryPr>
                  <m:chr m:val="∑"/>
                  <m:limLoc m:val="undOvr"/>
                  <m:ctrlPr>
                    <w:rPr>
                      <w:rFonts w:hint="default" w:ascii="Cambria Math" w:hAnsi="Cambria Math" w:cs="Cambria Math"/>
                      <w:sz w:val="24"/>
                    </w:rPr>
                  </m:ctrlPr>
                </m:naryPr>
                <m:sub>
                  <m:r>
                    <m:rPr/>
                    <w:rPr>
                      <w:rFonts w:hint="default" w:ascii="Cambria Math" w:hAnsi="Cambria Math" w:cs="Cambria Math"/>
                      <w:sz w:val="24"/>
                    </w:rPr>
                    <m:t>t</m:t>
                  </m:r>
                  <m:r>
                    <m:rPr>
                      <m:sty m:val="p"/>
                    </m:rPr>
                    <w:rPr>
                      <w:rFonts w:hint="default" w:ascii="Cambria Math" w:hAnsi="Cambria Math" w:cs="Cambria Math"/>
                      <w:sz w:val="24"/>
                    </w:rPr>
                    <m:t>=</m:t>
                  </m:r>
                  <m:r>
                    <m:rPr/>
                    <w:rPr>
                      <w:rFonts w:hint="default" w:ascii="Cambria Math" w:hAnsi="Cambria Math" w:cs="Cambria Math"/>
                      <w:sz w:val="24"/>
                    </w:rPr>
                    <m:t>1</m:t>
                  </m:r>
                  <m:ctrlPr>
                    <w:rPr>
                      <w:rFonts w:hint="default" w:ascii="Cambria Math" w:hAnsi="Cambria Math" w:cs="Cambria Math"/>
                      <w:sz w:val="24"/>
                    </w:rPr>
                  </m:ctrlPr>
                </m:sub>
                <m:sup>
                  <m:r>
                    <m:rPr/>
                    <w:rPr>
                      <w:rFonts w:hint="default" w:ascii="Cambria Math" w:hAnsi="Cambria Math" w:cs="Cambria Math"/>
                      <w:sz w:val="24"/>
                    </w:rPr>
                    <m:t>8</m:t>
                  </m:r>
                  <m:ctrlPr>
                    <w:rPr>
                      <w:rFonts w:hint="default" w:ascii="Cambria Math" w:hAnsi="Cambria Math" w:cs="Cambria Math"/>
                      <w:sz w:val="24"/>
                    </w:rPr>
                  </m:ctrlPr>
                </m:sup>
                <m:e>
                  <m:r>
                    <m:rPr>
                      <m:sty m:val="p"/>
                    </m:rPr>
                    <w:rPr>
                      <w:rFonts w:hint="default" w:ascii="Cambria Math" w:hAnsi="Cambria Math" w:cs="Cambria Math"/>
                      <w:sz w:val="24"/>
                    </w:rPr>
                    <m:t>(</m:t>
                  </m:r>
                  <m:ctrlPr>
                    <w:rPr>
                      <w:rFonts w:hint="default" w:ascii="Cambria Math" w:hAnsi="Cambria Math" w:cs="Cambria Math"/>
                      <w:sz w:val="24"/>
                    </w:rPr>
                  </m:ctrlPr>
                </m:e>
              </m:nary>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acc>
                <m:accPr>
                  <m:chr m:val="‾"/>
                  <m:ctrlPr>
                    <w:rPr>
                      <w:rFonts w:hint="default" w:ascii="Cambria Math" w:hAnsi="Cambria Math" w:cs="Cambria Math"/>
                      <w:sz w:val="24"/>
                    </w:rPr>
                  </m:ctrlPr>
                </m:accPr>
                <m:e>
                  <m:r>
                    <m:rPr/>
                    <w:rPr>
                      <w:rFonts w:hint="default" w:ascii="Cambria Math" w:hAnsi="Cambria Math" w:cs="Cambria Math"/>
                      <w:sz w:val="24"/>
                    </w:rPr>
                    <m:t>r</m:t>
                  </m:r>
                  <m:ctrlPr>
                    <w:rPr>
                      <w:rFonts w:hint="default" w:ascii="Cambria Math" w:hAnsi="Cambria Math" w:cs="Cambria Math"/>
                      <w:sz w:val="24"/>
                    </w:rPr>
                  </m:ctrlPr>
                </m:e>
              </m:acc>
              <m:sSup>
                <m:sSupPr>
                  <m:ctrlPr>
                    <w:rPr>
                      <w:rFonts w:hint="default" w:ascii="Cambria Math" w:hAnsi="Cambria Math" w:cs="Cambria Math"/>
                      <w:sz w:val="24"/>
                    </w:rPr>
                  </m:ctrlPr>
                </m:sSupPr>
                <m:e>
                  <m:r>
                    <m:rPr>
                      <m:sty m:val="p"/>
                    </m:rPr>
                    <w:rPr>
                      <w:rFonts w:hint="default" w:ascii="Cambria Math" w:hAnsi="Cambria Math" w:cs="Cambria Math"/>
                      <w:sz w:val="24"/>
                    </w:rPr>
                    <m:t>)</m:t>
                  </m:r>
                  <m:ctrlPr>
                    <w:rPr>
                      <w:rFonts w:hint="default" w:ascii="Cambria Math" w:hAnsi="Cambria Math" w:cs="Cambria Math"/>
                      <w:sz w:val="24"/>
                    </w:rPr>
                  </m:ctrlPr>
                </m:e>
                <m:sup>
                  <m:r>
                    <m:rPr/>
                    <w:rPr>
                      <w:rFonts w:hint="default" w:ascii="Cambria Math" w:hAnsi="Cambria Math" w:cs="Cambria Math"/>
                      <w:sz w:val="24"/>
                    </w:rPr>
                    <m:t>2</m:t>
                  </m:r>
                  <m:ctrlPr>
                    <w:rPr>
                      <w:rFonts w:hint="default" w:ascii="Cambria Math" w:hAnsi="Cambria Math" w:cs="Cambria Math"/>
                      <w:sz w:val="24"/>
                    </w:rPr>
                  </m:ctrlPr>
                </m:sup>
              </m:sSup>
              <m:ctrlPr>
                <w:rPr>
                  <w:rFonts w:hint="default" w:ascii="Cambria Math" w:hAnsi="Cambria Math" w:cs="Cambria Math"/>
                  <w:sz w:val="24"/>
                </w:rPr>
              </m:ctrlPr>
            </m:e>
          </m:rad>
        </m:oMath>
      </m:oMathPara>
    </w:p>
    <w:p w14:paraId="78D336C5">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为第</w:t>
      </w:r>
      <w:r>
        <w:t xml:space="preserve"> </w:t>
      </w:r>
      <m:oMath>
        <m:r>
          <m:rPr/>
          <w:rPr>
            <w:rFonts w:hint="default" w:ascii="Cambria Math" w:hAnsi="Cambria Math" w:cs="Cambria Math"/>
            <w:sz w:val="24"/>
          </w:rPr>
          <m:t>t</m:t>
        </m:r>
      </m:oMath>
      <w:r>
        <w:t xml:space="preserve"> </w:t>
      </w:r>
      <w:r>
        <w:rPr>
          <w:rFonts w:ascii="宋体" w:hAnsi="宋体" w:eastAsia="宋体" w:cs="宋体"/>
        </w:rPr>
        <w:t>季度收益率，</w:t>
      </w:r>
      <m:oMath>
        <m:acc>
          <m:accPr>
            <m:chr m:val="‾"/>
            <m:ctrlPr>
              <w:rPr>
                <w:rFonts w:hint="default" w:ascii="Cambria Math" w:hAnsi="Cambria Math" w:cs="Cambria Math"/>
                <w:sz w:val="24"/>
              </w:rPr>
            </m:ctrlPr>
          </m:accPr>
          <m:e>
            <m:r>
              <m:rPr/>
              <w:rPr>
                <w:rFonts w:hint="default" w:ascii="Cambria Math" w:hAnsi="Cambria Math" w:cs="Cambria Math"/>
                <w:sz w:val="24"/>
              </w:rPr>
              <m:t>r</m:t>
            </m:r>
            <m:ctrlPr>
              <w:rPr>
                <w:rFonts w:hint="default" w:ascii="Cambria Math" w:hAnsi="Cambria Math" w:cs="Cambria Math"/>
                <w:sz w:val="24"/>
              </w:rPr>
            </m:ctrlPr>
          </m:e>
        </m:acc>
      </m:oMath>
      <w:r>
        <w:t xml:space="preserve"> </w:t>
      </w:r>
      <w:r>
        <w:rPr>
          <w:rFonts w:ascii="宋体" w:hAnsi="宋体" w:eastAsia="宋体" w:cs="宋体"/>
        </w:rPr>
        <w:t>为8个季度的平均收益率。数据来源为基金净值序列。其经济含义在于：波动率综合反映选股、择时与仓位管理的最终效果，高波动直接压低夏普比率等信息比率指标。</w:t>
      </w:r>
    </w:p>
    <w:bookmarkEnd w:id="8"/>
    <w:bookmarkEnd w:id="12"/>
    <w:p w14:paraId="62F4ECFC">
      <w:pPr>
        <w:pStyle w:val="4"/>
        <w:spacing w:before="260" w:after="120" w:line="240" w:lineRule="auto"/>
        <w:ind w:firstLine="0"/>
        <w:jc w:val="left"/>
        <w:rPr>
          <w:rFonts w:ascii="Times New Roman" w:eastAsia="黑体"/>
          <w:b/>
          <w:color w:val="000000"/>
          <w:sz w:val="28"/>
        </w:rPr>
      </w:pPr>
      <w:bookmarkStart w:id="13" w:name="因变量控制变量与模型设定"/>
      <w:r>
        <w:rPr>
          <w:rFonts w:ascii="Times New Roman" w:eastAsia="黑体"/>
          <w:b/>
          <w:color w:val="000000"/>
          <w:sz w:val="28"/>
        </w:rPr>
        <w:t xml:space="preserve">3.3 </w:t>
      </w:r>
      <w:r>
        <w:rPr>
          <w:rFonts w:ascii="Times New Roman" w:hAnsi="宋体" w:eastAsia="黑体" w:cs="宋体"/>
          <w:b/>
          <w:color w:val="000000"/>
          <w:sz w:val="28"/>
        </w:rPr>
        <w:t>因变量、控制变量与模型设定</w:t>
      </w:r>
    </w:p>
    <w:p w14:paraId="30068EB7">
      <w:pPr>
        <w:pStyle w:val="26"/>
        <w:spacing w:before="0" w:after="0" w:line="360" w:lineRule="auto"/>
        <w:ind w:firstLine="480" w:firstLineChars="200"/>
        <w:jc w:val="both"/>
      </w:pPr>
      <w:r>
        <w:rPr>
          <w:rFonts w:ascii="宋体" w:hAnsi="宋体" w:eastAsia="宋体" w:cs="宋体"/>
        </w:rPr>
        <w:t>因变量为五因子调整后收益，即Fama-French五因子模型时序回归的截距项：</w:t>
      </w:r>
    </w:p>
    <w:p w14:paraId="037783E5">
      <w:pPr>
        <w:pStyle w:val="3"/>
        <w:spacing w:before="120" w:after="120" w:line="240" w:lineRule="auto"/>
        <w:ind w:firstLine="0"/>
        <w:jc w:val="center"/>
      </w:pPr>
      <m:oMathPara>
        <m:oMathParaPr>
          <m:jc m:val="center"/>
        </m:oMathParaPr>
        <m:oMath>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f</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α</m:t>
              </m:r>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β</m:t>
              </m:r>
              <m:ctrlPr>
                <w:rPr>
                  <w:rFonts w:hint="default" w:ascii="Cambria Math" w:hAnsi="Cambria Math" w:cs="Cambria Math"/>
                  <w:sz w:val="24"/>
                </w:rPr>
              </m:ctrlPr>
            </m:e>
            <m:sub>
              <m:r>
                <m:rPr/>
                <w:rPr>
                  <w:rFonts w:hint="default" w:ascii="Cambria Math" w:hAnsi="Cambria Math" w:cs="Cambria Math"/>
                  <w:sz w:val="24"/>
                </w:rPr>
                <m:t>1</m:t>
              </m:r>
              <m:ctrlPr>
                <w:rPr>
                  <w:rFonts w:hint="default" w:ascii="Cambria Math" w:hAnsi="Cambria Math" w:cs="Cambria Math"/>
                  <w:sz w:val="24"/>
                </w:rPr>
              </m:ctrlPr>
            </m:sub>
          </m:sSub>
          <m:r>
            <m:rPr/>
            <w:rPr>
              <w:rFonts w:hint="default" w:ascii="Cambria Math" w:hAnsi="Cambria Math" w:cs="Cambria Math"/>
              <w:sz w:val="24"/>
            </w:rPr>
            <m:t>MK</m:t>
          </m:r>
          <m:sSub>
            <m:sSubPr>
              <m:ctrlPr>
                <w:rPr>
                  <w:rFonts w:hint="default" w:ascii="Cambria Math" w:hAnsi="Cambria Math" w:cs="Cambria Math"/>
                  <w:sz w:val="24"/>
                </w:rPr>
              </m:ctrlPr>
            </m:sSubPr>
            <m:e>
              <m:r>
                <m:rPr/>
                <w:rPr>
                  <w:rFonts w:hint="default" w:ascii="Cambria Math" w:hAnsi="Cambria Math" w:cs="Cambria Math"/>
                  <w:sz w:val="24"/>
                </w:rPr>
                <m:t>T</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β</m:t>
              </m:r>
              <m:ctrlPr>
                <w:rPr>
                  <w:rFonts w:hint="default" w:ascii="Cambria Math" w:hAnsi="Cambria Math" w:cs="Cambria Math"/>
                  <w:sz w:val="24"/>
                </w:rPr>
              </m:ctrlPr>
            </m:e>
            <m:sub>
              <m:r>
                <m:rPr/>
                <w:rPr>
                  <w:rFonts w:hint="default" w:ascii="Cambria Math" w:hAnsi="Cambria Math" w:cs="Cambria Math"/>
                  <w:sz w:val="24"/>
                </w:rPr>
                <m:t>2</m:t>
              </m:r>
              <m:ctrlPr>
                <w:rPr>
                  <w:rFonts w:hint="default" w:ascii="Cambria Math" w:hAnsi="Cambria Math" w:cs="Cambria Math"/>
                  <w:sz w:val="24"/>
                </w:rPr>
              </m:ctrlPr>
            </m:sub>
          </m:sSub>
          <m:r>
            <m:rPr/>
            <w:rPr>
              <w:rFonts w:hint="default" w:ascii="Cambria Math" w:hAnsi="Cambria Math" w:cs="Cambria Math"/>
              <w:sz w:val="24"/>
            </w:rPr>
            <m:t>SM</m:t>
          </m:r>
          <m:sSub>
            <m:sSubPr>
              <m:ctrlPr>
                <w:rPr>
                  <w:rFonts w:hint="default" w:ascii="Cambria Math" w:hAnsi="Cambria Math" w:cs="Cambria Math"/>
                  <w:sz w:val="24"/>
                </w:rPr>
              </m:ctrlPr>
            </m:sSubPr>
            <m:e>
              <m:r>
                <m:rPr/>
                <w:rPr>
                  <w:rFonts w:hint="default" w:ascii="Cambria Math" w:hAnsi="Cambria Math" w:cs="Cambria Math"/>
                  <w:sz w:val="24"/>
                </w:rPr>
                <m:t>B</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β</m:t>
              </m:r>
              <m:ctrlPr>
                <w:rPr>
                  <w:rFonts w:hint="default" w:ascii="Cambria Math" w:hAnsi="Cambria Math" w:cs="Cambria Math"/>
                  <w:sz w:val="24"/>
                </w:rPr>
              </m:ctrlPr>
            </m:e>
            <m:sub>
              <m:r>
                <m:rPr/>
                <w:rPr>
                  <w:rFonts w:hint="default" w:ascii="Cambria Math" w:hAnsi="Cambria Math" w:cs="Cambria Math"/>
                  <w:sz w:val="24"/>
                </w:rPr>
                <m:t>3</m:t>
              </m:r>
              <m:ctrlPr>
                <w:rPr>
                  <w:rFonts w:hint="default" w:ascii="Cambria Math" w:hAnsi="Cambria Math" w:cs="Cambria Math"/>
                  <w:sz w:val="24"/>
                </w:rPr>
              </m:ctrlPr>
            </m:sub>
          </m:sSub>
          <m:r>
            <m:rPr/>
            <w:rPr>
              <w:rFonts w:hint="default" w:ascii="Cambria Math" w:hAnsi="Cambria Math" w:cs="Cambria Math"/>
              <w:sz w:val="24"/>
            </w:rPr>
            <m:t>HM</m:t>
          </m:r>
          <m:sSub>
            <m:sSubPr>
              <m:ctrlPr>
                <w:rPr>
                  <w:rFonts w:hint="default" w:ascii="Cambria Math" w:hAnsi="Cambria Math" w:cs="Cambria Math"/>
                  <w:sz w:val="24"/>
                </w:rPr>
              </m:ctrlPr>
            </m:sSubPr>
            <m:e>
              <m:r>
                <m:rPr/>
                <w:rPr>
                  <w:rFonts w:hint="default" w:ascii="Cambria Math" w:hAnsi="Cambria Math" w:cs="Cambria Math"/>
                  <w:sz w:val="24"/>
                </w:rPr>
                <m:t>L</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β</m:t>
              </m:r>
              <m:ctrlPr>
                <w:rPr>
                  <w:rFonts w:hint="default" w:ascii="Cambria Math" w:hAnsi="Cambria Math" w:cs="Cambria Math"/>
                  <w:sz w:val="24"/>
                </w:rPr>
              </m:ctrlPr>
            </m:e>
            <m:sub>
              <m:r>
                <m:rPr/>
                <w:rPr>
                  <w:rFonts w:hint="default" w:ascii="Cambria Math" w:hAnsi="Cambria Math" w:cs="Cambria Math"/>
                  <w:sz w:val="24"/>
                </w:rPr>
                <m:t>4</m:t>
              </m:r>
              <m:ctrlPr>
                <w:rPr>
                  <w:rFonts w:hint="default" w:ascii="Cambria Math" w:hAnsi="Cambria Math" w:cs="Cambria Math"/>
                  <w:sz w:val="24"/>
                </w:rPr>
              </m:ctrlPr>
            </m:sub>
          </m:sSub>
          <m:r>
            <m:rPr/>
            <w:rPr>
              <w:rFonts w:hint="default" w:ascii="Cambria Math" w:hAnsi="Cambria Math" w:cs="Cambria Math"/>
              <w:sz w:val="24"/>
            </w:rPr>
            <m:t>RM</m:t>
          </m:r>
          <m:sSub>
            <m:sSubPr>
              <m:ctrlPr>
                <w:rPr>
                  <w:rFonts w:hint="default" w:ascii="Cambria Math" w:hAnsi="Cambria Math" w:cs="Cambria Math"/>
                  <w:sz w:val="24"/>
                </w:rPr>
              </m:ctrlPr>
            </m:sSubPr>
            <m:e>
              <m:r>
                <m:rPr/>
                <w:rPr>
                  <w:rFonts w:hint="default" w:ascii="Cambria Math" w:hAnsi="Cambria Math" w:cs="Cambria Math"/>
                  <w:sz w:val="24"/>
                </w:rPr>
                <m:t>W</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β</m:t>
              </m:r>
              <m:ctrlPr>
                <w:rPr>
                  <w:rFonts w:hint="default" w:ascii="Cambria Math" w:hAnsi="Cambria Math" w:cs="Cambria Math"/>
                  <w:sz w:val="24"/>
                </w:rPr>
              </m:ctrlPr>
            </m:e>
            <m:sub>
              <m:r>
                <m:rPr/>
                <w:rPr>
                  <w:rFonts w:hint="default" w:ascii="Cambria Math" w:hAnsi="Cambria Math" w:cs="Cambria Math"/>
                  <w:sz w:val="24"/>
                </w:rPr>
                <m:t>5</m:t>
              </m:r>
              <m:ctrlPr>
                <w:rPr>
                  <w:rFonts w:hint="default" w:ascii="Cambria Math" w:hAnsi="Cambria Math" w:cs="Cambria Math"/>
                  <w:sz w:val="24"/>
                </w:rPr>
              </m:ctrlPr>
            </m:sub>
          </m:sSub>
          <m:r>
            <m:rPr/>
            <w:rPr>
              <w:rFonts w:hint="default" w:ascii="Cambria Math" w:hAnsi="Cambria Math" w:cs="Cambria Math"/>
              <w:sz w:val="24"/>
            </w:rPr>
            <m:t>CM</m:t>
          </m:r>
          <m:sSub>
            <m:sSubPr>
              <m:ctrlPr>
                <w:rPr>
                  <w:rFonts w:hint="default" w:ascii="Cambria Math" w:hAnsi="Cambria Math" w:cs="Cambria Math"/>
                  <w:sz w:val="24"/>
                </w:rPr>
              </m:ctrlPr>
            </m:sSubPr>
            <m:e>
              <m:r>
                <m:rPr/>
                <w:rPr>
                  <w:rFonts w:hint="default" w:ascii="Cambria Math" w:hAnsi="Cambria Math" w:cs="Cambria Math"/>
                  <w:sz w:val="24"/>
                </w:rPr>
                <m:t>A</m:t>
              </m:r>
              <m:ctrlPr>
                <w:rPr>
                  <w:rFonts w:hint="default" w:ascii="Cambria Math" w:hAnsi="Cambria Math" w:cs="Cambria Math"/>
                  <w:sz w:val="24"/>
                </w:rPr>
              </m:ctrlPr>
            </m:e>
            <m:sub>
              <m:r>
                <m:rPr/>
                <w:rPr>
                  <w:rFonts w:hint="default" w:ascii="Cambria Math" w:hAnsi="Cambria Math" w:cs="Cambria Math"/>
                  <w:sz w:val="24"/>
                </w:rPr>
                <m:t>t</m:t>
              </m:r>
              <m:ctrlPr>
                <w:rPr>
                  <w:rFonts w:hint="default" w:ascii="Cambria Math" w:hAnsi="Cambria Math" w:cs="Cambria Math"/>
                  <w:sz w:val="24"/>
                </w:rPr>
              </m:ctrlPr>
            </m:sub>
          </m:sSub>
          <m:r>
            <m:rPr>
              <m:sty m:val="p"/>
            </m:rPr>
            <w:rPr>
              <w:rFonts w:hint="default" w:ascii="Cambria Math" w:hAnsi="Cambria Math" w:cs="Cambria Math"/>
              <w:sz w:val="24"/>
            </w:rPr>
            <m:t>+</m:t>
          </m:r>
          <m:sSub>
            <m:sSubPr>
              <m:ctrlPr>
                <w:rPr>
                  <w:rFonts w:hint="default" w:ascii="Cambria Math" w:hAnsi="Cambria Math" w:cs="Cambria Math"/>
                  <w:sz w:val="24"/>
                </w:rPr>
              </m:ctrlPr>
            </m:sSubPr>
            <m:e>
              <m:r>
                <m:rPr/>
                <w:rPr>
                  <w:rFonts w:hint="default" w:ascii="Cambria Math" w:hAnsi="Cambria Math" w:cs="Cambria Math"/>
                  <w:sz w:val="24"/>
                </w:rPr>
                <m:t>ε</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oMath>
      </m:oMathPara>
    </w:p>
    <w:p w14:paraId="117D15E3">
      <w:pPr>
        <w:pStyle w:val="26"/>
        <w:spacing w:before="0" w:after="0" w:line="360" w:lineRule="auto"/>
        <w:ind w:firstLine="480" w:firstLineChars="200"/>
        <w:jc w:val="both"/>
      </w:pPr>
      <w:r>
        <w:rPr>
          <w:rFonts w:ascii="宋体" w:hAnsi="宋体" w:eastAsia="宋体" w:cs="宋体"/>
        </w:rPr>
        <w:t>式中，</w:t>
      </w:r>
      <m:oMath>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i</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为基金</w:t>
      </w:r>
      <w:r>
        <w:t xml:space="preserve"> </w:t>
      </w:r>
      <m:oMath>
        <m:r>
          <m:rPr/>
          <w:rPr>
            <w:rFonts w:hint="default" w:ascii="Cambria Math" w:hAnsi="Cambria Math" w:cs="Cambria Math"/>
            <w:sz w:val="24"/>
          </w:rPr>
          <m:t>i</m:t>
        </m:r>
      </m:oMath>
      <w:r>
        <w:t xml:space="preserve"> </w:t>
      </w:r>
      <w:r>
        <w:rPr>
          <w:rFonts w:ascii="宋体" w:hAnsi="宋体" w:eastAsia="宋体" w:cs="宋体"/>
        </w:rPr>
        <w:t>在第</w:t>
      </w:r>
      <w:r>
        <w:t xml:space="preserve"> </w:t>
      </w:r>
      <m:oMath>
        <m:r>
          <m:rPr/>
          <w:rPr>
            <w:rFonts w:hint="default" w:ascii="Cambria Math" w:hAnsi="Cambria Math" w:cs="Cambria Math"/>
            <w:sz w:val="24"/>
          </w:rPr>
          <m:t>t</m:t>
        </m:r>
      </m:oMath>
      <w:r>
        <w:t xml:space="preserve"> </w:t>
      </w:r>
      <w:r>
        <w:rPr>
          <w:rFonts w:ascii="宋体" w:hAnsi="宋体" w:eastAsia="宋体" w:cs="宋体"/>
        </w:rPr>
        <w:t>月的收益率，</w:t>
      </w:r>
      <m:oMath>
        <m:sSub>
          <m:sSubPr>
            <m:ctrlPr>
              <w:rPr>
                <w:rFonts w:hint="default" w:ascii="Cambria Math" w:hAnsi="Cambria Math" w:cs="Cambria Math"/>
                <w:sz w:val="24"/>
              </w:rPr>
            </m:ctrlPr>
          </m:sSubPr>
          <m:e>
            <m:r>
              <m:rPr/>
              <w:rPr>
                <w:rFonts w:hint="default" w:ascii="Cambria Math" w:hAnsi="Cambria Math" w:cs="Cambria Math"/>
                <w:sz w:val="24"/>
              </w:rPr>
              <m:t>r</m:t>
            </m:r>
            <m:ctrlPr>
              <w:rPr>
                <w:rFonts w:hint="default" w:ascii="Cambria Math" w:hAnsi="Cambria Math" w:cs="Cambria Math"/>
                <w:sz w:val="24"/>
              </w:rPr>
            </m:ctrlPr>
          </m:e>
          <m:sub>
            <m:r>
              <m:rPr/>
              <w:rPr>
                <w:rFonts w:hint="default" w:ascii="Cambria Math" w:hAnsi="Cambria Math" w:cs="Cambria Math"/>
                <w:sz w:val="24"/>
              </w:rPr>
              <m:t>f</m:t>
            </m:r>
            <m:r>
              <m:rPr>
                <m:sty m:val="p"/>
              </m:rPr>
              <w:rPr>
                <w:rFonts w:hint="default" w:ascii="Cambria Math" w:hAnsi="Cambria Math" w:cs="Cambria Math"/>
                <w:sz w:val="24"/>
              </w:rPr>
              <m:t>,</m:t>
            </m:r>
            <m:r>
              <m:rPr/>
              <w:rPr>
                <w:rFonts w:hint="default" w:ascii="Cambria Math" w:hAnsi="Cambria Math" w:cs="Cambria Math"/>
                <w:sz w:val="24"/>
              </w:rPr>
              <m:t>t</m:t>
            </m:r>
            <m:ctrlPr>
              <w:rPr>
                <w:rFonts w:hint="default" w:ascii="Cambria Math" w:hAnsi="Cambria Math" w:cs="Cambria Math"/>
                <w:sz w:val="24"/>
              </w:rPr>
            </m:ctrlPr>
          </m:sub>
        </m:sSub>
      </m:oMath>
      <w:r>
        <w:t xml:space="preserve"> </w:t>
      </w:r>
      <w:r>
        <w:rPr>
          <w:rFonts w:ascii="宋体" w:hAnsi="宋体" w:eastAsia="宋体" w:cs="宋体"/>
        </w:rPr>
        <w:t>为无风险利率，</w:t>
      </w:r>
      <m:oMath>
        <m:r>
          <m:rPr/>
          <w:rPr>
            <w:rFonts w:hint="default" w:ascii="Cambria Math" w:hAnsi="Cambria Math" w:cs="Cambria Math"/>
            <w:sz w:val="24"/>
          </w:rPr>
          <m:t>MKT</m:t>
        </m:r>
      </m:oMath>
      <w:r>
        <w:t>、</w:t>
      </w:r>
      <m:oMath>
        <m:r>
          <m:rPr/>
          <w:rPr>
            <w:rFonts w:hint="default" w:ascii="Cambria Math" w:hAnsi="Cambria Math" w:cs="Cambria Math"/>
            <w:sz w:val="24"/>
          </w:rPr>
          <m:t>SMB</m:t>
        </m:r>
      </m:oMath>
      <w:r>
        <w:t>、</w:t>
      </w:r>
      <m:oMath>
        <m:r>
          <m:rPr/>
          <w:rPr>
            <w:rFonts w:hint="default" w:ascii="Cambria Math" w:hAnsi="Cambria Math" w:cs="Cambria Math"/>
            <w:sz w:val="24"/>
          </w:rPr>
          <m:t>HML</m:t>
        </m:r>
      </m:oMath>
      <w:r>
        <w:t>、</w:t>
      </w:r>
      <m:oMath>
        <m:r>
          <m:rPr/>
          <w:rPr>
            <w:rFonts w:hint="default" w:ascii="Cambria Math" w:hAnsi="Cambria Math" w:cs="Cambria Math"/>
            <w:sz w:val="24"/>
          </w:rPr>
          <m:t>RMW</m:t>
        </m:r>
      </m:oMath>
      <w:r>
        <w:t>、</w:t>
      </w:r>
      <m:oMath>
        <m:r>
          <m:rPr/>
          <w:rPr>
            <w:rFonts w:hint="default" w:ascii="Cambria Math" w:hAnsi="Cambria Math" w:cs="Cambria Math"/>
            <w:sz w:val="24"/>
          </w:rPr>
          <m:t>CMA</m:t>
        </m:r>
      </m:oMath>
      <w:r>
        <w:t xml:space="preserve"> </w:t>
      </w:r>
      <w:r>
        <w:rPr>
          <w:rFonts w:ascii="宋体" w:hAnsi="宋体" w:eastAsia="宋体" w:cs="宋体"/>
        </w:rPr>
        <w:t>分别为市场、规模、价值、盈利与投资五个因子，</w:t>
      </w:r>
      <m:oMath>
        <m:sSub>
          <m:sSubPr>
            <m:ctrlPr>
              <w:rPr>
                <w:rFonts w:hint="default" w:ascii="Cambria Math" w:hAnsi="Cambria Math" w:cs="Cambria Math"/>
                <w:sz w:val="24"/>
              </w:rPr>
            </m:ctrlPr>
          </m:sSubPr>
          <m:e>
            <m:r>
              <m:rPr/>
              <w:rPr>
                <w:rFonts w:hint="default" w:ascii="Cambria Math" w:hAnsi="Cambria Math" w:cs="Cambria Math"/>
                <w:sz w:val="24"/>
              </w:rPr>
              <m:t>α</m:t>
            </m:r>
            <m:ctrlPr>
              <w:rPr>
                <w:rFonts w:hint="default" w:ascii="Cambria Math" w:hAnsi="Cambria Math" w:cs="Cambria Math"/>
                <w:sz w:val="24"/>
              </w:rPr>
            </m:ctrlPr>
          </m:e>
          <m:sub>
            <m:r>
              <m:rPr/>
              <w:rPr>
                <w:rFonts w:hint="default" w:ascii="Cambria Math" w:hAnsi="Cambria Math" w:cs="Cambria Math"/>
                <w:sz w:val="24"/>
              </w:rPr>
              <m:t>i</m:t>
            </m:r>
            <m:ctrlPr>
              <w:rPr>
                <w:rFonts w:hint="default" w:ascii="Cambria Math" w:hAnsi="Cambria Math" w:cs="Cambria Math"/>
                <w:sz w:val="24"/>
              </w:rPr>
            </m:ctrlPr>
          </m:sub>
        </m:sSub>
      </m:oMath>
      <w:r>
        <w:t xml:space="preserve"> </w:t>
      </w:r>
      <w:r>
        <w:rPr>
          <w:rFonts w:ascii="宋体" w:hAnsi="宋体" w:eastAsia="宋体" w:cs="宋体"/>
        </w:rPr>
        <w:t>即为剔除系统性风险暴露后的纯选股能力度量。五因子数据覆盖1995年至2026年的月度序列，因变量覆盖率97.2%。其结构性含义在于：该指标对每只基金是不随时间变化的常数，故以其为因变量的回归中，真正的独立样本是基金数而非观测数，标准误须按基金聚类，这直接催生了后文的三重识别策略。</w:t>
      </w:r>
    </w:p>
    <w:p w14:paraId="0EE062EA">
      <w:pPr>
        <w:pStyle w:val="3"/>
        <w:spacing w:before="0" w:after="0" w:line="360" w:lineRule="auto"/>
        <w:ind w:firstLine="480" w:firstLineChars="200"/>
        <w:jc w:val="both"/>
      </w:pPr>
      <w:r>
        <w:rPr>
          <w:rFonts w:ascii="宋体" w:hAnsi="宋体" w:eastAsia="宋体" w:cs="宋体"/>
        </w:rPr>
        <w:t>控制变量包括基金净资产的对数（控制规模效应）与年份固定效应（控制宏观与行情的共同冲击）。</w:t>
      </w:r>
    </w:p>
    <w:p w14:paraId="2228A32D">
      <w:pPr>
        <w:pStyle w:val="3"/>
        <w:spacing w:before="0" w:after="0" w:line="360" w:lineRule="auto"/>
        <w:ind w:firstLine="480" w:firstLineChars="200"/>
        <w:jc w:val="both"/>
      </w:pPr>
      <w:r>
        <w:rPr>
          <w:rFonts w:ascii="宋体" w:hAnsi="宋体" w:eastAsia="宋体" w:cs="宋体"/>
        </w:rPr>
        <w:t>模型设定方面，为应对单一回归可能遭受的质疑，本文并行采用三种互补的识别设计。截面基准设计将各基金的时间序列折叠为均值，在基金层面进行回归并采用异方差稳健标准误，以回应”数据挖掘假相关”的质疑；前向预测设计以当期指标预测未来收益，因变量严格滞后，以回应同期反向因果；组内固定效应设计引入基金与年份双向固定效应，仅利用同一基金自身时序变异，以回应”基金天生好、顺带指标高”的遗漏变量质疑。三种设计的显著性不必一致，不一致本身即构成发现，揭示各指标的作用时间尺度与条件。</w:t>
      </w:r>
    </w:p>
    <w:bookmarkEnd w:id="6"/>
    <w:bookmarkEnd w:id="13"/>
    <w:p w14:paraId="300CA7A2">
      <w:pPr>
        <w:pStyle w:val="2"/>
        <w:spacing w:before="260" w:after="260" w:line="240" w:lineRule="auto"/>
        <w:ind w:firstLine="0"/>
        <w:jc w:val="center"/>
        <w:rPr>
          <w:rFonts w:ascii="Times New Roman" w:eastAsia="黑体"/>
          <w:b/>
          <w:color w:val="000000"/>
          <w:sz w:val="32"/>
        </w:rPr>
      </w:pPr>
      <w:bookmarkStart w:id="14" w:name="四实证结果与分析"/>
      <w:r>
        <w:rPr>
          <w:rFonts w:ascii="Times New Roman" w:hAnsi="宋体" w:eastAsia="黑体" w:cs="宋体"/>
          <w:b/>
          <w:color w:val="000000"/>
          <w:sz w:val="32"/>
        </w:rPr>
        <w:t>四、实证结果与分析</w:t>
      </w:r>
    </w:p>
    <w:p w14:paraId="182FEADB">
      <w:pPr>
        <w:pStyle w:val="4"/>
        <w:spacing w:before="260" w:after="120" w:line="240" w:lineRule="auto"/>
        <w:ind w:firstLine="0"/>
        <w:jc w:val="left"/>
        <w:rPr>
          <w:rFonts w:ascii="Times New Roman" w:eastAsia="黑体"/>
          <w:b/>
          <w:color w:val="000000"/>
          <w:sz w:val="28"/>
        </w:rPr>
      </w:pPr>
      <w:bookmarkStart w:id="15" w:name="指标显著性的三重识别"/>
      <w:r>
        <w:rPr>
          <w:rFonts w:ascii="Times New Roman" w:eastAsia="黑体"/>
          <w:b/>
          <w:color w:val="000000"/>
          <w:sz w:val="28"/>
        </w:rPr>
        <w:t xml:space="preserve">4.1 </w:t>
      </w:r>
      <w:r>
        <w:rPr>
          <w:rFonts w:ascii="Times New Roman" w:hAnsi="宋体" w:eastAsia="黑体" w:cs="宋体"/>
          <w:b/>
          <w:color w:val="000000"/>
          <w:sz w:val="28"/>
        </w:rPr>
        <w:t>指标显著性的三重识别</w:t>
      </w:r>
    </w:p>
    <w:p w14:paraId="45A800EB">
      <w:pPr>
        <w:pStyle w:val="26"/>
        <w:spacing w:before="0" w:after="0" w:line="360" w:lineRule="auto"/>
        <w:ind w:firstLine="480" w:firstLineChars="200"/>
        <w:jc w:val="both"/>
      </w:pPr>
      <w:r>
        <w:rPr>
          <w:rFonts w:ascii="宋体" w:hAnsi="宋体" w:eastAsia="宋体" w:cs="宋体"/>
        </w:rPr>
        <w:t>表1报告了认知层三个指标在三重识别框架下的显著性矩阵。风险承担不对称是唯一在所有主要口径下均显著的指标：截面基准下t=4.82，组内固定效应下t=3.40，完整模型中经基金×年份双向聚类后t=3.57，Fama-MacBeth复算下t=2.18，日频独立子样本复验t=3.22，两千次截面Bootstrap的同向显著比例为97.6%，经幸存者偏差纠正后仍显著（t=2.50）。其前向格局呈现期限反转——四季窗口无预测力、一季窗口负显著——故本文将其如实定位为”持续性基金特征的条件性关联”，而非可交易的短期信号。</w:t>
      </w:r>
    </w:p>
    <w:p w14:paraId="1D9FFDDF">
      <w:pPr>
        <w:pStyle w:val="3"/>
        <w:spacing w:before="0" w:after="0" w:line="360" w:lineRule="auto"/>
        <w:ind w:firstLine="480" w:firstLineChars="200"/>
        <w:jc w:val="both"/>
      </w:pPr>
      <w:r>
        <w:rPr>
          <w:rFonts w:ascii="宋体" w:hAnsi="宋体" w:eastAsia="宋体" w:cs="宋体"/>
        </w:rPr>
        <w:t>处置效应的符号在三个识别维度下处处为负，但显著性集中于组内识别：同一只基金更果断止损的季度，当期业绩显著更高（t=−5.59，为全文最强的单个t值），并经幸存者偏差纠正与内部重估双重确认。前向两个窗口均不显著并非缺陷，而恰恰表明处置效应影响的是当期业绩，而非形成可持续一年的前瞻信号。其外推边界必须交代：估计样本限于有全持仓数据的正向选择子群（约46.6%），结论不宜延伸至全市场。</w:t>
      </w:r>
    </w:p>
    <w:p w14:paraId="7067E036">
      <w:pPr>
        <w:pStyle w:val="3"/>
        <w:spacing w:before="0" w:after="0" w:line="360" w:lineRule="auto"/>
        <w:ind w:firstLine="480" w:firstLineChars="200"/>
        <w:jc w:val="both"/>
      </w:pPr>
      <w:r>
        <w:rPr>
          <w:rFonts w:ascii="宋体" w:hAnsi="宋体" w:eastAsia="宋体" w:cs="宋体"/>
        </w:rPr>
        <w:t>羊群效应的唯一强结果（前向四季t=3.12）在其余几乎所有口径均不可复制：完整模型不显著（t=0.77），Fama-MacBeth不显著，Bootstrap同向比例仅6.8%，两阶段校正后方向不稳。幸存者偏差纠正进一步显示，清盘基金的羊群效应高达+0.41且业绩更差，并入后截面符号反转，表明该关联部分由样本选择驱动。据此，本文将羊群效应明确降级为选择敏感的描述性证据，不作核心稳健结论。</w:t>
      </w:r>
    </w:p>
    <w:p w14:paraId="3577B47A">
      <w:pPr>
        <w:pStyle w:val="3"/>
        <w:spacing w:before="0" w:after="0" w:line="360" w:lineRule="auto"/>
        <w:ind w:firstLine="482" w:firstLineChars="200"/>
        <w:jc w:val="both"/>
      </w:pPr>
      <w:r>
        <w:rPr>
          <w:rFonts w:ascii="宋体" w:hAnsi="宋体" w:eastAsia="宋体" w:cs="宋体"/>
          <w:b/>
          <w:bCs/>
        </w:rPr>
        <w:t>表2</w:t>
      </w:r>
      <w:r>
        <w:rPr>
          <w:b/>
          <w:bCs/>
        </w:rPr>
        <w:t>　</w:t>
      </w:r>
      <w:r>
        <w:rPr>
          <w:rFonts w:ascii="宋体" w:hAnsi="宋体" w:eastAsia="宋体" w:cs="宋体"/>
          <w:b/>
          <w:bCs/>
        </w:rPr>
        <w:t>认知层指标的三重识别显著性矩阵</w:t>
      </w:r>
    </w:p>
    <w:tbl>
      <w:tblPr>
        <w:tblStyle w:val="4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9"/>
        <w:gridCol w:w="879"/>
        <w:gridCol w:w="879"/>
        <w:gridCol w:w="879"/>
        <w:gridCol w:w="879"/>
        <w:gridCol w:w="879"/>
        <w:gridCol w:w="879"/>
        <w:gridCol w:w="879"/>
        <w:gridCol w:w="879"/>
      </w:tblGrid>
      <w:tr w14:paraId="485C2F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l2br w:val="nil"/>
              <w:tr2bl w:val="nil"/>
            </w:tcBorders>
            <w:vAlign w:val="center"/>
          </w:tcPr>
          <w:p w14:paraId="16681198">
            <w:pPr>
              <w:pStyle w:val="27"/>
              <w:spacing w:before="60" w:after="60" w:line="240" w:lineRule="auto"/>
              <w:ind w:firstLine="0"/>
              <w:jc w:val="center"/>
              <w:rPr>
                <w:b/>
                <w:color w:val="000000"/>
                <w:sz w:val="21"/>
              </w:rPr>
            </w:pPr>
            <w:r>
              <w:rPr>
                <w:rFonts w:ascii="宋体" w:hAnsi="宋体" w:eastAsia="宋体" w:cs="宋体"/>
                <w:b/>
                <w:color w:val="000000"/>
                <w:sz w:val="21"/>
              </w:rPr>
              <w:t>指标</w:t>
            </w:r>
          </w:p>
        </w:tc>
        <w:tc>
          <w:tcPr>
            <w:tcBorders>
              <w:bottom w:val="single" w:color="auto" w:sz="6" w:space="0"/>
              <w:tl2br w:val="nil"/>
              <w:tr2bl w:val="nil"/>
            </w:tcBorders>
            <w:vAlign w:val="center"/>
          </w:tcPr>
          <w:p w14:paraId="23AF9EBB">
            <w:pPr>
              <w:pStyle w:val="27"/>
              <w:spacing w:before="60" w:after="60" w:line="240" w:lineRule="auto"/>
              <w:ind w:firstLine="0"/>
              <w:jc w:val="center"/>
              <w:rPr>
                <w:b/>
                <w:color w:val="000000"/>
                <w:sz w:val="21"/>
              </w:rPr>
            </w:pPr>
            <w:r>
              <w:rPr>
                <w:rFonts w:ascii="宋体" w:hAnsi="宋体" w:eastAsia="宋体" w:cs="宋体"/>
                <w:b/>
                <w:color w:val="000000"/>
                <w:sz w:val="21"/>
              </w:rPr>
              <w:t>截面基准</w:t>
            </w:r>
          </w:p>
        </w:tc>
        <w:tc>
          <w:tcPr>
            <w:tcBorders>
              <w:bottom w:val="single" w:color="auto" w:sz="6" w:space="0"/>
              <w:tl2br w:val="nil"/>
              <w:tr2bl w:val="nil"/>
            </w:tcBorders>
            <w:vAlign w:val="center"/>
          </w:tcPr>
          <w:p w14:paraId="32EB762C">
            <w:pPr>
              <w:pStyle w:val="27"/>
              <w:spacing w:before="60" w:after="60" w:line="240" w:lineRule="auto"/>
              <w:ind w:firstLine="0"/>
              <w:jc w:val="center"/>
              <w:rPr>
                <w:b/>
                <w:color w:val="000000"/>
                <w:sz w:val="21"/>
              </w:rPr>
            </w:pPr>
            <w:r>
              <w:rPr>
                <w:rFonts w:ascii="宋体" w:hAnsi="宋体" w:eastAsia="宋体" w:cs="宋体"/>
                <w:b/>
                <w:color w:val="000000"/>
                <w:sz w:val="21"/>
              </w:rPr>
              <w:t>前向四季</w:t>
            </w:r>
          </w:p>
        </w:tc>
        <w:tc>
          <w:tcPr>
            <w:tcBorders>
              <w:bottom w:val="single" w:color="auto" w:sz="6" w:space="0"/>
              <w:tl2br w:val="nil"/>
              <w:tr2bl w:val="nil"/>
            </w:tcBorders>
            <w:vAlign w:val="center"/>
          </w:tcPr>
          <w:p w14:paraId="465DFDF2">
            <w:pPr>
              <w:pStyle w:val="27"/>
              <w:spacing w:before="60" w:after="60" w:line="240" w:lineRule="auto"/>
              <w:ind w:firstLine="0"/>
              <w:jc w:val="center"/>
              <w:rPr>
                <w:b/>
                <w:color w:val="000000"/>
                <w:sz w:val="21"/>
              </w:rPr>
            </w:pPr>
            <w:r>
              <w:rPr>
                <w:rFonts w:ascii="宋体" w:hAnsi="宋体" w:eastAsia="宋体" w:cs="宋体"/>
                <w:b/>
                <w:color w:val="000000"/>
                <w:sz w:val="21"/>
              </w:rPr>
              <w:t>前向一季</w:t>
            </w:r>
          </w:p>
        </w:tc>
        <w:tc>
          <w:tcPr>
            <w:tcBorders>
              <w:bottom w:val="single" w:color="auto" w:sz="6" w:space="0"/>
              <w:tl2br w:val="nil"/>
              <w:tr2bl w:val="nil"/>
            </w:tcBorders>
            <w:vAlign w:val="center"/>
          </w:tcPr>
          <w:p w14:paraId="063C4A72">
            <w:pPr>
              <w:pStyle w:val="27"/>
              <w:spacing w:before="60" w:after="60" w:line="240" w:lineRule="auto"/>
              <w:ind w:firstLine="0"/>
              <w:jc w:val="center"/>
              <w:rPr>
                <w:b/>
                <w:color w:val="000000"/>
                <w:sz w:val="21"/>
              </w:rPr>
            </w:pPr>
            <w:r>
              <w:rPr>
                <w:rFonts w:ascii="宋体" w:hAnsi="宋体" w:eastAsia="宋体" w:cs="宋体"/>
                <w:b/>
                <w:color w:val="000000"/>
                <w:sz w:val="21"/>
              </w:rPr>
              <w:t>组内固定效应</w:t>
            </w:r>
          </w:p>
        </w:tc>
        <w:tc>
          <w:tcPr>
            <w:tcBorders>
              <w:bottom w:val="single" w:color="auto" w:sz="6" w:space="0"/>
              <w:tl2br w:val="nil"/>
              <w:tr2bl w:val="nil"/>
            </w:tcBorders>
            <w:vAlign w:val="center"/>
          </w:tcPr>
          <w:p w14:paraId="46A9B4DA">
            <w:pPr>
              <w:pStyle w:val="27"/>
              <w:spacing w:before="60" w:after="60" w:line="240" w:lineRule="auto"/>
              <w:ind w:firstLine="0"/>
              <w:jc w:val="center"/>
              <w:rPr>
                <w:b/>
                <w:color w:val="000000"/>
                <w:sz w:val="21"/>
              </w:rPr>
            </w:pPr>
            <w:r>
              <w:rPr>
                <w:rFonts w:ascii="宋体" w:hAnsi="宋体" w:eastAsia="宋体" w:cs="宋体"/>
                <w:b/>
                <w:color w:val="000000"/>
                <w:sz w:val="21"/>
              </w:rPr>
              <w:t>完整模型（双向聚类）</w:t>
            </w:r>
          </w:p>
        </w:tc>
        <w:tc>
          <w:tcPr>
            <w:tcBorders>
              <w:bottom w:val="single" w:color="auto" w:sz="6" w:space="0"/>
              <w:tl2br w:val="nil"/>
              <w:tr2bl w:val="nil"/>
            </w:tcBorders>
            <w:vAlign w:val="center"/>
          </w:tcPr>
          <w:p w14:paraId="386B7D97">
            <w:pPr>
              <w:pStyle w:val="27"/>
              <w:spacing w:before="60" w:after="60" w:line="240" w:lineRule="auto"/>
              <w:ind w:firstLine="0"/>
              <w:jc w:val="center"/>
              <w:rPr>
                <w:b/>
                <w:color w:val="000000"/>
                <w:sz w:val="21"/>
              </w:rPr>
            </w:pPr>
            <w:r>
              <w:rPr>
                <w:b/>
                <w:color w:val="000000"/>
                <w:sz w:val="21"/>
              </w:rPr>
              <w:t>Fama-MacBeth</w:t>
            </w:r>
          </w:p>
        </w:tc>
        <w:tc>
          <w:tcPr>
            <w:tcBorders>
              <w:bottom w:val="single" w:color="auto" w:sz="6" w:space="0"/>
              <w:tl2br w:val="nil"/>
              <w:tr2bl w:val="nil"/>
            </w:tcBorders>
            <w:vAlign w:val="center"/>
          </w:tcPr>
          <w:p w14:paraId="67F5510B">
            <w:pPr>
              <w:pStyle w:val="27"/>
              <w:spacing w:before="60" w:after="60" w:line="240" w:lineRule="auto"/>
              <w:ind w:firstLine="0"/>
              <w:jc w:val="center"/>
              <w:rPr>
                <w:b/>
                <w:color w:val="000000"/>
                <w:sz w:val="21"/>
              </w:rPr>
            </w:pPr>
            <w:r>
              <w:rPr>
                <w:rFonts w:ascii="宋体" w:hAnsi="宋体" w:eastAsia="宋体" w:cs="宋体"/>
                <w:b/>
                <w:color w:val="000000"/>
                <w:sz w:val="21"/>
              </w:rPr>
              <w:t>Bootstrap同向率</w:t>
            </w:r>
          </w:p>
        </w:tc>
        <w:tc>
          <w:tcPr>
            <w:tcBorders>
              <w:bottom w:val="single" w:color="auto" w:sz="6" w:space="0"/>
              <w:tl2br w:val="nil"/>
              <w:tr2bl w:val="nil"/>
            </w:tcBorders>
            <w:vAlign w:val="center"/>
          </w:tcPr>
          <w:p w14:paraId="179066B4">
            <w:pPr>
              <w:pStyle w:val="27"/>
              <w:spacing w:before="60" w:after="60" w:line="240" w:lineRule="auto"/>
              <w:ind w:firstLine="0"/>
              <w:jc w:val="center"/>
              <w:rPr>
                <w:b/>
                <w:color w:val="000000"/>
                <w:sz w:val="21"/>
              </w:rPr>
            </w:pPr>
            <w:r>
              <w:rPr>
                <w:rFonts w:ascii="宋体" w:hAnsi="宋体" w:eastAsia="宋体" w:cs="宋体"/>
                <w:b/>
                <w:color w:val="000000"/>
                <w:sz w:val="21"/>
              </w:rPr>
              <w:t>证据分级</w:t>
            </w:r>
          </w:p>
        </w:tc>
      </w:tr>
      <w:tr w14:paraId="357187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6" w:space="0"/>
              <w:tl2br w:val="nil"/>
              <w:tr2bl w:val="nil"/>
            </w:tcBorders>
            <w:vAlign w:val="center"/>
          </w:tcPr>
          <w:p w14:paraId="79BF3B23">
            <w:pPr>
              <w:pStyle w:val="27"/>
              <w:spacing w:before="60" w:after="60" w:line="240" w:lineRule="auto"/>
              <w:ind w:firstLine="0"/>
              <w:rPr>
                <w:color w:val="000000"/>
                <w:sz w:val="21"/>
              </w:rPr>
            </w:pPr>
            <w:r>
              <w:rPr>
                <w:rFonts w:ascii="宋体" w:hAnsi="宋体" w:eastAsia="宋体" w:cs="宋体"/>
                <w:color w:val="000000"/>
                <w:sz w:val="21"/>
              </w:rPr>
              <w:t>风险承担不对称</w:t>
            </w:r>
          </w:p>
        </w:tc>
        <w:tc>
          <w:tcPr>
            <w:tcBorders>
              <w:top w:val="single" w:color="auto" w:sz="6" w:space="0"/>
              <w:tl2br w:val="nil"/>
              <w:tr2bl w:val="nil"/>
            </w:tcBorders>
            <w:vAlign w:val="center"/>
          </w:tcPr>
          <w:p w14:paraId="75225DEB">
            <w:pPr>
              <w:pStyle w:val="27"/>
              <w:spacing w:before="60" w:after="60" w:line="240" w:lineRule="auto"/>
              <w:ind w:firstLine="0"/>
              <w:rPr>
                <w:color w:val="000000"/>
                <w:sz w:val="21"/>
              </w:rPr>
            </w:pPr>
            <w:r>
              <w:rPr>
                <w:color w:val="000000"/>
                <w:sz w:val="21"/>
              </w:rPr>
              <w:t>t=4.82***</w:t>
            </w:r>
          </w:p>
        </w:tc>
        <w:tc>
          <w:tcPr>
            <w:tcBorders>
              <w:top w:val="single" w:color="auto" w:sz="6" w:space="0"/>
              <w:tl2br w:val="nil"/>
              <w:tr2bl w:val="nil"/>
            </w:tcBorders>
            <w:vAlign w:val="center"/>
          </w:tcPr>
          <w:p w14:paraId="420695E7">
            <w:pPr>
              <w:pStyle w:val="27"/>
              <w:spacing w:before="60" w:after="60" w:line="240" w:lineRule="auto"/>
              <w:ind w:firstLine="0"/>
              <w:rPr>
                <w:color w:val="000000"/>
                <w:sz w:val="21"/>
              </w:rPr>
            </w:pPr>
            <w:r>
              <w:rPr>
                <w:color w:val="000000"/>
                <w:sz w:val="21"/>
              </w:rPr>
              <w:t>t=−1.33</w:t>
            </w:r>
          </w:p>
        </w:tc>
        <w:tc>
          <w:tcPr>
            <w:tcBorders>
              <w:top w:val="single" w:color="auto" w:sz="6" w:space="0"/>
              <w:tl2br w:val="nil"/>
              <w:tr2bl w:val="nil"/>
            </w:tcBorders>
            <w:vAlign w:val="center"/>
          </w:tcPr>
          <w:p w14:paraId="1E181412">
            <w:pPr>
              <w:pStyle w:val="27"/>
              <w:spacing w:before="60" w:after="60" w:line="240" w:lineRule="auto"/>
              <w:ind w:firstLine="0"/>
              <w:rPr>
                <w:color w:val="000000"/>
                <w:sz w:val="21"/>
              </w:rPr>
            </w:pPr>
            <w:r>
              <w:rPr>
                <w:color w:val="000000"/>
                <w:sz w:val="21"/>
              </w:rPr>
              <w:t>t=−3.83***</w:t>
            </w:r>
          </w:p>
        </w:tc>
        <w:tc>
          <w:tcPr>
            <w:tcBorders>
              <w:top w:val="single" w:color="auto" w:sz="6" w:space="0"/>
              <w:tl2br w:val="nil"/>
              <w:tr2bl w:val="nil"/>
            </w:tcBorders>
            <w:vAlign w:val="center"/>
          </w:tcPr>
          <w:p w14:paraId="41D28816">
            <w:pPr>
              <w:pStyle w:val="27"/>
              <w:spacing w:before="60" w:after="60" w:line="240" w:lineRule="auto"/>
              <w:ind w:firstLine="0"/>
              <w:rPr>
                <w:color w:val="000000"/>
                <w:sz w:val="21"/>
              </w:rPr>
            </w:pPr>
            <w:r>
              <w:rPr>
                <w:color w:val="000000"/>
                <w:sz w:val="21"/>
              </w:rPr>
              <w:t>t=3.40***</w:t>
            </w:r>
          </w:p>
        </w:tc>
        <w:tc>
          <w:tcPr>
            <w:tcBorders>
              <w:top w:val="single" w:color="auto" w:sz="6" w:space="0"/>
              <w:tl2br w:val="nil"/>
              <w:tr2bl w:val="nil"/>
            </w:tcBorders>
            <w:vAlign w:val="center"/>
          </w:tcPr>
          <w:p w14:paraId="2E8BEEEA">
            <w:pPr>
              <w:pStyle w:val="27"/>
              <w:spacing w:before="60" w:after="60" w:line="240" w:lineRule="auto"/>
              <w:ind w:firstLine="0"/>
              <w:rPr>
                <w:color w:val="000000"/>
                <w:sz w:val="21"/>
              </w:rPr>
            </w:pPr>
            <w:r>
              <w:rPr>
                <w:color w:val="000000"/>
                <w:sz w:val="21"/>
              </w:rPr>
              <w:t>t=3.57***</w:t>
            </w:r>
          </w:p>
        </w:tc>
        <w:tc>
          <w:tcPr>
            <w:tcBorders>
              <w:top w:val="single" w:color="auto" w:sz="6" w:space="0"/>
              <w:tl2br w:val="nil"/>
              <w:tr2bl w:val="nil"/>
            </w:tcBorders>
            <w:vAlign w:val="center"/>
          </w:tcPr>
          <w:p w14:paraId="738EB2C0">
            <w:pPr>
              <w:pStyle w:val="27"/>
              <w:spacing w:before="60" w:after="60" w:line="240" w:lineRule="auto"/>
              <w:ind w:firstLine="0"/>
              <w:rPr>
                <w:color w:val="000000"/>
                <w:sz w:val="21"/>
              </w:rPr>
            </w:pPr>
            <w:r>
              <w:rPr>
                <w:color w:val="000000"/>
                <w:sz w:val="21"/>
              </w:rPr>
              <w:t>t=2.18**</w:t>
            </w:r>
          </w:p>
        </w:tc>
        <w:tc>
          <w:tcPr>
            <w:tcBorders>
              <w:top w:val="single" w:color="auto" w:sz="6" w:space="0"/>
              <w:tl2br w:val="nil"/>
              <w:tr2bl w:val="nil"/>
            </w:tcBorders>
            <w:vAlign w:val="center"/>
          </w:tcPr>
          <w:p w14:paraId="66051794">
            <w:pPr>
              <w:pStyle w:val="27"/>
              <w:spacing w:before="60" w:after="60" w:line="240" w:lineRule="auto"/>
              <w:ind w:firstLine="0"/>
              <w:rPr>
                <w:color w:val="000000"/>
                <w:sz w:val="21"/>
              </w:rPr>
            </w:pPr>
            <w:r>
              <w:rPr>
                <w:color w:val="000000"/>
                <w:sz w:val="21"/>
              </w:rPr>
              <w:t>97.6%</w:t>
            </w:r>
          </w:p>
        </w:tc>
        <w:tc>
          <w:tcPr>
            <w:tcBorders>
              <w:top w:val="single" w:color="auto" w:sz="6" w:space="0"/>
              <w:tl2br w:val="nil"/>
              <w:tr2bl w:val="nil"/>
            </w:tcBorders>
            <w:vAlign w:val="center"/>
          </w:tcPr>
          <w:p w14:paraId="6DAF9223">
            <w:pPr>
              <w:pStyle w:val="27"/>
              <w:spacing w:before="60" w:after="60" w:line="240" w:lineRule="auto"/>
              <w:ind w:firstLine="0"/>
              <w:rPr>
                <w:color w:val="000000"/>
                <w:sz w:val="21"/>
              </w:rPr>
            </w:pPr>
            <w:r>
              <w:rPr>
                <w:color w:val="000000"/>
                <w:sz w:val="21"/>
              </w:rPr>
              <w:t>A</w:t>
            </w:r>
          </w:p>
        </w:tc>
      </w:tr>
      <w:tr w14:paraId="41EE35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9C093A0">
            <w:pPr>
              <w:pStyle w:val="27"/>
              <w:spacing w:before="60" w:after="60" w:line="240" w:lineRule="auto"/>
              <w:ind w:firstLine="0"/>
              <w:rPr>
                <w:color w:val="000000"/>
                <w:sz w:val="21"/>
              </w:rPr>
            </w:pPr>
            <w:r>
              <w:rPr>
                <w:rFonts w:ascii="宋体" w:hAnsi="宋体" w:eastAsia="宋体" w:cs="宋体"/>
                <w:color w:val="000000"/>
                <w:sz w:val="21"/>
              </w:rPr>
              <w:t>处置效应</w:t>
            </w:r>
          </w:p>
        </w:tc>
        <w:tc>
          <w:tcPr>
            <w:tcBorders>
              <w:tl2br w:val="nil"/>
              <w:tr2bl w:val="nil"/>
            </w:tcBorders>
            <w:vAlign w:val="center"/>
          </w:tcPr>
          <w:p w14:paraId="4506971A">
            <w:pPr>
              <w:pStyle w:val="27"/>
              <w:spacing w:before="60" w:after="60" w:line="240" w:lineRule="auto"/>
              <w:ind w:firstLine="0"/>
              <w:rPr>
                <w:color w:val="000000"/>
                <w:sz w:val="21"/>
              </w:rPr>
            </w:pPr>
            <w:r>
              <w:rPr>
                <w:color w:val="000000"/>
                <w:sz w:val="21"/>
              </w:rPr>
              <w:t>t=−2.51**</w:t>
            </w:r>
          </w:p>
        </w:tc>
        <w:tc>
          <w:tcPr>
            <w:tcBorders>
              <w:tl2br w:val="nil"/>
              <w:tr2bl w:val="nil"/>
            </w:tcBorders>
            <w:vAlign w:val="center"/>
          </w:tcPr>
          <w:p w14:paraId="40FB5020">
            <w:pPr>
              <w:pStyle w:val="27"/>
              <w:spacing w:before="60" w:after="60" w:line="240" w:lineRule="auto"/>
              <w:ind w:firstLine="0"/>
              <w:rPr>
                <w:color w:val="000000"/>
                <w:sz w:val="21"/>
              </w:rPr>
            </w:pPr>
            <w:r>
              <w:rPr>
                <w:color w:val="000000"/>
                <w:sz w:val="21"/>
              </w:rPr>
              <w:t>t=+0.78</w:t>
            </w:r>
          </w:p>
        </w:tc>
        <w:tc>
          <w:tcPr>
            <w:tcBorders>
              <w:tl2br w:val="nil"/>
              <w:tr2bl w:val="nil"/>
            </w:tcBorders>
            <w:vAlign w:val="center"/>
          </w:tcPr>
          <w:p w14:paraId="150D1ABD">
            <w:pPr>
              <w:pStyle w:val="27"/>
              <w:spacing w:before="60" w:after="60" w:line="240" w:lineRule="auto"/>
              <w:ind w:firstLine="0"/>
              <w:rPr>
                <w:color w:val="000000"/>
                <w:sz w:val="21"/>
              </w:rPr>
            </w:pPr>
            <w:r>
              <w:rPr>
                <w:color w:val="000000"/>
                <w:sz w:val="21"/>
              </w:rPr>
              <w:t>t=−0.69</w:t>
            </w:r>
          </w:p>
        </w:tc>
        <w:tc>
          <w:tcPr>
            <w:tcBorders>
              <w:tl2br w:val="nil"/>
              <w:tr2bl w:val="nil"/>
            </w:tcBorders>
            <w:vAlign w:val="center"/>
          </w:tcPr>
          <w:p w14:paraId="272C09FB">
            <w:pPr>
              <w:pStyle w:val="27"/>
              <w:spacing w:before="60" w:after="60" w:line="240" w:lineRule="auto"/>
              <w:ind w:firstLine="0"/>
              <w:rPr>
                <w:color w:val="000000"/>
                <w:sz w:val="21"/>
              </w:rPr>
            </w:pPr>
            <w:r>
              <w:rPr>
                <w:color w:val="000000"/>
                <w:sz w:val="21"/>
              </w:rPr>
              <w:t>t=−5.59***</w:t>
            </w:r>
          </w:p>
        </w:tc>
        <w:tc>
          <w:tcPr>
            <w:tcBorders>
              <w:tl2br w:val="nil"/>
              <w:tr2bl w:val="nil"/>
            </w:tcBorders>
            <w:vAlign w:val="center"/>
          </w:tcPr>
          <w:p w14:paraId="7AAC46E9">
            <w:pPr>
              <w:pStyle w:val="27"/>
              <w:spacing w:before="60" w:after="60" w:line="240" w:lineRule="auto"/>
              <w:ind w:firstLine="0"/>
              <w:rPr>
                <w:color w:val="000000"/>
                <w:sz w:val="21"/>
              </w:rPr>
            </w:pPr>
            <w:r>
              <w:rPr>
                <w:color w:val="000000"/>
                <w:sz w:val="21"/>
              </w:rPr>
              <w:t>t=−2.99***</w:t>
            </w:r>
          </w:p>
        </w:tc>
        <w:tc>
          <w:tcPr>
            <w:tcBorders>
              <w:tl2br w:val="nil"/>
              <w:tr2bl w:val="nil"/>
            </w:tcBorders>
            <w:vAlign w:val="center"/>
          </w:tcPr>
          <w:p w14:paraId="4E88CF21">
            <w:pPr>
              <w:pStyle w:val="27"/>
              <w:spacing w:before="60" w:after="60" w:line="240" w:lineRule="auto"/>
              <w:ind w:firstLine="0"/>
              <w:rPr>
                <w:color w:val="000000"/>
                <w:sz w:val="21"/>
              </w:rPr>
            </w:pPr>
            <w:r>
              <w:rPr>
                <w:rFonts w:ascii="宋体" w:hAnsi="宋体" w:eastAsia="宋体" w:cs="宋体"/>
                <w:color w:val="000000"/>
                <w:sz w:val="21"/>
              </w:rPr>
              <w:t>不显著</w:t>
            </w:r>
          </w:p>
        </w:tc>
        <w:tc>
          <w:tcPr>
            <w:tcBorders>
              <w:tl2br w:val="nil"/>
              <w:tr2bl w:val="nil"/>
            </w:tcBorders>
            <w:vAlign w:val="center"/>
          </w:tcPr>
          <w:p w14:paraId="157D3E07">
            <w:pPr>
              <w:pStyle w:val="27"/>
              <w:spacing w:before="60" w:after="60" w:line="240" w:lineRule="auto"/>
              <w:ind w:firstLine="0"/>
              <w:rPr>
                <w:color w:val="000000"/>
                <w:sz w:val="21"/>
              </w:rPr>
            </w:pPr>
            <w:r>
              <w:rPr>
                <w:rFonts w:ascii="宋体" w:hAnsi="宋体" w:eastAsia="宋体" w:cs="宋体"/>
                <w:color w:val="000000"/>
                <w:sz w:val="21"/>
              </w:rPr>
              <w:t>42.0%（符号全负）</w:t>
            </w:r>
          </w:p>
        </w:tc>
        <w:tc>
          <w:tcPr>
            <w:tcBorders>
              <w:tl2br w:val="nil"/>
              <w:tr2bl w:val="nil"/>
            </w:tcBorders>
            <w:vAlign w:val="center"/>
          </w:tcPr>
          <w:p w14:paraId="3BE7497C">
            <w:pPr>
              <w:pStyle w:val="27"/>
              <w:spacing w:before="60" w:after="60" w:line="240" w:lineRule="auto"/>
              <w:ind w:firstLine="0"/>
              <w:rPr>
                <w:color w:val="000000"/>
                <w:sz w:val="21"/>
              </w:rPr>
            </w:pPr>
            <w:r>
              <w:rPr>
                <w:rFonts w:ascii="宋体" w:hAnsi="宋体" w:eastAsia="宋体" w:cs="宋体"/>
                <w:color w:val="000000"/>
                <w:sz w:val="21"/>
              </w:rPr>
              <w:t>A（限组内）</w:t>
            </w:r>
          </w:p>
        </w:tc>
      </w:tr>
      <w:tr w14:paraId="686D96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5D0A24DF">
            <w:pPr>
              <w:pStyle w:val="27"/>
              <w:spacing w:before="60" w:after="60" w:line="240" w:lineRule="auto"/>
              <w:ind w:firstLine="0"/>
              <w:rPr>
                <w:color w:val="000000"/>
                <w:sz w:val="21"/>
              </w:rPr>
            </w:pPr>
            <w:r>
              <w:rPr>
                <w:rFonts w:ascii="宋体" w:hAnsi="宋体" w:eastAsia="宋体" w:cs="宋体"/>
                <w:color w:val="000000"/>
                <w:sz w:val="21"/>
              </w:rPr>
              <w:t>羊群效应</w:t>
            </w:r>
          </w:p>
        </w:tc>
        <w:tc>
          <w:tcPr>
            <w:tcBorders>
              <w:tl2br w:val="nil"/>
              <w:tr2bl w:val="nil"/>
            </w:tcBorders>
            <w:vAlign w:val="center"/>
          </w:tcPr>
          <w:p w14:paraId="2EDF5DC7">
            <w:pPr>
              <w:pStyle w:val="27"/>
              <w:spacing w:before="60" w:after="60" w:line="240" w:lineRule="auto"/>
              <w:ind w:firstLine="0"/>
              <w:rPr>
                <w:color w:val="000000"/>
                <w:sz w:val="21"/>
              </w:rPr>
            </w:pPr>
            <w:r>
              <w:rPr>
                <w:color w:val="000000"/>
                <w:sz w:val="21"/>
              </w:rPr>
              <w:t>t=−0.98</w:t>
            </w:r>
          </w:p>
        </w:tc>
        <w:tc>
          <w:tcPr>
            <w:tcBorders>
              <w:tl2br w:val="nil"/>
              <w:tr2bl w:val="nil"/>
            </w:tcBorders>
            <w:vAlign w:val="center"/>
          </w:tcPr>
          <w:p w14:paraId="0152016B">
            <w:pPr>
              <w:pStyle w:val="27"/>
              <w:spacing w:before="60" w:after="60" w:line="240" w:lineRule="auto"/>
              <w:ind w:firstLine="0"/>
              <w:rPr>
                <w:color w:val="000000"/>
                <w:sz w:val="21"/>
              </w:rPr>
            </w:pPr>
            <w:r>
              <w:rPr>
                <w:color w:val="000000"/>
                <w:sz w:val="21"/>
              </w:rPr>
              <w:t>t=3.12***</w:t>
            </w:r>
          </w:p>
        </w:tc>
        <w:tc>
          <w:tcPr>
            <w:tcBorders>
              <w:tl2br w:val="nil"/>
              <w:tr2bl w:val="nil"/>
            </w:tcBorders>
            <w:vAlign w:val="center"/>
          </w:tcPr>
          <w:p w14:paraId="4D9D5803">
            <w:pPr>
              <w:pStyle w:val="27"/>
              <w:spacing w:before="60" w:after="60" w:line="240" w:lineRule="auto"/>
              <w:ind w:firstLine="0"/>
              <w:rPr>
                <w:color w:val="000000"/>
                <w:sz w:val="21"/>
              </w:rPr>
            </w:pPr>
            <w:r>
              <w:rPr>
                <w:color w:val="000000"/>
                <w:sz w:val="21"/>
              </w:rPr>
              <w:t>t=1.39</w:t>
            </w:r>
          </w:p>
        </w:tc>
        <w:tc>
          <w:tcPr>
            <w:tcBorders>
              <w:tl2br w:val="nil"/>
              <w:tr2bl w:val="nil"/>
            </w:tcBorders>
            <w:vAlign w:val="center"/>
          </w:tcPr>
          <w:p w14:paraId="5B912ACA">
            <w:pPr>
              <w:pStyle w:val="27"/>
              <w:spacing w:before="60" w:after="60" w:line="240" w:lineRule="auto"/>
              <w:ind w:firstLine="0"/>
              <w:rPr>
                <w:color w:val="000000"/>
                <w:sz w:val="21"/>
              </w:rPr>
            </w:pPr>
            <w:r>
              <w:rPr>
                <w:color w:val="000000"/>
                <w:sz w:val="21"/>
              </w:rPr>
              <w:t>t=2.44**</w:t>
            </w:r>
          </w:p>
        </w:tc>
        <w:tc>
          <w:tcPr>
            <w:tcBorders>
              <w:tl2br w:val="nil"/>
              <w:tr2bl w:val="nil"/>
            </w:tcBorders>
            <w:vAlign w:val="center"/>
          </w:tcPr>
          <w:p w14:paraId="23FD8B2D">
            <w:pPr>
              <w:pStyle w:val="27"/>
              <w:spacing w:before="60" w:after="60" w:line="240" w:lineRule="auto"/>
              <w:ind w:firstLine="0"/>
              <w:rPr>
                <w:color w:val="000000"/>
                <w:sz w:val="21"/>
              </w:rPr>
            </w:pPr>
            <w:r>
              <w:rPr>
                <w:color w:val="000000"/>
                <w:sz w:val="21"/>
              </w:rPr>
              <w:t>t=0.77</w:t>
            </w:r>
          </w:p>
        </w:tc>
        <w:tc>
          <w:tcPr>
            <w:tcBorders>
              <w:tl2br w:val="nil"/>
              <w:tr2bl w:val="nil"/>
            </w:tcBorders>
            <w:vAlign w:val="center"/>
          </w:tcPr>
          <w:p w14:paraId="643F2EA8">
            <w:pPr>
              <w:pStyle w:val="27"/>
              <w:spacing w:before="60" w:after="60" w:line="240" w:lineRule="auto"/>
              <w:ind w:firstLine="0"/>
              <w:rPr>
                <w:color w:val="000000"/>
                <w:sz w:val="21"/>
              </w:rPr>
            </w:pPr>
            <w:r>
              <w:rPr>
                <w:color w:val="000000"/>
                <w:sz w:val="21"/>
              </w:rPr>
              <w:t>t=0.27</w:t>
            </w:r>
          </w:p>
        </w:tc>
        <w:tc>
          <w:tcPr>
            <w:tcBorders>
              <w:tl2br w:val="nil"/>
              <w:tr2bl w:val="nil"/>
            </w:tcBorders>
            <w:vAlign w:val="center"/>
          </w:tcPr>
          <w:p w14:paraId="325AD712">
            <w:pPr>
              <w:pStyle w:val="27"/>
              <w:spacing w:before="60" w:after="60" w:line="240" w:lineRule="auto"/>
              <w:ind w:firstLine="0"/>
              <w:rPr>
                <w:color w:val="000000"/>
                <w:sz w:val="21"/>
              </w:rPr>
            </w:pPr>
            <w:r>
              <w:rPr>
                <w:color w:val="000000"/>
                <w:sz w:val="21"/>
              </w:rPr>
              <w:t>6.8%</w:t>
            </w:r>
          </w:p>
        </w:tc>
        <w:tc>
          <w:tcPr>
            <w:tcBorders>
              <w:tl2br w:val="nil"/>
              <w:tr2bl w:val="nil"/>
            </w:tcBorders>
            <w:vAlign w:val="center"/>
          </w:tcPr>
          <w:p w14:paraId="48405E83">
            <w:pPr>
              <w:pStyle w:val="27"/>
              <w:spacing w:before="60" w:after="60" w:line="240" w:lineRule="auto"/>
              <w:ind w:firstLine="0"/>
              <w:rPr>
                <w:color w:val="000000"/>
                <w:sz w:val="21"/>
              </w:rPr>
            </w:pPr>
            <w:r>
              <w:rPr>
                <w:color w:val="000000"/>
                <w:sz w:val="21"/>
              </w:rPr>
              <w:t>C</w:t>
            </w:r>
          </w:p>
        </w:tc>
      </w:tr>
    </w:tbl>
    <w:p w14:paraId="23E32E36">
      <w:pPr>
        <w:pStyle w:val="3"/>
        <w:spacing w:before="0" w:after="0" w:line="360" w:lineRule="auto"/>
        <w:ind w:firstLine="480" w:firstLineChars="200"/>
        <w:jc w:val="both"/>
      </w:pPr>
      <w:r>
        <w:rPr>
          <w:rFonts w:ascii="宋体" w:hAnsi="宋体" w:eastAsia="宋体" w:cs="宋体"/>
        </w:rPr>
        <w:t>在认知层之外的基本面、选择与执行风控三个行为层方面，完整模型（18个右侧变量，基金×年份双向聚类，N=2264）的结果显示：选择层的改进主动份额（t=−2.81）与行业集中度（t=3.74）显著，执行风控层的主动收益缺口波动（t=2.98）显著；而从业年限、换手率、风格漂移指数与收益波动率均不显著。共线性诊断显示13个行为变量的方差膨胀因子全部小于2，不存在方差膨胀威胁。层级显著性格局表明，决策内容与决策心理胜过决策者背景与交易频率，这为基金组合的配置提供了”应该看什么、不该看什么”的实证指引。</w:t>
      </w:r>
    </w:p>
    <w:bookmarkEnd w:id="15"/>
    <w:p w14:paraId="267D6A06">
      <w:pPr>
        <w:pStyle w:val="4"/>
        <w:spacing w:before="260" w:after="120" w:line="240" w:lineRule="auto"/>
        <w:ind w:firstLine="0"/>
        <w:jc w:val="left"/>
        <w:rPr>
          <w:rFonts w:ascii="Times New Roman" w:eastAsia="黑体"/>
          <w:b/>
          <w:color w:val="000000"/>
          <w:sz w:val="28"/>
        </w:rPr>
      </w:pPr>
      <w:bookmarkStart w:id="16" w:name="解释程度增量贡献效应量经济含义与能力定位"/>
      <w:r>
        <w:rPr>
          <w:rFonts w:ascii="Times New Roman" w:eastAsia="黑体"/>
          <w:b/>
          <w:color w:val="000000"/>
          <w:sz w:val="28"/>
        </w:rPr>
        <w:t xml:space="preserve">4.2 </w:t>
      </w:r>
      <w:r>
        <w:rPr>
          <w:rFonts w:ascii="Times New Roman" w:hAnsi="宋体" w:eastAsia="黑体" w:cs="宋体"/>
          <w:b/>
          <w:color w:val="000000"/>
          <w:sz w:val="28"/>
        </w:rPr>
        <w:t>解释程度：增量贡献、效应量、经济含义与能力定位</w:t>
      </w:r>
    </w:p>
    <w:p w14:paraId="36C35B34">
      <w:pPr>
        <w:pStyle w:val="26"/>
        <w:spacing w:before="0" w:after="0" w:line="360" w:lineRule="auto"/>
        <w:ind w:firstLine="480" w:firstLineChars="200"/>
        <w:jc w:val="both"/>
      </w:pPr>
      <w:r>
        <w:rPr>
          <w:rFonts w:ascii="宋体" w:hAnsi="宋体" w:eastAsia="宋体" w:cs="宋体"/>
        </w:rPr>
        <w:t>显著性仅回答”效应是否为零”，本节进一步量化”有多大、解释什么”。本文以四把尺子度量解释程度。</w:t>
      </w:r>
    </w:p>
    <w:p w14:paraId="0A03830C">
      <w:pPr>
        <w:pStyle w:val="3"/>
        <w:spacing w:before="0" w:after="0" w:line="360" w:lineRule="auto"/>
        <w:ind w:firstLine="480" w:firstLineChars="200"/>
        <w:jc w:val="both"/>
      </w:pPr>
      <w:r>
        <w:rPr>
          <w:rFonts w:ascii="宋体" w:hAnsi="宋体" w:eastAsia="宋体" w:cs="宋体"/>
        </w:rPr>
        <w:t>第一把尺子是增量R²。表3报告了M0至M4的嵌套增量回归结果。在剔除样本构成差异的同样本口径下，认知层在控制其余各层全部12个变量后仍贡献0.0224的增量R²，且这一”最后加入”的增量与”逐层加入”的增量完全相同——这是唯一一分不减的层。相比之下，执行风控层被吸收69.4%，基本面层被吸收53.2%。因此本文对认知层的主张不是”贡献最大”（层级排序实为选择层最大），而是”在控制全部可观测行为后仍具不可替代的独立信息增量”。这一结论以逆概率加权复检进一步确认，基于可观测特征的选择并不驱动核心结论。</w:t>
      </w:r>
    </w:p>
    <w:p w14:paraId="0B4B913A">
      <w:pPr>
        <w:pStyle w:val="3"/>
        <w:spacing w:before="0" w:after="0" w:line="360" w:lineRule="auto"/>
        <w:ind w:firstLine="482" w:firstLineChars="200"/>
        <w:jc w:val="both"/>
      </w:pPr>
      <w:r>
        <w:rPr>
          <w:rFonts w:ascii="宋体" w:hAnsi="宋体" w:eastAsia="宋体" w:cs="宋体"/>
          <w:b/>
          <w:bCs/>
        </w:rPr>
        <w:t>表3</w:t>
      </w:r>
      <w:r>
        <w:rPr>
          <w:b/>
          <w:bCs/>
        </w:rPr>
        <w:t>　</w:t>
      </w:r>
      <w:r>
        <w:rPr>
          <w:rFonts w:ascii="宋体" w:hAnsi="宋体" w:eastAsia="宋体" w:cs="宋体"/>
          <w:b/>
          <w:bCs/>
        </w:rPr>
        <w:t>嵌套增量回归与同样本分解</w:t>
      </w:r>
    </w:p>
    <w:tbl>
      <w:tblPr>
        <w:tblStyle w:val="4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1980"/>
        <w:gridCol w:w="1980"/>
        <w:gridCol w:w="1980"/>
      </w:tblGrid>
      <w:tr w14:paraId="1EEA3D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l2br w:val="nil"/>
              <w:tr2bl w:val="nil"/>
            </w:tcBorders>
            <w:vAlign w:val="center"/>
          </w:tcPr>
          <w:p w14:paraId="3D0C151E">
            <w:pPr>
              <w:pStyle w:val="27"/>
              <w:spacing w:before="60" w:after="60" w:line="240" w:lineRule="auto"/>
              <w:ind w:firstLine="0"/>
              <w:jc w:val="center"/>
              <w:rPr>
                <w:b/>
                <w:color w:val="000000"/>
                <w:sz w:val="21"/>
              </w:rPr>
            </w:pPr>
            <w:r>
              <w:rPr>
                <w:rFonts w:ascii="宋体" w:hAnsi="宋体" w:eastAsia="宋体" w:cs="宋体"/>
                <w:b/>
                <w:color w:val="000000"/>
                <w:sz w:val="21"/>
              </w:rPr>
              <w:t>模型</w:t>
            </w:r>
          </w:p>
        </w:tc>
        <w:tc>
          <w:tcPr>
            <w:tcBorders>
              <w:bottom w:val="single" w:color="auto" w:sz="6" w:space="0"/>
              <w:tl2br w:val="nil"/>
              <w:tr2bl w:val="nil"/>
            </w:tcBorders>
            <w:vAlign w:val="center"/>
          </w:tcPr>
          <w:p w14:paraId="6306902B">
            <w:pPr>
              <w:pStyle w:val="27"/>
              <w:spacing w:before="60" w:after="60" w:line="240" w:lineRule="auto"/>
              <w:ind w:firstLine="0"/>
              <w:jc w:val="center"/>
              <w:rPr>
                <w:b/>
                <w:color w:val="000000"/>
                <w:sz w:val="21"/>
              </w:rPr>
            </w:pPr>
            <w:r>
              <w:rPr>
                <w:rFonts w:ascii="宋体" w:hAnsi="宋体" w:eastAsia="宋体" w:cs="宋体"/>
                <w:b/>
                <w:color w:val="000000"/>
                <w:sz w:val="21"/>
              </w:rPr>
              <w:t>加入层</w:t>
            </w:r>
          </w:p>
        </w:tc>
        <w:tc>
          <w:tcPr>
            <w:tcBorders>
              <w:bottom w:val="single" w:color="auto" w:sz="6" w:space="0"/>
              <w:tl2br w:val="nil"/>
              <w:tr2bl w:val="nil"/>
            </w:tcBorders>
            <w:vAlign w:val="center"/>
          </w:tcPr>
          <w:p w14:paraId="5A4FA3F0">
            <w:pPr>
              <w:pStyle w:val="27"/>
              <w:spacing w:before="60" w:after="60" w:line="240" w:lineRule="auto"/>
              <w:ind w:firstLine="0"/>
              <w:jc w:val="center"/>
              <w:rPr>
                <w:b/>
                <w:color w:val="000000"/>
                <w:sz w:val="21"/>
              </w:rPr>
            </w:pPr>
            <w:r>
              <w:rPr>
                <w:rFonts w:ascii="宋体" w:hAnsi="宋体" w:eastAsia="宋体" w:cs="宋体"/>
                <w:b/>
                <w:color w:val="000000"/>
                <w:sz w:val="21"/>
              </w:rPr>
              <w:t>全样本R²</w:t>
            </w:r>
          </w:p>
        </w:tc>
        <w:tc>
          <w:tcPr>
            <w:tcBorders>
              <w:bottom w:val="single" w:color="auto" w:sz="6" w:space="0"/>
              <w:tl2br w:val="nil"/>
              <w:tr2bl w:val="nil"/>
            </w:tcBorders>
            <w:vAlign w:val="center"/>
          </w:tcPr>
          <w:p w14:paraId="7CABC818">
            <w:pPr>
              <w:pStyle w:val="27"/>
              <w:spacing w:before="60" w:after="60" w:line="240" w:lineRule="auto"/>
              <w:ind w:firstLine="0"/>
              <w:jc w:val="center"/>
              <w:rPr>
                <w:b/>
                <w:color w:val="000000"/>
                <w:sz w:val="21"/>
              </w:rPr>
            </w:pPr>
            <w:r>
              <w:rPr>
                <w:rFonts w:ascii="宋体" w:hAnsi="宋体" w:eastAsia="宋体" w:cs="宋体"/>
                <w:b/>
                <w:color w:val="000000"/>
                <w:sz w:val="21"/>
              </w:rPr>
              <w:t>同样本R²</w:t>
            </w:r>
          </w:p>
        </w:tc>
      </w:tr>
      <w:tr w14:paraId="725557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6" w:space="0"/>
              <w:tl2br w:val="nil"/>
              <w:tr2bl w:val="nil"/>
            </w:tcBorders>
            <w:vAlign w:val="center"/>
          </w:tcPr>
          <w:p w14:paraId="546A4708">
            <w:pPr>
              <w:pStyle w:val="27"/>
              <w:spacing w:before="60" w:after="60" w:line="240" w:lineRule="auto"/>
              <w:ind w:firstLine="0"/>
              <w:rPr>
                <w:color w:val="000000"/>
                <w:sz w:val="21"/>
              </w:rPr>
            </w:pPr>
            <w:r>
              <w:rPr>
                <w:color w:val="000000"/>
                <w:sz w:val="21"/>
              </w:rPr>
              <w:t>M0</w:t>
            </w:r>
          </w:p>
        </w:tc>
        <w:tc>
          <w:tcPr>
            <w:tcBorders>
              <w:top w:val="single" w:color="auto" w:sz="6" w:space="0"/>
              <w:tl2br w:val="nil"/>
              <w:tr2bl w:val="nil"/>
            </w:tcBorders>
            <w:vAlign w:val="center"/>
          </w:tcPr>
          <w:p w14:paraId="2D0FB19B">
            <w:pPr>
              <w:pStyle w:val="27"/>
              <w:spacing w:before="60" w:after="60" w:line="240" w:lineRule="auto"/>
              <w:ind w:firstLine="0"/>
              <w:rPr>
                <w:color w:val="000000"/>
                <w:sz w:val="21"/>
              </w:rPr>
            </w:pPr>
            <w:r>
              <w:rPr>
                <w:rFonts w:ascii="宋体" w:hAnsi="宋体" w:eastAsia="宋体" w:cs="宋体"/>
                <w:color w:val="000000"/>
                <w:sz w:val="21"/>
              </w:rPr>
              <w:t>控制变量与五因子</w:t>
            </w:r>
          </w:p>
        </w:tc>
        <w:tc>
          <w:tcPr>
            <w:tcBorders>
              <w:top w:val="single" w:color="auto" w:sz="6" w:space="0"/>
              <w:tl2br w:val="nil"/>
              <w:tr2bl w:val="nil"/>
            </w:tcBorders>
            <w:vAlign w:val="center"/>
          </w:tcPr>
          <w:p w14:paraId="3D438F26">
            <w:pPr>
              <w:pStyle w:val="27"/>
              <w:spacing w:before="60" w:after="60" w:line="240" w:lineRule="auto"/>
              <w:ind w:firstLine="0"/>
              <w:rPr>
                <w:color w:val="000000"/>
                <w:sz w:val="21"/>
              </w:rPr>
            </w:pPr>
            <w:r>
              <w:rPr>
                <w:color w:val="000000"/>
                <w:sz w:val="21"/>
              </w:rPr>
              <w:t>0.0154</w:t>
            </w:r>
          </w:p>
        </w:tc>
        <w:tc>
          <w:tcPr>
            <w:tcBorders>
              <w:top w:val="single" w:color="auto" w:sz="6" w:space="0"/>
              <w:tl2br w:val="nil"/>
              <w:tr2bl w:val="nil"/>
            </w:tcBorders>
            <w:vAlign w:val="center"/>
          </w:tcPr>
          <w:p w14:paraId="16AA8E67">
            <w:pPr>
              <w:pStyle w:val="27"/>
              <w:spacing w:before="60" w:after="60" w:line="240" w:lineRule="auto"/>
              <w:ind w:firstLine="0"/>
              <w:rPr>
                <w:color w:val="000000"/>
                <w:sz w:val="21"/>
              </w:rPr>
            </w:pPr>
            <w:r>
              <w:rPr>
                <w:color w:val="000000"/>
                <w:sz w:val="21"/>
              </w:rPr>
              <w:t>0.0103</w:t>
            </w:r>
          </w:p>
        </w:tc>
      </w:tr>
      <w:tr w14:paraId="70F89F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0CB4D365">
            <w:pPr>
              <w:pStyle w:val="27"/>
              <w:spacing w:before="60" w:after="60" w:line="240" w:lineRule="auto"/>
              <w:ind w:firstLine="0"/>
              <w:rPr>
                <w:color w:val="000000"/>
                <w:sz w:val="21"/>
              </w:rPr>
            </w:pPr>
            <w:r>
              <w:rPr>
                <w:color w:val="000000"/>
                <w:sz w:val="21"/>
              </w:rPr>
              <w:t>M1</w:t>
            </w:r>
          </w:p>
        </w:tc>
        <w:tc>
          <w:tcPr>
            <w:tcBorders>
              <w:tl2br w:val="nil"/>
              <w:tr2bl w:val="nil"/>
            </w:tcBorders>
            <w:vAlign w:val="center"/>
          </w:tcPr>
          <w:p w14:paraId="4AC0AB0F">
            <w:pPr>
              <w:pStyle w:val="27"/>
              <w:spacing w:before="60" w:after="60" w:line="240" w:lineRule="auto"/>
              <w:ind w:firstLine="0"/>
              <w:rPr>
                <w:color w:val="000000"/>
                <w:sz w:val="21"/>
              </w:rPr>
            </w:pPr>
            <w:r>
              <w:rPr>
                <w:rFonts w:ascii="宋体" w:hAnsi="宋体" w:eastAsia="宋体" w:cs="宋体"/>
                <w:color w:val="000000"/>
                <w:sz w:val="21"/>
              </w:rPr>
              <w:t>基本面层</w:t>
            </w:r>
          </w:p>
        </w:tc>
        <w:tc>
          <w:tcPr>
            <w:tcBorders>
              <w:tl2br w:val="nil"/>
              <w:tr2bl w:val="nil"/>
            </w:tcBorders>
            <w:vAlign w:val="center"/>
          </w:tcPr>
          <w:p w14:paraId="47AEAD2F">
            <w:pPr>
              <w:pStyle w:val="27"/>
              <w:spacing w:before="60" w:after="60" w:line="240" w:lineRule="auto"/>
              <w:ind w:firstLine="0"/>
              <w:rPr>
                <w:color w:val="000000"/>
                <w:sz w:val="21"/>
              </w:rPr>
            </w:pPr>
            <w:r>
              <w:rPr>
                <w:color w:val="000000"/>
                <w:sz w:val="21"/>
              </w:rPr>
              <w:t>0.0431</w:t>
            </w:r>
          </w:p>
        </w:tc>
        <w:tc>
          <w:tcPr>
            <w:tcBorders>
              <w:tl2br w:val="nil"/>
              <w:tr2bl w:val="nil"/>
            </w:tcBorders>
            <w:vAlign w:val="center"/>
          </w:tcPr>
          <w:p w14:paraId="6EF02B62">
            <w:pPr>
              <w:pStyle w:val="27"/>
              <w:spacing w:before="60" w:after="60" w:line="240" w:lineRule="auto"/>
              <w:ind w:firstLine="0"/>
              <w:rPr>
                <w:color w:val="000000"/>
                <w:sz w:val="21"/>
              </w:rPr>
            </w:pPr>
            <w:r>
              <w:rPr>
                <w:color w:val="000000"/>
                <w:sz w:val="21"/>
              </w:rPr>
              <w:t>—</w:t>
            </w:r>
          </w:p>
        </w:tc>
      </w:tr>
      <w:tr w14:paraId="741382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64CDB0D">
            <w:pPr>
              <w:pStyle w:val="27"/>
              <w:spacing w:before="60" w:after="60" w:line="240" w:lineRule="auto"/>
              <w:ind w:firstLine="0"/>
              <w:rPr>
                <w:color w:val="000000"/>
                <w:sz w:val="21"/>
              </w:rPr>
            </w:pPr>
            <w:r>
              <w:rPr>
                <w:color w:val="000000"/>
                <w:sz w:val="21"/>
              </w:rPr>
              <w:t>M2</w:t>
            </w:r>
          </w:p>
        </w:tc>
        <w:tc>
          <w:tcPr>
            <w:tcBorders>
              <w:tl2br w:val="nil"/>
              <w:tr2bl w:val="nil"/>
            </w:tcBorders>
            <w:vAlign w:val="center"/>
          </w:tcPr>
          <w:p w14:paraId="148E64B2">
            <w:pPr>
              <w:pStyle w:val="27"/>
              <w:spacing w:before="60" w:after="60" w:line="240" w:lineRule="auto"/>
              <w:ind w:firstLine="0"/>
              <w:rPr>
                <w:color w:val="000000"/>
                <w:sz w:val="21"/>
              </w:rPr>
            </w:pPr>
            <w:r>
              <w:rPr>
                <w:rFonts w:ascii="宋体" w:hAnsi="宋体" w:eastAsia="宋体" w:cs="宋体"/>
                <w:color w:val="000000"/>
                <w:sz w:val="21"/>
              </w:rPr>
              <w:t>选择层</w:t>
            </w:r>
          </w:p>
        </w:tc>
        <w:tc>
          <w:tcPr>
            <w:tcBorders>
              <w:tl2br w:val="nil"/>
              <w:tr2bl w:val="nil"/>
            </w:tcBorders>
            <w:vAlign w:val="center"/>
          </w:tcPr>
          <w:p w14:paraId="7D8131B1">
            <w:pPr>
              <w:pStyle w:val="27"/>
              <w:spacing w:before="60" w:after="60" w:line="240" w:lineRule="auto"/>
              <w:ind w:firstLine="0"/>
              <w:rPr>
                <w:color w:val="000000"/>
                <w:sz w:val="21"/>
              </w:rPr>
            </w:pPr>
            <w:r>
              <w:rPr>
                <w:color w:val="000000"/>
                <w:sz w:val="21"/>
              </w:rPr>
              <w:t>0.0873</w:t>
            </w:r>
          </w:p>
        </w:tc>
        <w:tc>
          <w:tcPr>
            <w:tcBorders>
              <w:tl2br w:val="nil"/>
              <w:tr2bl w:val="nil"/>
            </w:tcBorders>
            <w:vAlign w:val="center"/>
          </w:tcPr>
          <w:p w14:paraId="229A2ED8">
            <w:pPr>
              <w:pStyle w:val="27"/>
              <w:spacing w:before="60" w:after="60" w:line="240" w:lineRule="auto"/>
              <w:ind w:firstLine="0"/>
              <w:rPr>
                <w:color w:val="000000"/>
                <w:sz w:val="21"/>
              </w:rPr>
            </w:pPr>
            <w:r>
              <w:rPr>
                <w:color w:val="000000"/>
                <w:sz w:val="21"/>
              </w:rPr>
              <w:t>—</w:t>
            </w:r>
          </w:p>
        </w:tc>
      </w:tr>
      <w:tr w14:paraId="3ACD59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57689A4A">
            <w:pPr>
              <w:pStyle w:val="27"/>
              <w:spacing w:before="60" w:after="60" w:line="240" w:lineRule="auto"/>
              <w:ind w:firstLine="0"/>
              <w:rPr>
                <w:color w:val="000000"/>
                <w:sz w:val="21"/>
              </w:rPr>
            </w:pPr>
            <w:r>
              <w:rPr>
                <w:color w:val="000000"/>
                <w:sz w:val="21"/>
              </w:rPr>
              <w:t>M3</w:t>
            </w:r>
          </w:p>
        </w:tc>
        <w:tc>
          <w:tcPr>
            <w:tcBorders>
              <w:tl2br w:val="nil"/>
              <w:tr2bl w:val="nil"/>
            </w:tcBorders>
            <w:vAlign w:val="center"/>
          </w:tcPr>
          <w:p w14:paraId="3E0C2E8D">
            <w:pPr>
              <w:pStyle w:val="27"/>
              <w:spacing w:before="60" w:after="60" w:line="240" w:lineRule="auto"/>
              <w:ind w:firstLine="0"/>
              <w:rPr>
                <w:color w:val="000000"/>
                <w:sz w:val="21"/>
              </w:rPr>
            </w:pPr>
            <w:r>
              <w:rPr>
                <w:rFonts w:ascii="宋体" w:hAnsi="宋体" w:eastAsia="宋体" w:cs="宋体"/>
                <w:color w:val="000000"/>
                <w:sz w:val="21"/>
              </w:rPr>
              <w:t>执行风控层</w:t>
            </w:r>
          </w:p>
        </w:tc>
        <w:tc>
          <w:tcPr>
            <w:tcBorders>
              <w:tl2br w:val="nil"/>
              <w:tr2bl w:val="nil"/>
            </w:tcBorders>
            <w:vAlign w:val="center"/>
          </w:tcPr>
          <w:p w14:paraId="33986A86">
            <w:pPr>
              <w:pStyle w:val="27"/>
              <w:spacing w:before="60" w:after="60" w:line="240" w:lineRule="auto"/>
              <w:ind w:firstLine="0"/>
              <w:rPr>
                <w:color w:val="000000"/>
                <w:sz w:val="21"/>
              </w:rPr>
            </w:pPr>
            <w:r>
              <w:rPr>
                <w:color w:val="000000"/>
                <w:sz w:val="21"/>
              </w:rPr>
              <w:t>0.0938</w:t>
            </w:r>
          </w:p>
        </w:tc>
        <w:tc>
          <w:tcPr>
            <w:tcBorders>
              <w:tl2br w:val="nil"/>
              <w:tr2bl w:val="nil"/>
            </w:tcBorders>
            <w:vAlign w:val="center"/>
          </w:tcPr>
          <w:p w14:paraId="42D1558E">
            <w:pPr>
              <w:pStyle w:val="27"/>
              <w:spacing w:before="60" w:after="60" w:line="240" w:lineRule="auto"/>
              <w:ind w:firstLine="0"/>
              <w:rPr>
                <w:color w:val="000000"/>
                <w:sz w:val="21"/>
              </w:rPr>
            </w:pPr>
            <w:r>
              <w:rPr>
                <w:color w:val="000000"/>
                <w:sz w:val="21"/>
              </w:rPr>
              <w:t>0.1066</w:t>
            </w:r>
          </w:p>
        </w:tc>
      </w:tr>
      <w:tr w14:paraId="50D814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580CA0A0">
            <w:pPr>
              <w:pStyle w:val="27"/>
              <w:spacing w:before="60" w:after="60" w:line="240" w:lineRule="auto"/>
              <w:ind w:firstLine="0"/>
              <w:rPr>
                <w:color w:val="000000"/>
                <w:sz w:val="21"/>
              </w:rPr>
            </w:pPr>
            <w:r>
              <w:rPr>
                <w:color w:val="000000"/>
                <w:sz w:val="21"/>
              </w:rPr>
              <w:t>M4</w:t>
            </w:r>
          </w:p>
        </w:tc>
        <w:tc>
          <w:tcPr>
            <w:tcBorders>
              <w:tl2br w:val="nil"/>
              <w:tr2bl w:val="nil"/>
            </w:tcBorders>
            <w:vAlign w:val="center"/>
          </w:tcPr>
          <w:p w14:paraId="344E0E28">
            <w:pPr>
              <w:pStyle w:val="27"/>
              <w:spacing w:before="60" w:after="60" w:line="240" w:lineRule="auto"/>
              <w:ind w:firstLine="0"/>
              <w:rPr>
                <w:color w:val="000000"/>
                <w:sz w:val="21"/>
              </w:rPr>
            </w:pPr>
            <w:r>
              <w:rPr>
                <w:rFonts w:ascii="宋体" w:hAnsi="宋体" w:eastAsia="宋体" w:cs="宋体"/>
                <w:color w:val="000000"/>
                <w:sz w:val="21"/>
              </w:rPr>
              <w:t>认知层</w:t>
            </w:r>
          </w:p>
        </w:tc>
        <w:tc>
          <w:tcPr>
            <w:tcBorders>
              <w:tl2br w:val="nil"/>
              <w:tr2bl w:val="nil"/>
            </w:tcBorders>
            <w:vAlign w:val="center"/>
          </w:tcPr>
          <w:p w14:paraId="765C0C58">
            <w:pPr>
              <w:pStyle w:val="27"/>
              <w:spacing w:before="60" w:after="60" w:line="240" w:lineRule="auto"/>
              <w:ind w:firstLine="0"/>
              <w:rPr>
                <w:color w:val="000000"/>
                <w:sz w:val="21"/>
              </w:rPr>
            </w:pPr>
            <w:r>
              <w:rPr>
                <w:color w:val="000000"/>
                <w:sz w:val="21"/>
              </w:rPr>
              <w:t>0.1290</w:t>
            </w:r>
          </w:p>
        </w:tc>
        <w:tc>
          <w:tcPr>
            <w:tcBorders>
              <w:tl2br w:val="nil"/>
              <w:tr2bl w:val="nil"/>
            </w:tcBorders>
            <w:vAlign w:val="center"/>
          </w:tcPr>
          <w:p w14:paraId="5900DBAD">
            <w:pPr>
              <w:pStyle w:val="27"/>
              <w:spacing w:before="60" w:after="60" w:line="240" w:lineRule="auto"/>
              <w:ind w:firstLine="0"/>
              <w:rPr>
                <w:color w:val="000000"/>
                <w:sz w:val="21"/>
              </w:rPr>
            </w:pPr>
            <w:r>
              <w:rPr>
                <w:color w:val="000000"/>
                <w:sz w:val="21"/>
              </w:rPr>
              <w:t>0.1290</w:t>
            </w:r>
          </w:p>
        </w:tc>
      </w:tr>
      <w:tr w14:paraId="74BB3F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187CEFFE">
            <w:pPr>
              <w:pStyle w:val="27"/>
              <w:spacing w:before="60" w:after="60" w:line="240" w:lineRule="auto"/>
              <w:ind w:firstLine="0"/>
              <w:rPr>
                <w:color w:val="000000"/>
                <w:sz w:val="21"/>
              </w:rPr>
            </w:pPr>
            <w:r>
              <w:rPr>
                <w:color w:val="000000"/>
                <w:sz w:val="21"/>
              </w:rPr>
              <w:t>—</w:t>
            </w:r>
          </w:p>
        </w:tc>
        <w:tc>
          <w:tcPr>
            <w:tcBorders>
              <w:tl2br w:val="nil"/>
              <w:tr2bl w:val="nil"/>
            </w:tcBorders>
            <w:vAlign w:val="center"/>
          </w:tcPr>
          <w:p w14:paraId="4539437A">
            <w:pPr>
              <w:pStyle w:val="27"/>
              <w:spacing w:before="60" w:after="60" w:line="240" w:lineRule="auto"/>
              <w:ind w:firstLine="0"/>
              <w:rPr>
                <w:color w:val="000000"/>
                <w:sz w:val="21"/>
              </w:rPr>
            </w:pPr>
            <w:r>
              <w:rPr>
                <w:rFonts w:ascii="宋体" w:hAnsi="宋体" w:eastAsia="宋体" w:cs="宋体"/>
                <w:color w:val="000000"/>
                <w:sz w:val="21"/>
              </w:rPr>
              <w:t>认知层增量</w:t>
            </w:r>
          </w:p>
        </w:tc>
        <w:tc>
          <w:tcPr>
            <w:tcBorders>
              <w:tl2br w:val="nil"/>
              <w:tr2bl w:val="nil"/>
            </w:tcBorders>
            <w:vAlign w:val="center"/>
          </w:tcPr>
          <w:p w14:paraId="7A99A054">
            <w:pPr>
              <w:pStyle w:val="27"/>
              <w:spacing w:before="60" w:after="60" w:line="240" w:lineRule="auto"/>
              <w:ind w:firstLine="0"/>
              <w:rPr>
                <w:color w:val="000000"/>
                <w:sz w:val="21"/>
              </w:rPr>
            </w:pPr>
            <w:r>
              <w:rPr>
                <w:color w:val="000000"/>
                <w:sz w:val="21"/>
              </w:rPr>
              <w:t>0.0352</w:t>
            </w:r>
          </w:p>
        </w:tc>
        <w:tc>
          <w:tcPr>
            <w:tcBorders>
              <w:tl2br w:val="nil"/>
              <w:tr2bl w:val="nil"/>
            </w:tcBorders>
            <w:vAlign w:val="center"/>
          </w:tcPr>
          <w:p w14:paraId="5F02260C">
            <w:pPr>
              <w:pStyle w:val="27"/>
              <w:spacing w:before="60" w:after="60" w:line="240" w:lineRule="auto"/>
              <w:ind w:firstLine="0"/>
              <w:rPr>
                <w:color w:val="000000"/>
                <w:sz w:val="21"/>
              </w:rPr>
            </w:pPr>
            <w:r>
              <w:rPr>
                <w:color w:val="000000"/>
                <w:sz w:val="21"/>
              </w:rPr>
              <w:t>0.0224</w:t>
            </w:r>
          </w:p>
        </w:tc>
      </w:tr>
    </w:tbl>
    <w:p w14:paraId="19AEC92E">
      <w:pPr>
        <w:pStyle w:val="3"/>
        <w:spacing w:before="0" w:after="0" w:line="360" w:lineRule="auto"/>
        <w:ind w:firstLine="480" w:firstLineChars="200"/>
        <w:jc w:val="both"/>
      </w:pPr>
      <w:r>
        <w:rPr>
          <w:rFonts w:ascii="宋体" w:hAnsi="宋体" w:eastAsia="宋体" w:cs="宋体"/>
        </w:rPr>
        <w:t>第二把尺子是效应量与统计功效。认知层整体的Cohen效应量f²为0.080，属中等效应；其中风险承担不对称的f²为0.053、统计功效达100%，处置效应的f²为0.003、统计功效为64.8%。这一度量解释了表面矛盾：处置效应在部分子样本失去显著性的主因是功效不足（低于80%的常规阈值）而非效应不存在。</w:t>
      </w:r>
    </w:p>
    <w:p w14:paraId="01F3F28B">
      <w:pPr>
        <w:pStyle w:val="3"/>
        <w:spacing w:before="0" w:after="0" w:line="360" w:lineRule="auto"/>
        <w:ind w:firstLine="480" w:firstLineChars="200"/>
        <w:jc w:val="both"/>
      </w:pPr>
      <w:r>
        <w:rPr>
          <w:rFonts w:ascii="宋体" w:hAnsi="宋体" w:eastAsia="宋体" w:cs="宋体"/>
        </w:rPr>
        <w:t>第三把尺子是经济含义。在季度频率下，风险承担不对称每增加一个标准差对应选股α提高0.57个百分点，处置效应每增加一个标准差对应选股α下降0.10个百分点；在年度频率的能力分解样本上，量级更大，风险承担不对称每增加一个标准差对应选股α提高5.9至8.1个百分点。一个需要正确解读的现象是吸收效应：在完整模型中控制其余各层全部可观测行为后，风险承担不对称的系数由截面基准的0.290收缩至0.0731，缩水至约四分之一，表明部分”裸效应”经由其他可观测行为传导或共变，但缩量不归零且保持显著，0.0731是剔除共享方差后的独立效应。</w:t>
      </w:r>
    </w:p>
    <w:p w14:paraId="4A176FF3">
      <w:pPr>
        <w:pStyle w:val="3"/>
        <w:spacing w:before="0" w:after="0" w:line="360" w:lineRule="auto"/>
        <w:ind w:firstLine="480" w:firstLineChars="200"/>
        <w:jc w:val="both"/>
      </w:pPr>
      <w:r>
        <w:rPr>
          <w:rFonts w:ascii="宋体" w:hAnsi="宋体" w:eastAsia="宋体" w:cs="宋体"/>
        </w:rPr>
        <w:t>第四把尺子是能力定位。以Treynor-Mazuy与Henriksson-Merton两种口径将业绩拆分为选股α与择时贡献分别回归，结果显示认知层的解释力聚焦于选股维度：风险承担不对称对选股α的t值为5.12（四种设计下t值介于3.45至6.88），对择时贡献不显著；处置效应对选股α的t值为−3.03，对择时贡献不显著。对照变量则呈现清晰的维度分工——行业集中度只解释择时（t=2.78），主动收益缺口波动只解释选股（t=8.59）。这一”双分离”格局表明，认知层的能力解释力集中于选股质量。前向复验进一步确立分工：风险承担不对称对下一年选股α仍显著，处置效应无一年期前瞻持续性，故前者为前瞻预测因子，后者为组内准因果因子。</w:t>
      </w:r>
    </w:p>
    <w:bookmarkEnd w:id="16"/>
    <w:p w14:paraId="63A772E6">
      <w:pPr>
        <w:pStyle w:val="4"/>
        <w:spacing w:before="260" w:after="120" w:line="240" w:lineRule="auto"/>
        <w:ind w:firstLine="0"/>
        <w:jc w:val="left"/>
        <w:rPr>
          <w:rFonts w:ascii="Times New Roman" w:eastAsia="黑体"/>
          <w:b/>
          <w:color w:val="000000"/>
          <w:sz w:val="28"/>
        </w:rPr>
      </w:pPr>
      <w:bookmarkStart w:id="17" w:name="画像维度的资格审查"/>
      <w:r>
        <w:rPr>
          <w:rFonts w:ascii="Times New Roman" w:eastAsia="黑体"/>
          <w:b/>
          <w:color w:val="000000"/>
          <w:sz w:val="28"/>
        </w:rPr>
        <w:t xml:space="preserve">4.3 </w:t>
      </w:r>
      <w:r>
        <w:rPr>
          <w:rFonts w:ascii="Times New Roman" w:hAnsi="宋体" w:eastAsia="黑体" w:cs="宋体"/>
          <w:b/>
          <w:color w:val="000000"/>
          <w:sz w:val="28"/>
        </w:rPr>
        <w:t>画像维度的资格审查</w:t>
      </w:r>
    </w:p>
    <w:p w14:paraId="01711B18">
      <w:pPr>
        <w:pStyle w:val="26"/>
        <w:spacing w:before="0" w:after="0" w:line="360" w:lineRule="auto"/>
        <w:ind w:firstLine="480" w:firstLineChars="200"/>
        <w:jc w:val="both"/>
      </w:pPr>
      <w:r>
        <w:rPr>
          <w:rFonts w:ascii="宋体" w:hAnsi="宋体" w:eastAsia="宋体" w:cs="宋体"/>
        </w:rPr>
        <w:t>画像维度的确定不应依赖单一显著性口径，而应通过”显著性+解释力”的双门槛审查。显著性门槛要求指标至少在一个主要识别设计下稳健显著且经多重检验校正与置换检验不被推翻；解释力门槛要求效应量达到可检测水平且具备可辨的经济含义。两道门槛缺一不可——只有显著性而缺乏解释力的指标是统计噪音，只有解释力而缺乏显著性的指标无法排除偶然。</w:t>
      </w:r>
    </w:p>
    <w:p w14:paraId="339708CA">
      <w:pPr>
        <w:pStyle w:val="3"/>
        <w:spacing w:before="0" w:after="0" w:line="360" w:lineRule="auto"/>
        <w:ind w:firstLine="480" w:firstLineChars="200"/>
        <w:jc w:val="both"/>
      </w:pPr>
      <w:r>
        <w:rPr>
          <w:rFonts w:ascii="宋体" w:hAnsi="宋体" w:eastAsia="宋体" w:cs="宋体"/>
        </w:rPr>
        <w:t>表4汇总了逐变量的审查结果。风险承担不对称在三重识别下全显著、Bootstrap同向率97.6%、置换检验通过，且f²=0.053、功效100%、每标准差对应0.57个百分点，无条件通过审查，成为画像的核心前瞻维度。处置效应在组内识别下t=−5.59为全文最强、双向聚类下t=−2.99，通过审查，但因f²偏小（0.003）且估计限于约46.6%的子群，需附加边界条件，定位为辅助的组内准因果维度。羊群效应因主回归、Fama-MacBeth与Bootstrap全线不显著、效应量近零而不通过审查，降级为描述性背景参考。对照变量中，行业集中度（只解释择时）与主动收益缺口波动ARG（只解释选股）通过审查，可作为行为侧翼的备选维度；改进主动份额因方向为负需与理论解释配套而属有条件通过；其余不显著变量不进入画像。</w:t>
      </w:r>
    </w:p>
    <w:p w14:paraId="7CCDF9BF">
      <w:pPr>
        <w:pStyle w:val="3"/>
        <w:spacing w:before="0" w:after="0" w:line="360" w:lineRule="auto"/>
        <w:ind w:firstLine="482" w:firstLineChars="200"/>
        <w:jc w:val="both"/>
      </w:pPr>
      <w:r>
        <w:rPr>
          <w:rFonts w:ascii="宋体" w:hAnsi="宋体" w:eastAsia="宋体" w:cs="宋体"/>
          <w:b/>
          <w:bCs/>
        </w:rPr>
        <w:t>表4</w:t>
      </w:r>
      <w:r>
        <w:rPr>
          <w:b/>
          <w:bCs/>
        </w:rPr>
        <w:t>　</w:t>
      </w:r>
      <w:r>
        <w:rPr>
          <w:rFonts w:ascii="宋体" w:hAnsi="宋体" w:eastAsia="宋体" w:cs="宋体"/>
          <w:b/>
          <w:bCs/>
        </w:rPr>
        <w:t>画像维度资格审查</w:t>
      </w:r>
    </w:p>
    <w:tbl>
      <w:tblPr>
        <w:tblStyle w:val="4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0"/>
        <w:gridCol w:w="1980"/>
        <w:gridCol w:w="1980"/>
        <w:gridCol w:w="1980"/>
      </w:tblGrid>
      <w:tr w14:paraId="540FA2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l2br w:val="nil"/>
              <w:tr2bl w:val="nil"/>
            </w:tcBorders>
            <w:vAlign w:val="center"/>
          </w:tcPr>
          <w:p w14:paraId="1C10B893">
            <w:pPr>
              <w:pStyle w:val="27"/>
              <w:spacing w:before="60" w:after="60" w:line="240" w:lineRule="auto"/>
              <w:ind w:firstLine="0"/>
              <w:jc w:val="center"/>
              <w:rPr>
                <w:b/>
                <w:color w:val="000000"/>
                <w:sz w:val="21"/>
              </w:rPr>
            </w:pPr>
            <w:r>
              <w:rPr>
                <w:rFonts w:ascii="宋体" w:hAnsi="宋体" w:eastAsia="宋体" w:cs="宋体"/>
                <w:b/>
                <w:color w:val="000000"/>
                <w:sz w:val="21"/>
              </w:rPr>
              <w:t>变量</w:t>
            </w:r>
          </w:p>
        </w:tc>
        <w:tc>
          <w:tcPr>
            <w:tcBorders>
              <w:bottom w:val="single" w:color="auto" w:sz="6" w:space="0"/>
              <w:tl2br w:val="nil"/>
              <w:tr2bl w:val="nil"/>
            </w:tcBorders>
            <w:vAlign w:val="center"/>
          </w:tcPr>
          <w:p w14:paraId="7F769F0A">
            <w:pPr>
              <w:pStyle w:val="27"/>
              <w:spacing w:before="60" w:after="60" w:line="240" w:lineRule="auto"/>
              <w:ind w:firstLine="0"/>
              <w:jc w:val="center"/>
              <w:rPr>
                <w:b/>
                <w:color w:val="000000"/>
                <w:sz w:val="21"/>
              </w:rPr>
            </w:pPr>
            <w:r>
              <w:rPr>
                <w:rFonts w:ascii="宋体" w:hAnsi="宋体" w:eastAsia="宋体" w:cs="宋体"/>
                <w:b/>
                <w:color w:val="000000"/>
                <w:sz w:val="21"/>
              </w:rPr>
              <w:t>显著性门槛</w:t>
            </w:r>
          </w:p>
        </w:tc>
        <w:tc>
          <w:tcPr>
            <w:tcBorders>
              <w:bottom w:val="single" w:color="auto" w:sz="6" w:space="0"/>
              <w:tl2br w:val="nil"/>
              <w:tr2bl w:val="nil"/>
            </w:tcBorders>
            <w:vAlign w:val="center"/>
          </w:tcPr>
          <w:p w14:paraId="60F32C18">
            <w:pPr>
              <w:pStyle w:val="27"/>
              <w:spacing w:before="60" w:after="60" w:line="240" w:lineRule="auto"/>
              <w:ind w:firstLine="0"/>
              <w:jc w:val="center"/>
              <w:rPr>
                <w:b/>
                <w:color w:val="000000"/>
                <w:sz w:val="21"/>
              </w:rPr>
            </w:pPr>
            <w:r>
              <w:rPr>
                <w:rFonts w:ascii="宋体" w:hAnsi="宋体" w:eastAsia="宋体" w:cs="宋体"/>
                <w:b/>
                <w:color w:val="000000"/>
                <w:sz w:val="21"/>
              </w:rPr>
              <w:t>解释力门槛</w:t>
            </w:r>
          </w:p>
        </w:tc>
        <w:tc>
          <w:tcPr>
            <w:tcBorders>
              <w:bottom w:val="single" w:color="auto" w:sz="6" w:space="0"/>
              <w:tl2br w:val="nil"/>
              <w:tr2bl w:val="nil"/>
            </w:tcBorders>
            <w:vAlign w:val="center"/>
          </w:tcPr>
          <w:p w14:paraId="11E24C7F">
            <w:pPr>
              <w:pStyle w:val="27"/>
              <w:spacing w:before="60" w:after="60" w:line="240" w:lineRule="auto"/>
              <w:ind w:firstLine="0"/>
              <w:jc w:val="center"/>
              <w:rPr>
                <w:b/>
                <w:color w:val="000000"/>
                <w:sz w:val="21"/>
              </w:rPr>
            </w:pPr>
            <w:r>
              <w:rPr>
                <w:rFonts w:ascii="宋体" w:hAnsi="宋体" w:eastAsia="宋体" w:cs="宋体"/>
                <w:b/>
                <w:color w:val="000000"/>
                <w:sz w:val="21"/>
              </w:rPr>
              <w:t>结论</w:t>
            </w:r>
          </w:p>
        </w:tc>
      </w:tr>
      <w:tr w14:paraId="40370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6" w:space="0"/>
              <w:tl2br w:val="nil"/>
              <w:tr2bl w:val="nil"/>
            </w:tcBorders>
            <w:vAlign w:val="center"/>
          </w:tcPr>
          <w:p w14:paraId="5A918EAE">
            <w:pPr>
              <w:pStyle w:val="27"/>
              <w:spacing w:before="60" w:after="60" w:line="240" w:lineRule="auto"/>
              <w:ind w:firstLine="0"/>
              <w:rPr>
                <w:color w:val="000000"/>
                <w:sz w:val="21"/>
              </w:rPr>
            </w:pPr>
            <w:r>
              <w:rPr>
                <w:rFonts w:ascii="宋体" w:hAnsi="宋体" w:eastAsia="宋体" w:cs="宋体"/>
                <w:color w:val="000000"/>
                <w:sz w:val="21"/>
              </w:rPr>
              <w:t>风险承担不对称</w:t>
            </w:r>
          </w:p>
        </w:tc>
        <w:tc>
          <w:tcPr>
            <w:tcBorders>
              <w:top w:val="single" w:color="auto" w:sz="6" w:space="0"/>
              <w:tl2br w:val="nil"/>
              <w:tr2bl w:val="nil"/>
            </w:tcBorders>
            <w:vAlign w:val="center"/>
          </w:tcPr>
          <w:p w14:paraId="5FFD8A69">
            <w:pPr>
              <w:pStyle w:val="27"/>
              <w:spacing w:before="60" w:after="60" w:line="240" w:lineRule="auto"/>
              <w:ind w:firstLine="0"/>
              <w:rPr>
                <w:color w:val="000000"/>
                <w:sz w:val="21"/>
              </w:rPr>
            </w:pPr>
            <w:r>
              <w:rPr>
                <w:rFonts w:ascii="宋体" w:hAnsi="宋体" w:eastAsia="宋体" w:cs="宋体"/>
                <w:color w:val="000000"/>
                <w:sz w:val="21"/>
              </w:rPr>
              <w:t>三重识别全显著，Bootstrap97.6%</w:t>
            </w:r>
          </w:p>
        </w:tc>
        <w:tc>
          <w:tcPr>
            <w:tcBorders>
              <w:top w:val="single" w:color="auto" w:sz="6" w:space="0"/>
              <w:tl2br w:val="nil"/>
              <w:tr2bl w:val="nil"/>
            </w:tcBorders>
            <w:vAlign w:val="center"/>
          </w:tcPr>
          <w:p w14:paraId="511D5FCD">
            <w:pPr>
              <w:pStyle w:val="27"/>
              <w:spacing w:before="60" w:after="60" w:line="240" w:lineRule="auto"/>
              <w:ind w:firstLine="0"/>
              <w:rPr>
                <w:color w:val="000000"/>
                <w:sz w:val="21"/>
              </w:rPr>
            </w:pPr>
            <w:r>
              <w:rPr>
                <w:rFonts w:ascii="宋体" w:hAnsi="宋体" w:eastAsia="宋体" w:cs="宋体"/>
                <w:color w:val="000000"/>
                <w:sz w:val="21"/>
              </w:rPr>
              <w:t>f²=0.053，功效100%</w:t>
            </w:r>
          </w:p>
        </w:tc>
        <w:tc>
          <w:tcPr>
            <w:tcBorders>
              <w:top w:val="single" w:color="auto" w:sz="6" w:space="0"/>
              <w:tl2br w:val="nil"/>
              <w:tr2bl w:val="nil"/>
            </w:tcBorders>
            <w:vAlign w:val="center"/>
          </w:tcPr>
          <w:p w14:paraId="789FA511">
            <w:pPr>
              <w:pStyle w:val="27"/>
              <w:spacing w:before="60" w:after="60" w:line="240" w:lineRule="auto"/>
              <w:ind w:firstLine="0"/>
              <w:rPr>
                <w:color w:val="000000"/>
                <w:sz w:val="21"/>
              </w:rPr>
            </w:pPr>
            <w:r>
              <w:rPr>
                <w:rFonts w:ascii="宋体" w:hAnsi="宋体" w:eastAsia="宋体" w:cs="宋体"/>
                <w:color w:val="000000"/>
                <w:sz w:val="21"/>
              </w:rPr>
              <w:t>无条件通过（核心维度）</w:t>
            </w:r>
          </w:p>
        </w:tc>
      </w:tr>
      <w:tr w14:paraId="179D9E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181B2284">
            <w:pPr>
              <w:pStyle w:val="27"/>
              <w:spacing w:before="60" w:after="60" w:line="240" w:lineRule="auto"/>
              <w:ind w:firstLine="0"/>
              <w:rPr>
                <w:color w:val="000000"/>
                <w:sz w:val="21"/>
              </w:rPr>
            </w:pPr>
            <w:r>
              <w:rPr>
                <w:rFonts w:ascii="宋体" w:hAnsi="宋体" w:eastAsia="宋体" w:cs="宋体"/>
                <w:color w:val="000000"/>
                <w:sz w:val="21"/>
              </w:rPr>
              <w:t>处置效应</w:t>
            </w:r>
          </w:p>
        </w:tc>
        <w:tc>
          <w:tcPr>
            <w:tcBorders>
              <w:tl2br w:val="nil"/>
              <w:tr2bl w:val="nil"/>
            </w:tcBorders>
            <w:vAlign w:val="center"/>
          </w:tcPr>
          <w:p w14:paraId="72D115AB">
            <w:pPr>
              <w:pStyle w:val="27"/>
              <w:spacing w:before="60" w:after="60" w:line="240" w:lineRule="auto"/>
              <w:ind w:firstLine="0"/>
              <w:rPr>
                <w:color w:val="000000"/>
                <w:sz w:val="21"/>
              </w:rPr>
            </w:pPr>
            <w:r>
              <w:rPr>
                <w:rFonts w:ascii="宋体" w:hAnsi="宋体" w:eastAsia="宋体" w:cs="宋体"/>
                <w:color w:val="000000"/>
                <w:sz w:val="21"/>
              </w:rPr>
              <w:t>组内t=−5.59，双向聚类t=−2.99</w:t>
            </w:r>
          </w:p>
        </w:tc>
        <w:tc>
          <w:tcPr>
            <w:tcBorders>
              <w:tl2br w:val="nil"/>
              <w:tr2bl w:val="nil"/>
            </w:tcBorders>
            <w:vAlign w:val="center"/>
          </w:tcPr>
          <w:p w14:paraId="1FFA45B4">
            <w:pPr>
              <w:pStyle w:val="27"/>
              <w:spacing w:before="60" w:after="60" w:line="240" w:lineRule="auto"/>
              <w:ind w:firstLine="0"/>
              <w:rPr>
                <w:color w:val="000000"/>
                <w:sz w:val="21"/>
              </w:rPr>
            </w:pPr>
            <w:r>
              <w:rPr>
                <w:rFonts w:ascii="宋体" w:hAnsi="宋体" w:eastAsia="宋体" w:cs="宋体"/>
                <w:color w:val="000000"/>
                <w:sz w:val="21"/>
              </w:rPr>
              <w:t>f²=0.003，功效64.8%</w:t>
            </w:r>
          </w:p>
        </w:tc>
        <w:tc>
          <w:tcPr>
            <w:tcBorders>
              <w:tl2br w:val="nil"/>
              <w:tr2bl w:val="nil"/>
            </w:tcBorders>
            <w:vAlign w:val="center"/>
          </w:tcPr>
          <w:p w14:paraId="3079549E">
            <w:pPr>
              <w:pStyle w:val="27"/>
              <w:spacing w:before="60" w:after="60" w:line="240" w:lineRule="auto"/>
              <w:ind w:firstLine="0"/>
              <w:rPr>
                <w:color w:val="000000"/>
                <w:sz w:val="21"/>
              </w:rPr>
            </w:pPr>
            <w:r>
              <w:rPr>
                <w:rFonts w:ascii="宋体" w:hAnsi="宋体" w:eastAsia="宋体" w:cs="宋体"/>
                <w:color w:val="000000"/>
                <w:sz w:val="21"/>
              </w:rPr>
              <w:t>通过（附边界条件）</w:t>
            </w:r>
          </w:p>
        </w:tc>
      </w:tr>
      <w:tr w14:paraId="507DA3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C446646">
            <w:pPr>
              <w:pStyle w:val="27"/>
              <w:spacing w:before="60" w:after="60" w:line="240" w:lineRule="auto"/>
              <w:ind w:firstLine="0"/>
              <w:rPr>
                <w:color w:val="000000"/>
                <w:sz w:val="21"/>
              </w:rPr>
            </w:pPr>
            <w:r>
              <w:rPr>
                <w:rFonts w:ascii="宋体" w:hAnsi="宋体" w:eastAsia="宋体" w:cs="宋体"/>
                <w:color w:val="000000"/>
                <w:sz w:val="21"/>
              </w:rPr>
              <w:t>羊群效应</w:t>
            </w:r>
          </w:p>
        </w:tc>
        <w:tc>
          <w:tcPr>
            <w:tcBorders>
              <w:tl2br w:val="nil"/>
              <w:tr2bl w:val="nil"/>
            </w:tcBorders>
            <w:vAlign w:val="center"/>
          </w:tcPr>
          <w:p w14:paraId="0CBB2191">
            <w:pPr>
              <w:pStyle w:val="27"/>
              <w:spacing w:before="60" w:after="60" w:line="240" w:lineRule="auto"/>
              <w:ind w:firstLine="0"/>
              <w:rPr>
                <w:color w:val="000000"/>
                <w:sz w:val="21"/>
              </w:rPr>
            </w:pPr>
            <w:r>
              <w:rPr>
                <w:rFonts w:ascii="宋体" w:hAnsi="宋体" w:eastAsia="宋体" w:cs="宋体"/>
                <w:color w:val="000000"/>
                <w:sz w:val="21"/>
              </w:rPr>
              <w:t>主回归与Bootstrap均不显著</w:t>
            </w:r>
          </w:p>
        </w:tc>
        <w:tc>
          <w:tcPr>
            <w:tcBorders>
              <w:tl2br w:val="nil"/>
              <w:tr2bl w:val="nil"/>
            </w:tcBorders>
            <w:vAlign w:val="center"/>
          </w:tcPr>
          <w:p w14:paraId="06D0CA5D">
            <w:pPr>
              <w:pStyle w:val="27"/>
              <w:spacing w:before="60" w:after="60" w:line="240" w:lineRule="auto"/>
              <w:ind w:firstLine="0"/>
              <w:rPr>
                <w:color w:val="000000"/>
                <w:sz w:val="21"/>
              </w:rPr>
            </w:pPr>
            <w:r>
              <w:rPr>
                <w:color w:val="000000"/>
                <w:sz w:val="21"/>
              </w:rPr>
              <w:t>f²≈0</w:t>
            </w:r>
          </w:p>
        </w:tc>
        <w:tc>
          <w:tcPr>
            <w:tcBorders>
              <w:tl2br w:val="nil"/>
              <w:tr2bl w:val="nil"/>
            </w:tcBorders>
            <w:vAlign w:val="center"/>
          </w:tcPr>
          <w:p w14:paraId="3031BFC1">
            <w:pPr>
              <w:pStyle w:val="27"/>
              <w:spacing w:before="60" w:after="60" w:line="240" w:lineRule="auto"/>
              <w:ind w:firstLine="0"/>
              <w:rPr>
                <w:color w:val="000000"/>
                <w:sz w:val="21"/>
              </w:rPr>
            </w:pPr>
            <w:r>
              <w:rPr>
                <w:rFonts w:ascii="宋体" w:hAnsi="宋体" w:eastAsia="宋体" w:cs="宋体"/>
                <w:color w:val="000000"/>
                <w:sz w:val="21"/>
              </w:rPr>
              <w:t>不通过</w:t>
            </w:r>
          </w:p>
        </w:tc>
      </w:tr>
      <w:tr w14:paraId="19DF8F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5F4F0704">
            <w:pPr>
              <w:pStyle w:val="27"/>
              <w:spacing w:before="60" w:after="60" w:line="240" w:lineRule="auto"/>
              <w:ind w:firstLine="0"/>
              <w:rPr>
                <w:color w:val="000000"/>
                <w:sz w:val="21"/>
              </w:rPr>
            </w:pPr>
            <w:r>
              <w:rPr>
                <w:rFonts w:ascii="宋体" w:hAnsi="宋体" w:eastAsia="宋体" w:cs="宋体"/>
                <w:color w:val="000000"/>
                <w:sz w:val="21"/>
              </w:rPr>
              <w:t>行业集中度</w:t>
            </w:r>
          </w:p>
        </w:tc>
        <w:tc>
          <w:tcPr>
            <w:tcBorders>
              <w:tl2br w:val="nil"/>
              <w:tr2bl w:val="nil"/>
            </w:tcBorders>
            <w:vAlign w:val="center"/>
          </w:tcPr>
          <w:p w14:paraId="0EF6F18E">
            <w:pPr>
              <w:pStyle w:val="27"/>
              <w:spacing w:before="60" w:after="60" w:line="240" w:lineRule="auto"/>
              <w:ind w:firstLine="0"/>
              <w:rPr>
                <w:color w:val="000000"/>
                <w:sz w:val="21"/>
              </w:rPr>
            </w:pPr>
            <w:r>
              <w:rPr>
                <w:rFonts w:ascii="宋体" w:hAnsi="宋体" w:eastAsia="宋体" w:cs="宋体"/>
                <w:color w:val="000000"/>
                <w:sz w:val="21"/>
              </w:rPr>
              <w:t>完整模型t=3.74</w:t>
            </w:r>
          </w:p>
        </w:tc>
        <w:tc>
          <w:tcPr>
            <w:tcBorders>
              <w:tl2br w:val="nil"/>
              <w:tr2bl w:val="nil"/>
            </w:tcBorders>
            <w:vAlign w:val="center"/>
          </w:tcPr>
          <w:p w14:paraId="0917C544">
            <w:pPr>
              <w:pStyle w:val="27"/>
              <w:spacing w:before="60" w:after="60" w:line="240" w:lineRule="auto"/>
              <w:ind w:firstLine="0"/>
              <w:rPr>
                <w:color w:val="000000"/>
                <w:sz w:val="21"/>
              </w:rPr>
            </w:pPr>
            <w:r>
              <w:rPr>
                <w:rFonts w:ascii="宋体" w:hAnsi="宋体" w:eastAsia="宋体" w:cs="宋体"/>
                <w:color w:val="000000"/>
                <w:sz w:val="21"/>
              </w:rPr>
              <w:t>解释择时（t=2.78）</w:t>
            </w:r>
          </w:p>
        </w:tc>
        <w:tc>
          <w:tcPr>
            <w:tcBorders>
              <w:tl2br w:val="nil"/>
              <w:tr2bl w:val="nil"/>
            </w:tcBorders>
            <w:vAlign w:val="center"/>
          </w:tcPr>
          <w:p w14:paraId="3FE3DD2D">
            <w:pPr>
              <w:pStyle w:val="27"/>
              <w:spacing w:before="60" w:after="60" w:line="240" w:lineRule="auto"/>
              <w:ind w:firstLine="0"/>
              <w:rPr>
                <w:color w:val="000000"/>
                <w:sz w:val="21"/>
              </w:rPr>
            </w:pPr>
            <w:r>
              <w:rPr>
                <w:rFonts w:ascii="宋体" w:hAnsi="宋体" w:eastAsia="宋体" w:cs="宋体"/>
                <w:color w:val="000000"/>
                <w:sz w:val="21"/>
              </w:rPr>
              <w:t>通过（可选维度）</w:t>
            </w:r>
          </w:p>
        </w:tc>
      </w:tr>
      <w:tr w14:paraId="5655D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088C1BB2">
            <w:pPr>
              <w:pStyle w:val="27"/>
              <w:spacing w:before="60" w:after="60" w:line="240" w:lineRule="auto"/>
              <w:ind w:firstLine="0"/>
              <w:rPr>
                <w:color w:val="000000"/>
                <w:sz w:val="21"/>
              </w:rPr>
            </w:pPr>
            <w:r>
              <w:rPr>
                <w:rFonts w:ascii="宋体" w:hAnsi="宋体" w:eastAsia="宋体" w:cs="宋体"/>
                <w:color w:val="000000"/>
                <w:sz w:val="21"/>
              </w:rPr>
              <w:t>主动收益缺口波动</w:t>
            </w:r>
          </w:p>
        </w:tc>
        <w:tc>
          <w:tcPr>
            <w:tcBorders>
              <w:tl2br w:val="nil"/>
              <w:tr2bl w:val="nil"/>
            </w:tcBorders>
            <w:vAlign w:val="center"/>
          </w:tcPr>
          <w:p w14:paraId="5B3A8078">
            <w:pPr>
              <w:pStyle w:val="27"/>
              <w:spacing w:before="60" w:after="60" w:line="240" w:lineRule="auto"/>
              <w:ind w:firstLine="0"/>
              <w:rPr>
                <w:color w:val="000000"/>
                <w:sz w:val="21"/>
              </w:rPr>
            </w:pPr>
            <w:r>
              <w:rPr>
                <w:rFonts w:ascii="宋体" w:hAnsi="宋体" w:eastAsia="宋体" w:cs="宋体"/>
                <w:color w:val="000000"/>
                <w:sz w:val="21"/>
              </w:rPr>
              <w:t>完整模型t=2.98</w:t>
            </w:r>
          </w:p>
        </w:tc>
        <w:tc>
          <w:tcPr>
            <w:tcBorders>
              <w:tl2br w:val="nil"/>
              <w:tr2bl w:val="nil"/>
            </w:tcBorders>
            <w:vAlign w:val="center"/>
          </w:tcPr>
          <w:p w14:paraId="7A4C4408">
            <w:pPr>
              <w:pStyle w:val="27"/>
              <w:spacing w:before="60" w:after="60" w:line="240" w:lineRule="auto"/>
              <w:ind w:firstLine="0"/>
              <w:rPr>
                <w:color w:val="000000"/>
                <w:sz w:val="21"/>
              </w:rPr>
            </w:pPr>
            <w:r>
              <w:rPr>
                <w:rFonts w:ascii="宋体" w:hAnsi="宋体" w:eastAsia="宋体" w:cs="宋体"/>
                <w:color w:val="000000"/>
                <w:sz w:val="21"/>
              </w:rPr>
              <w:t>解释选股（t=8.59）</w:t>
            </w:r>
          </w:p>
        </w:tc>
        <w:tc>
          <w:tcPr>
            <w:tcBorders>
              <w:tl2br w:val="nil"/>
              <w:tr2bl w:val="nil"/>
            </w:tcBorders>
            <w:vAlign w:val="center"/>
          </w:tcPr>
          <w:p w14:paraId="3363D9C9">
            <w:pPr>
              <w:pStyle w:val="27"/>
              <w:spacing w:before="60" w:after="60" w:line="240" w:lineRule="auto"/>
              <w:ind w:firstLine="0"/>
              <w:rPr>
                <w:color w:val="000000"/>
                <w:sz w:val="21"/>
              </w:rPr>
            </w:pPr>
            <w:r>
              <w:rPr>
                <w:rFonts w:ascii="宋体" w:hAnsi="宋体" w:eastAsia="宋体" w:cs="宋体"/>
                <w:color w:val="000000"/>
                <w:sz w:val="21"/>
              </w:rPr>
              <w:t>通过（可选维度）</w:t>
            </w:r>
          </w:p>
        </w:tc>
      </w:tr>
    </w:tbl>
    <w:p w14:paraId="03E3B433">
      <w:pPr>
        <w:pStyle w:val="3"/>
        <w:spacing w:before="0" w:after="0" w:line="360" w:lineRule="auto"/>
        <w:ind w:firstLine="480" w:firstLineChars="200"/>
        <w:jc w:val="both"/>
      </w:pPr>
      <w:r>
        <w:rPr>
          <w:rFonts w:ascii="宋体" w:hAnsi="宋体" w:eastAsia="宋体" w:cs="宋体"/>
        </w:rPr>
        <w:t>审查结论有三点需要说明。其一，核心维度只有风险承担不对称与处置效应两个，二者的证据结构互补——前者覆盖”事前筛选”、后者覆盖”事后归因”。其二，羊群效应的落选本身是审查机制有效性的证明：它在前向四季口径曾出现t=3.12的强显著，若仅做单口径筛查便会被纳入，正是三重识别、效应量与能力分解的多道交叉审查揭示了其选择敏感、无实质解释力的本质。其三，对照变量的入选界定了画像的信息边界——行业集中度只解释择时、主动收益缺口波动只解释选股，与认知层双雄的选股聚焦形成互补。</w:t>
      </w:r>
    </w:p>
    <w:bookmarkEnd w:id="17"/>
    <w:p w14:paraId="5D3158EC">
      <w:pPr>
        <w:pStyle w:val="4"/>
        <w:spacing w:before="260" w:after="120" w:line="240" w:lineRule="auto"/>
        <w:ind w:firstLine="0"/>
        <w:jc w:val="left"/>
        <w:rPr>
          <w:rFonts w:ascii="Times New Roman" w:eastAsia="黑体"/>
          <w:b/>
          <w:color w:val="000000"/>
          <w:sz w:val="28"/>
        </w:rPr>
      </w:pPr>
      <w:bookmarkStart w:id="18" w:name="从行为分层到画像维度层维映射与评分衔接"/>
      <w:r>
        <w:rPr>
          <w:rFonts w:ascii="Times New Roman" w:eastAsia="黑体"/>
          <w:b/>
          <w:color w:val="000000"/>
          <w:sz w:val="28"/>
        </w:rPr>
        <w:t xml:space="preserve">4.4 </w:t>
      </w:r>
      <w:r>
        <w:rPr>
          <w:rFonts w:ascii="Times New Roman" w:hAnsi="宋体" w:eastAsia="黑体" w:cs="宋体"/>
          <w:b/>
          <w:color w:val="000000"/>
          <w:sz w:val="28"/>
        </w:rPr>
        <w:t>从行为分层到画像维度：层—维映射与评分衔接</w:t>
      </w:r>
    </w:p>
    <w:p w14:paraId="580E7838">
      <w:pPr>
        <w:pStyle w:val="26"/>
        <w:spacing w:before="0" w:after="0" w:line="360" w:lineRule="auto"/>
        <w:ind w:firstLine="480" w:firstLineChars="200"/>
        <w:jc w:val="both"/>
      </w:pPr>
      <w:r>
        <w:rPr>
          <w:rFonts w:ascii="宋体" w:hAnsi="宋体" w:eastAsia="宋体" w:cs="宋体"/>
        </w:rPr>
        <w:t>四层框架回答的是”如何组织证据”，画像回答的是”如何呈现与应用”，二者是同一研究的两个阶段，由一套明确的层—维映射规则衔接。</w:t>
      </w:r>
    </w:p>
    <w:p w14:paraId="766D1963">
      <w:pPr>
        <w:pStyle w:val="3"/>
        <w:spacing w:before="0" w:after="0" w:line="360" w:lineRule="auto"/>
        <w:ind w:firstLine="480" w:firstLineChars="200"/>
        <w:jc w:val="both"/>
      </w:pPr>
      <w:r>
        <w:rPr>
          <w:rFonts w:ascii="宋体" w:hAnsi="宋体" w:eastAsia="宋体" w:cs="宋体"/>
        </w:rPr>
        <w:t>第一项规则是背景降格。基本面层在画像中不作为能力轴：从业年限与基金年龄在完整模型中均不显著（t值接近于零），表明经验与资历并不驱动业绩，画像应当是关于行为的刻画而非人口学特征的罗列。因此基本面层整体降格为背景控制轴，仅以描述性信息呈现，不参与能力评分。这一处理同时化解了潜在的伦理争议——以年龄、资历给经理打分既无实证依据，也不公平。</w:t>
      </w:r>
    </w:p>
    <w:p w14:paraId="6E917191">
      <w:pPr>
        <w:pStyle w:val="3"/>
        <w:spacing w:before="0" w:after="0" w:line="360" w:lineRule="auto"/>
        <w:ind w:firstLine="480" w:firstLineChars="200"/>
        <w:jc w:val="both"/>
      </w:pPr>
      <w:r>
        <w:rPr>
          <w:rFonts w:ascii="宋体" w:hAnsi="宋体" w:eastAsia="宋体" w:cs="宋体"/>
        </w:rPr>
        <w:t>第二项规则是能力轴重组。剩余三个行为层的十一个指标按证据结构重组为四个画像能力维度，编号重新锚定而不沿用层序：主动行动维度承接执行风控层中的行动强度类指标（主动收益缺口波动、收益波动率），因ARG在完整模型中显著且解释选股（t=2.98与t=8.59）而成为证据最强的首要维度——两个指标共同刻画经理”操作密度与风险承担”的行动侧影；配置偏离维度承接选择层（行业集中度为主、改进主动份额为辅），其证据格局是”赢在行业下注的方向而非偏离基准的量”；认知偏差维度即认知层通过审查的指标组合（风险承担不对称、处置效应），为最逼近决策心理的核心维度；交易纪律维度承接执行风控层中的交易类指标（换手率、过度交易指数），属证据较弱的次要维度。羊群效应未通过审查，不进入任何维度。</w:t>
      </w:r>
    </w:p>
    <w:p w14:paraId="200D8A3A">
      <w:pPr>
        <w:pStyle w:val="3"/>
        <w:spacing w:before="0" w:after="0" w:line="360" w:lineRule="auto"/>
        <w:ind w:firstLine="480" w:firstLineChars="200"/>
        <w:jc w:val="both"/>
      </w:pPr>
      <w:r>
        <w:rPr>
          <w:rFonts w:ascii="宋体" w:hAnsi="宋体" w:eastAsia="宋体" w:cs="宋体"/>
        </w:rPr>
        <w:t>第三项规则是口径对齐与评分规程。每一维度的得分方向由本文回归系数符号确定（有利方向取系数符号）。计分采用分位制：将每一指标在基金层面取均值后，映射为全样本分布中的0—100分位得分，缺失值留空并在聚合时跳过，覆盖率过低的指标（如处置效应仅约46.6%）在维度内降权处理。权重按证据强度分级赋值而非等权：A级指标（风险承担不对称、主动收益缺口波动）权重最高，B级（处置效应、行业集中度）次之，C级或不显著指标（收益波动率、换手率、过度交易指数）最低或为零；全部权重作为可配置参数暴露，并附敏感性自检程序（单维极端权重复算、指标权重扰动、群体画像的去一法检验），防止权重选择悄悄决定结论。群体画像在统一轮廓之外必须附组内差异度检验（变异系数判定代表性），高度分化时拆分子组分别刻画。</w:t>
      </w:r>
    </w:p>
    <w:p w14:paraId="31F73AE6">
      <w:pPr>
        <w:pStyle w:val="3"/>
        <w:spacing w:before="0" w:after="0" w:line="360" w:lineRule="auto"/>
        <w:ind w:firstLine="482" w:firstLineChars="200"/>
        <w:jc w:val="both"/>
      </w:pPr>
      <w:r>
        <w:rPr>
          <w:rFonts w:ascii="宋体" w:hAnsi="宋体" w:eastAsia="宋体" w:cs="宋体"/>
          <w:b/>
          <w:bCs/>
        </w:rPr>
        <w:t>表5</w:t>
      </w:r>
      <w:r>
        <w:rPr>
          <w:b/>
          <w:bCs/>
        </w:rPr>
        <w:t>　</w:t>
      </w:r>
      <w:r>
        <w:rPr>
          <w:rFonts w:ascii="宋体" w:hAnsi="宋体" w:eastAsia="宋体" w:cs="宋体"/>
          <w:b/>
          <w:bCs/>
        </w:rPr>
        <w:t>行为层—画像维度映射</w:t>
      </w:r>
    </w:p>
    <w:tbl>
      <w:tblPr>
        <w:tblStyle w:val="44"/>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0"/>
        <w:gridCol w:w="1980"/>
        <w:gridCol w:w="1980"/>
        <w:gridCol w:w="1980"/>
      </w:tblGrid>
      <w:tr w14:paraId="566947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Borders>
              <w:bottom w:val="single" w:color="auto" w:sz="6" w:space="0"/>
              <w:tl2br w:val="nil"/>
              <w:tr2bl w:val="nil"/>
            </w:tcBorders>
            <w:vAlign w:val="center"/>
          </w:tcPr>
          <w:p w14:paraId="58941E48">
            <w:pPr>
              <w:pStyle w:val="27"/>
              <w:spacing w:before="60" w:after="60" w:line="240" w:lineRule="auto"/>
              <w:ind w:firstLine="0"/>
              <w:jc w:val="center"/>
              <w:rPr>
                <w:b/>
                <w:color w:val="000000"/>
                <w:sz w:val="21"/>
              </w:rPr>
            </w:pPr>
            <w:r>
              <w:rPr>
                <w:rFonts w:ascii="宋体" w:hAnsi="宋体" w:eastAsia="宋体" w:cs="宋体"/>
                <w:b/>
                <w:color w:val="000000"/>
                <w:sz w:val="21"/>
              </w:rPr>
              <w:t>行为层</w:t>
            </w:r>
          </w:p>
        </w:tc>
        <w:tc>
          <w:tcPr>
            <w:tcBorders>
              <w:bottom w:val="single" w:color="auto" w:sz="6" w:space="0"/>
              <w:tl2br w:val="nil"/>
              <w:tr2bl w:val="nil"/>
            </w:tcBorders>
            <w:vAlign w:val="center"/>
          </w:tcPr>
          <w:p w14:paraId="596E37A2">
            <w:pPr>
              <w:pStyle w:val="27"/>
              <w:spacing w:before="60" w:after="60" w:line="240" w:lineRule="auto"/>
              <w:ind w:firstLine="0"/>
              <w:jc w:val="center"/>
              <w:rPr>
                <w:b/>
                <w:color w:val="000000"/>
                <w:sz w:val="21"/>
              </w:rPr>
            </w:pPr>
            <w:r>
              <w:rPr>
                <w:rFonts w:ascii="宋体" w:hAnsi="宋体" w:eastAsia="宋体" w:cs="宋体"/>
                <w:b/>
                <w:color w:val="000000"/>
                <w:sz w:val="21"/>
              </w:rPr>
              <w:t>层内证据状态</w:t>
            </w:r>
          </w:p>
        </w:tc>
        <w:tc>
          <w:tcPr>
            <w:tcBorders>
              <w:bottom w:val="single" w:color="auto" w:sz="6" w:space="0"/>
              <w:tl2br w:val="nil"/>
              <w:tr2bl w:val="nil"/>
            </w:tcBorders>
            <w:vAlign w:val="center"/>
          </w:tcPr>
          <w:p w14:paraId="062865FA">
            <w:pPr>
              <w:pStyle w:val="27"/>
              <w:spacing w:before="60" w:after="60" w:line="240" w:lineRule="auto"/>
              <w:ind w:firstLine="0"/>
              <w:jc w:val="center"/>
              <w:rPr>
                <w:b/>
                <w:color w:val="000000"/>
                <w:sz w:val="21"/>
              </w:rPr>
            </w:pPr>
            <w:r>
              <w:rPr>
                <w:rFonts w:ascii="宋体" w:hAnsi="宋体" w:eastAsia="宋体" w:cs="宋体"/>
                <w:b/>
                <w:color w:val="000000"/>
                <w:sz w:val="21"/>
              </w:rPr>
              <w:t>画像角色</w:t>
            </w:r>
          </w:p>
        </w:tc>
        <w:tc>
          <w:tcPr>
            <w:tcBorders>
              <w:bottom w:val="single" w:color="auto" w:sz="6" w:space="0"/>
              <w:tl2br w:val="nil"/>
              <w:tr2bl w:val="nil"/>
            </w:tcBorders>
            <w:vAlign w:val="center"/>
          </w:tcPr>
          <w:p w14:paraId="67814F06">
            <w:pPr>
              <w:pStyle w:val="27"/>
              <w:spacing w:before="60" w:after="60" w:line="240" w:lineRule="auto"/>
              <w:ind w:firstLine="0"/>
              <w:jc w:val="center"/>
              <w:rPr>
                <w:b/>
                <w:color w:val="000000"/>
                <w:sz w:val="21"/>
              </w:rPr>
            </w:pPr>
            <w:r>
              <w:rPr>
                <w:rFonts w:ascii="宋体" w:hAnsi="宋体" w:eastAsia="宋体" w:cs="宋体"/>
                <w:b/>
                <w:color w:val="000000"/>
                <w:sz w:val="21"/>
              </w:rPr>
              <w:t>对应画像维度</w:t>
            </w:r>
          </w:p>
        </w:tc>
      </w:tr>
      <w:tr w14:paraId="7D2C57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op w:val="single" w:color="auto" w:sz="6" w:space="0"/>
              <w:tl2br w:val="nil"/>
              <w:tr2bl w:val="nil"/>
            </w:tcBorders>
            <w:vAlign w:val="center"/>
          </w:tcPr>
          <w:p w14:paraId="543C9C0E">
            <w:pPr>
              <w:pStyle w:val="27"/>
              <w:spacing w:before="60" w:after="60" w:line="240" w:lineRule="auto"/>
              <w:ind w:firstLine="0"/>
              <w:rPr>
                <w:color w:val="000000"/>
                <w:sz w:val="21"/>
              </w:rPr>
            </w:pPr>
            <w:r>
              <w:rPr>
                <w:rFonts w:ascii="宋体" w:hAnsi="宋体" w:eastAsia="宋体" w:cs="宋体"/>
                <w:color w:val="000000"/>
                <w:sz w:val="21"/>
              </w:rPr>
              <w:t>基本面层</w:t>
            </w:r>
          </w:p>
        </w:tc>
        <w:tc>
          <w:tcPr>
            <w:tcBorders>
              <w:top w:val="single" w:color="auto" w:sz="6" w:space="0"/>
              <w:tl2br w:val="nil"/>
              <w:tr2bl w:val="nil"/>
            </w:tcBorders>
            <w:vAlign w:val="center"/>
          </w:tcPr>
          <w:p w14:paraId="089B4DF2">
            <w:pPr>
              <w:pStyle w:val="27"/>
              <w:spacing w:before="60" w:after="60" w:line="240" w:lineRule="auto"/>
              <w:ind w:firstLine="0"/>
              <w:rPr>
                <w:color w:val="000000"/>
                <w:sz w:val="21"/>
              </w:rPr>
            </w:pPr>
            <w:r>
              <w:rPr>
                <w:rFonts w:ascii="宋体" w:hAnsi="宋体" w:eastAsia="宋体" w:cs="宋体"/>
                <w:color w:val="000000"/>
                <w:sz w:val="21"/>
              </w:rPr>
              <w:t>双变量均不显著</w:t>
            </w:r>
          </w:p>
        </w:tc>
        <w:tc>
          <w:tcPr>
            <w:tcBorders>
              <w:top w:val="single" w:color="auto" w:sz="6" w:space="0"/>
              <w:tl2br w:val="nil"/>
              <w:tr2bl w:val="nil"/>
            </w:tcBorders>
            <w:vAlign w:val="center"/>
          </w:tcPr>
          <w:p w14:paraId="037D6947">
            <w:pPr>
              <w:pStyle w:val="27"/>
              <w:spacing w:before="60" w:after="60" w:line="240" w:lineRule="auto"/>
              <w:ind w:firstLine="0"/>
              <w:rPr>
                <w:color w:val="000000"/>
                <w:sz w:val="21"/>
              </w:rPr>
            </w:pPr>
            <w:r>
              <w:rPr>
                <w:rFonts w:ascii="宋体" w:hAnsi="宋体" w:eastAsia="宋体" w:cs="宋体"/>
                <w:color w:val="000000"/>
                <w:sz w:val="21"/>
              </w:rPr>
              <w:t>背景控制轴（仅描述）</w:t>
            </w:r>
          </w:p>
        </w:tc>
        <w:tc>
          <w:tcPr>
            <w:tcBorders>
              <w:top w:val="single" w:color="auto" w:sz="6" w:space="0"/>
              <w:tl2br w:val="nil"/>
              <w:tr2bl w:val="nil"/>
            </w:tcBorders>
            <w:vAlign w:val="center"/>
          </w:tcPr>
          <w:p w14:paraId="13F0AC29">
            <w:pPr>
              <w:pStyle w:val="27"/>
              <w:spacing w:before="60" w:after="60" w:line="240" w:lineRule="auto"/>
              <w:ind w:firstLine="0"/>
              <w:rPr>
                <w:color w:val="000000"/>
                <w:sz w:val="21"/>
              </w:rPr>
            </w:pPr>
            <w:r>
              <w:rPr>
                <w:rFonts w:ascii="宋体" w:hAnsi="宋体" w:eastAsia="宋体" w:cs="宋体"/>
                <w:color w:val="000000"/>
                <w:sz w:val="21"/>
              </w:rPr>
              <w:t>不参与评分</w:t>
            </w:r>
          </w:p>
        </w:tc>
      </w:tr>
      <w:tr w14:paraId="7A248B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AE996EB">
            <w:pPr>
              <w:pStyle w:val="27"/>
              <w:spacing w:before="60" w:after="60" w:line="240" w:lineRule="auto"/>
              <w:ind w:firstLine="0"/>
              <w:rPr>
                <w:color w:val="000000"/>
                <w:sz w:val="21"/>
              </w:rPr>
            </w:pPr>
            <w:r>
              <w:rPr>
                <w:rFonts w:ascii="宋体" w:hAnsi="宋体" w:eastAsia="宋体" w:cs="宋体"/>
                <w:color w:val="000000"/>
                <w:sz w:val="21"/>
              </w:rPr>
              <w:t>认知层</w:t>
            </w:r>
          </w:p>
        </w:tc>
        <w:tc>
          <w:tcPr>
            <w:tcBorders>
              <w:tl2br w:val="nil"/>
              <w:tr2bl w:val="nil"/>
            </w:tcBorders>
            <w:vAlign w:val="center"/>
          </w:tcPr>
          <w:p w14:paraId="7D8C142B">
            <w:pPr>
              <w:pStyle w:val="27"/>
              <w:spacing w:before="60" w:after="60" w:line="240" w:lineRule="auto"/>
              <w:ind w:firstLine="0"/>
              <w:rPr>
                <w:color w:val="000000"/>
                <w:sz w:val="21"/>
              </w:rPr>
            </w:pPr>
            <w:r>
              <w:rPr>
                <w:rFonts w:ascii="宋体" w:hAnsi="宋体" w:eastAsia="宋体" w:cs="宋体"/>
                <w:color w:val="000000"/>
                <w:sz w:val="21"/>
              </w:rPr>
              <w:t>风险承担不对称A级、处置效应A级（限组内）、羊群效应C级</w:t>
            </w:r>
          </w:p>
        </w:tc>
        <w:tc>
          <w:tcPr>
            <w:tcBorders>
              <w:tl2br w:val="nil"/>
              <w:tr2bl w:val="nil"/>
            </w:tcBorders>
            <w:vAlign w:val="center"/>
          </w:tcPr>
          <w:p w14:paraId="73956024">
            <w:pPr>
              <w:pStyle w:val="27"/>
              <w:spacing w:before="60" w:after="60" w:line="240" w:lineRule="auto"/>
              <w:ind w:firstLine="0"/>
              <w:rPr>
                <w:color w:val="000000"/>
                <w:sz w:val="21"/>
              </w:rPr>
            </w:pPr>
            <w:r>
              <w:rPr>
                <w:rFonts w:ascii="宋体" w:hAnsi="宋体" w:eastAsia="宋体" w:cs="宋体"/>
                <w:color w:val="000000"/>
                <w:sz w:val="21"/>
              </w:rPr>
              <w:t>核心能力轴</w:t>
            </w:r>
          </w:p>
        </w:tc>
        <w:tc>
          <w:tcPr>
            <w:tcBorders>
              <w:tl2br w:val="nil"/>
              <w:tr2bl w:val="nil"/>
            </w:tcBorders>
            <w:vAlign w:val="center"/>
          </w:tcPr>
          <w:p w14:paraId="7BB913E5">
            <w:pPr>
              <w:pStyle w:val="27"/>
              <w:spacing w:before="60" w:after="60" w:line="240" w:lineRule="auto"/>
              <w:ind w:firstLine="0"/>
              <w:rPr>
                <w:color w:val="000000"/>
                <w:sz w:val="21"/>
              </w:rPr>
            </w:pPr>
            <w:r>
              <w:rPr>
                <w:rFonts w:ascii="宋体" w:hAnsi="宋体" w:eastAsia="宋体" w:cs="宋体"/>
                <w:color w:val="000000"/>
                <w:sz w:val="21"/>
              </w:rPr>
              <w:t>认知偏差维度</w:t>
            </w:r>
          </w:p>
        </w:tc>
      </w:tr>
      <w:tr w14:paraId="648836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36B31D96">
            <w:pPr>
              <w:pStyle w:val="27"/>
              <w:spacing w:before="60" w:after="60" w:line="240" w:lineRule="auto"/>
              <w:ind w:firstLine="0"/>
              <w:rPr>
                <w:color w:val="000000"/>
                <w:sz w:val="21"/>
              </w:rPr>
            </w:pPr>
            <w:r>
              <w:rPr>
                <w:rFonts w:ascii="宋体" w:hAnsi="宋体" w:eastAsia="宋体" w:cs="宋体"/>
                <w:color w:val="000000"/>
                <w:sz w:val="21"/>
              </w:rPr>
              <w:t>选择层</w:t>
            </w:r>
          </w:p>
        </w:tc>
        <w:tc>
          <w:tcPr>
            <w:tcBorders>
              <w:tl2br w:val="nil"/>
              <w:tr2bl w:val="nil"/>
            </w:tcBorders>
            <w:vAlign w:val="center"/>
          </w:tcPr>
          <w:p w14:paraId="51573E32">
            <w:pPr>
              <w:pStyle w:val="27"/>
              <w:spacing w:before="60" w:after="60" w:line="240" w:lineRule="auto"/>
              <w:ind w:firstLine="0"/>
              <w:rPr>
                <w:color w:val="000000"/>
                <w:sz w:val="21"/>
              </w:rPr>
            </w:pPr>
            <w:r>
              <w:rPr>
                <w:rFonts w:ascii="宋体" w:hAnsi="宋体" w:eastAsia="宋体" w:cs="宋体"/>
                <w:color w:val="000000"/>
                <w:sz w:val="21"/>
              </w:rPr>
              <w:t>行业集中度显著、改进主动份额有条件</w:t>
            </w:r>
          </w:p>
        </w:tc>
        <w:tc>
          <w:tcPr>
            <w:tcBorders>
              <w:tl2br w:val="nil"/>
              <w:tr2bl w:val="nil"/>
            </w:tcBorders>
            <w:vAlign w:val="center"/>
          </w:tcPr>
          <w:p w14:paraId="17F9470E">
            <w:pPr>
              <w:pStyle w:val="27"/>
              <w:spacing w:before="60" w:after="60" w:line="240" w:lineRule="auto"/>
              <w:ind w:firstLine="0"/>
              <w:rPr>
                <w:color w:val="000000"/>
                <w:sz w:val="21"/>
              </w:rPr>
            </w:pPr>
            <w:r>
              <w:rPr>
                <w:rFonts w:ascii="宋体" w:hAnsi="宋体" w:eastAsia="宋体" w:cs="宋体"/>
                <w:color w:val="000000"/>
                <w:sz w:val="21"/>
              </w:rPr>
              <w:t>能力轴</w:t>
            </w:r>
          </w:p>
        </w:tc>
        <w:tc>
          <w:tcPr>
            <w:tcBorders>
              <w:tl2br w:val="nil"/>
              <w:tr2bl w:val="nil"/>
            </w:tcBorders>
            <w:vAlign w:val="center"/>
          </w:tcPr>
          <w:p w14:paraId="71FF83FB">
            <w:pPr>
              <w:pStyle w:val="27"/>
              <w:spacing w:before="60" w:after="60" w:line="240" w:lineRule="auto"/>
              <w:ind w:firstLine="0"/>
              <w:rPr>
                <w:color w:val="000000"/>
                <w:sz w:val="21"/>
              </w:rPr>
            </w:pPr>
            <w:r>
              <w:rPr>
                <w:rFonts w:ascii="宋体" w:hAnsi="宋体" w:eastAsia="宋体" w:cs="宋体"/>
                <w:color w:val="000000"/>
                <w:sz w:val="21"/>
              </w:rPr>
              <w:t>配置偏离维度</w:t>
            </w:r>
          </w:p>
        </w:tc>
      </w:tr>
      <w:tr w14:paraId="481C0F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756A70C4">
            <w:pPr>
              <w:pStyle w:val="27"/>
              <w:spacing w:before="60" w:after="60" w:line="240" w:lineRule="auto"/>
              <w:ind w:firstLine="0"/>
              <w:rPr>
                <w:color w:val="000000"/>
                <w:sz w:val="21"/>
              </w:rPr>
            </w:pPr>
            <w:r>
              <w:rPr>
                <w:rFonts w:ascii="宋体" w:hAnsi="宋体" w:eastAsia="宋体" w:cs="宋体"/>
                <w:color w:val="000000"/>
                <w:sz w:val="21"/>
              </w:rPr>
              <w:t>执行风控层（行动强度类）</w:t>
            </w:r>
          </w:p>
        </w:tc>
        <w:tc>
          <w:tcPr>
            <w:tcBorders>
              <w:tl2br w:val="nil"/>
              <w:tr2bl w:val="nil"/>
            </w:tcBorders>
            <w:vAlign w:val="center"/>
          </w:tcPr>
          <w:p w14:paraId="3D0F1594">
            <w:pPr>
              <w:pStyle w:val="27"/>
              <w:spacing w:before="60" w:after="60" w:line="240" w:lineRule="auto"/>
              <w:ind w:firstLine="0"/>
              <w:rPr>
                <w:color w:val="000000"/>
                <w:sz w:val="21"/>
              </w:rPr>
            </w:pPr>
            <w:r>
              <w:rPr>
                <w:rFonts w:ascii="宋体" w:hAnsi="宋体" w:eastAsia="宋体" w:cs="宋体"/>
                <w:color w:val="000000"/>
                <w:sz w:val="21"/>
              </w:rPr>
              <w:t>ARG显著、收益波动率不显著</w:t>
            </w:r>
          </w:p>
        </w:tc>
        <w:tc>
          <w:tcPr>
            <w:tcBorders>
              <w:tl2br w:val="nil"/>
              <w:tr2bl w:val="nil"/>
            </w:tcBorders>
            <w:vAlign w:val="center"/>
          </w:tcPr>
          <w:p w14:paraId="1FF595C7">
            <w:pPr>
              <w:pStyle w:val="27"/>
              <w:spacing w:before="60" w:after="60" w:line="240" w:lineRule="auto"/>
              <w:ind w:firstLine="0"/>
              <w:rPr>
                <w:color w:val="000000"/>
                <w:sz w:val="21"/>
              </w:rPr>
            </w:pPr>
            <w:r>
              <w:rPr>
                <w:rFonts w:ascii="宋体" w:hAnsi="宋体" w:eastAsia="宋体" w:cs="宋体"/>
                <w:color w:val="000000"/>
                <w:sz w:val="21"/>
              </w:rPr>
              <w:t>首要能力轴</w:t>
            </w:r>
          </w:p>
        </w:tc>
        <w:tc>
          <w:tcPr>
            <w:tcBorders>
              <w:tl2br w:val="nil"/>
              <w:tr2bl w:val="nil"/>
            </w:tcBorders>
            <w:vAlign w:val="center"/>
          </w:tcPr>
          <w:p w14:paraId="7CBF77BC">
            <w:pPr>
              <w:pStyle w:val="27"/>
              <w:spacing w:before="60" w:after="60" w:line="240" w:lineRule="auto"/>
              <w:ind w:firstLine="0"/>
              <w:rPr>
                <w:color w:val="000000"/>
                <w:sz w:val="21"/>
              </w:rPr>
            </w:pPr>
            <w:r>
              <w:rPr>
                <w:rFonts w:ascii="宋体" w:hAnsi="宋体" w:eastAsia="宋体" w:cs="宋体"/>
                <w:color w:val="000000"/>
                <w:sz w:val="21"/>
              </w:rPr>
              <w:t>主动行动维度</w:t>
            </w:r>
          </w:p>
        </w:tc>
      </w:tr>
      <w:tr w14:paraId="59515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Borders>
              <w:tl2br w:val="nil"/>
              <w:tr2bl w:val="nil"/>
            </w:tcBorders>
            <w:vAlign w:val="center"/>
          </w:tcPr>
          <w:p w14:paraId="2F49841C">
            <w:pPr>
              <w:pStyle w:val="27"/>
              <w:spacing w:before="60" w:after="60" w:line="240" w:lineRule="auto"/>
              <w:ind w:firstLine="0"/>
              <w:rPr>
                <w:color w:val="000000"/>
                <w:sz w:val="21"/>
              </w:rPr>
            </w:pPr>
            <w:r>
              <w:rPr>
                <w:rFonts w:ascii="宋体" w:hAnsi="宋体" w:eastAsia="宋体" w:cs="宋体"/>
                <w:color w:val="000000"/>
                <w:sz w:val="21"/>
              </w:rPr>
              <w:t>执行风控层（交易类）</w:t>
            </w:r>
          </w:p>
        </w:tc>
        <w:tc>
          <w:tcPr>
            <w:tcBorders>
              <w:tl2br w:val="nil"/>
              <w:tr2bl w:val="nil"/>
            </w:tcBorders>
            <w:vAlign w:val="center"/>
          </w:tcPr>
          <w:p w14:paraId="30ED8174">
            <w:pPr>
              <w:pStyle w:val="27"/>
              <w:spacing w:before="60" w:after="60" w:line="240" w:lineRule="auto"/>
              <w:ind w:firstLine="0"/>
              <w:rPr>
                <w:color w:val="000000"/>
                <w:sz w:val="21"/>
              </w:rPr>
            </w:pPr>
            <w:r>
              <w:rPr>
                <w:rFonts w:ascii="宋体" w:hAnsi="宋体" w:eastAsia="宋体" w:cs="宋体"/>
                <w:color w:val="000000"/>
                <w:sz w:val="21"/>
              </w:rPr>
              <w:t>换手率等不显著或弱证据</w:t>
            </w:r>
          </w:p>
        </w:tc>
        <w:tc>
          <w:tcPr>
            <w:tcBorders>
              <w:tl2br w:val="nil"/>
              <w:tr2bl w:val="nil"/>
            </w:tcBorders>
            <w:vAlign w:val="center"/>
          </w:tcPr>
          <w:p w14:paraId="6A83D889">
            <w:pPr>
              <w:pStyle w:val="27"/>
              <w:spacing w:before="60" w:after="60" w:line="240" w:lineRule="auto"/>
              <w:ind w:firstLine="0"/>
              <w:rPr>
                <w:color w:val="000000"/>
                <w:sz w:val="21"/>
              </w:rPr>
            </w:pPr>
            <w:r>
              <w:rPr>
                <w:rFonts w:ascii="宋体" w:hAnsi="宋体" w:eastAsia="宋体" w:cs="宋体"/>
                <w:color w:val="000000"/>
                <w:sz w:val="21"/>
              </w:rPr>
              <w:t>次要能力轴</w:t>
            </w:r>
          </w:p>
        </w:tc>
        <w:tc>
          <w:tcPr>
            <w:tcBorders>
              <w:tl2br w:val="nil"/>
              <w:tr2bl w:val="nil"/>
            </w:tcBorders>
            <w:vAlign w:val="center"/>
          </w:tcPr>
          <w:p w14:paraId="658501D7">
            <w:pPr>
              <w:pStyle w:val="27"/>
              <w:spacing w:before="60" w:after="60" w:line="240" w:lineRule="auto"/>
              <w:ind w:firstLine="0"/>
              <w:rPr>
                <w:color w:val="000000"/>
                <w:sz w:val="21"/>
              </w:rPr>
            </w:pPr>
            <w:r>
              <w:rPr>
                <w:rFonts w:ascii="宋体" w:hAnsi="宋体" w:eastAsia="宋体" w:cs="宋体"/>
                <w:color w:val="000000"/>
                <w:sz w:val="21"/>
              </w:rPr>
              <w:t>交易纪律维度</w:t>
            </w:r>
          </w:p>
        </w:tc>
      </w:tr>
    </w:tbl>
    <w:p w14:paraId="197B45D8">
      <w:pPr>
        <w:pStyle w:val="3"/>
        <w:spacing w:before="0" w:after="0" w:line="360" w:lineRule="auto"/>
        <w:ind w:firstLine="480" w:firstLineChars="200"/>
        <w:jc w:val="both"/>
      </w:pPr>
      <w:r>
        <w:rPr>
          <w:rFonts w:ascii="宋体" w:hAnsi="宋体" w:eastAsia="宋体" w:cs="宋体"/>
        </w:rPr>
        <w:t>据此，画像的最终形态是一张五轴雷达：四个能力维度（认知偏差、主动行动、配置偏离、交易纪律）构成打分对象，背景信息作为第五条描述性轴存在但不计分；个体画像叠加全样本中位数参照，群体画像另附组内差异度检验以判定统一画像的代表性。这一设计使论文的证据链（显著性→解释力→资格审查）与画像的操作链（方向→分位→加权→评分→成图）逐环对应，画像中的每一个分数都可回溯至本文的回归证据。</w:t>
      </w:r>
    </w:p>
    <w:bookmarkEnd w:id="14"/>
    <w:bookmarkEnd w:id="18"/>
    <w:p w14:paraId="34E028F9">
      <w:pPr>
        <w:pStyle w:val="2"/>
        <w:spacing w:before="260" w:after="260" w:line="240" w:lineRule="auto"/>
        <w:ind w:firstLine="0"/>
        <w:jc w:val="center"/>
        <w:rPr>
          <w:rFonts w:ascii="Times New Roman" w:eastAsia="黑体"/>
          <w:b/>
          <w:color w:val="000000"/>
          <w:sz w:val="32"/>
        </w:rPr>
      </w:pPr>
      <w:bookmarkStart w:id="19" w:name="五结论与展望"/>
      <w:r>
        <w:rPr>
          <w:rFonts w:ascii="Times New Roman" w:hAnsi="宋体" w:eastAsia="黑体" w:cs="宋体"/>
          <w:b/>
          <w:color w:val="000000"/>
          <w:sz w:val="32"/>
        </w:rPr>
        <w:t>五、结论与展望</w:t>
      </w:r>
    </w:p>
    <w:p w14:paraId="21CA4E13">
      <w:pPr>
        <w:pStyle w:val="26"/>
        <w:spacing w:before="0" w:after="0" w:line="360" w:lineRule="auto"/>
        <w:ind w:firstLine="480" w:firstLineChars="200"/>
        <w:jc w:val="both"/>
      </w:pPr>
      <w:r>
        <w:rPr>
          <w:rFonts w:ascii="宋体" w:hAnsi="宋体" w:eastAsia="宋体" w:cs="宋体"/>
        </w:rPr>
        <w:t>本文构建”基本面—认知—选择—执行风控”四层行为分解框架，系统刻画中国主动偏股型基金经理的投资行为，并检验各行为指标对基金经理能力的显著性与解释程度。主要结论有三。第一，认知层在控制全部可观测行为后仍贡献不可替代的独立解释增量（ΔR²=0.0224），且这一增量不被任何单层所吸收，验证了行为心理因素在能力解释中的独立价值。第二，中国基金经理呈现显著的反向处置效应（均值−0.127），其预测信息集中于组内识别，这一发现与西方经典文献形成对照，提示前景理论在机构投资者上的表现具有市场制度依赖性。第三，通过”显著性+解释力”双门槛审查，风险承担不对称与处置效应被确定为画像核心维度，行业集中度与主动收益缺口波动作为行为侧翼可选，羊群效应因选择敏感性而落选，画像维度集合由此得以确定。</w:t>
      </w:r>
    </w:p>
    <w:p w14:paraId="2D967A5D">
      <w:pPr>
        <w:pStyle w:val="3"/>
        <w:spacing w:before="0" w:after="0" w:line="360" w:lineRule="auto"/>
        <w:ind w:firstLine="480" w:firstLineChars="200"/>
        <w:jc w:val="both"/>
      </w:pPr>
      <w:r>
        <w:rPr>
          <w:rFonts w:ascii="宋体" w:hAnsi="宋体" w:eastAsia="宋体" w:cs="宋体"/>
        </w:rPr>
        <w:t>本文的研究存在若干局限，也为后续工作指明方向。其一，认知偏差指标基于持仓与净值数据的行为代理构建，严格的心理学测量有待问卷或实验数据补充。其二，处置效应的估计限于有全持仓数据的子群，其外推边界需要更大样本的验证。其三，本文已完成行为层向画像维度的映射与评分框架设计，但维度得分的样本外预测能力评价、权重方案的敏感性系统检验，以及前10%与后10%基金经理的案例对比，有待进一步展开。</w:t>
      </w:r>
    </w:p>
    <w:bookmarkEnd w:id="19"/>
    <w:p w14:paraId="1ED55B70">
      <w:pPr>
        <w:pStyle w:val="2"/>
        <w:spacing w:before="260" w:after="260" w:line="240" w:lineRule="auto"/>
        <w:ind w:firstLine="0"/>
        <w:jc w:val="center"/>
        <w:rPr>
          <w:rFonts w:ascii="Times New Roman" w:eastAsia="黑体"/>
          <w:b/>
          <w:color w:val="000000"/>
          <w:sz w:val="32"/>
        </w:rPr>
      </w:pPr>
      <w:bookmarkStart w:id="20" w:name="参考文献"/>
      <w:r>
        <w:rPr>
          <w:rFonts w:ascii="Times New Roman" w:hAnsi="宋体" w:eastAsia="黑体" w:cs="宋体"/>
          <w:b/>
          <w:color w:val="000000"/>
          <w:sz w:val="32"/>
        </w:rPr>
        <w:t>参考文献</w:t>
      </w:r>
    </w:p>
    <w:p w14:paraId="4BA978EA">
      <w:pPr>
        <w:pStyle w:val="26"/>
        <w:spacing w:before="0" w:after="0" w:line="360" w:lineRule="auto"/>
        <w:ind w:firstLine="480" w:firstLineChars="200"/>
        <w:jc w:val="both"/>
      </w:pPr>
      <w:r>
        <w:t>[1] Odean T. Are investors reluctant to realize their losses?[J]. Journal of Finance, 1998, 53(5): 1775-1798.</w:t>
      </w:r>
    </w:p>
    <w:p w14:paraId="7E05F8B9">
      <w:pPr>
        <w:pStyle w:val="3"/>
        <w:spacing w:before="0" w:after="0" w:line="360" w:lineRule="auto"/>
        <w:ind w:firstLine="480" w:firstLineChars="200"/>
        <w:jc w:val="both"/>
      </w:pPr>
      <w:r>
        <w:t>[2] Lakonishok J, Shleifer A, Vishny R W. The impact of institutional trading on stock prices[J]. Journal of Financial Economics, 1992, 32(1): 23-43.</w:t>
      </w:r>
    </w:p>
    <w:p w14:paraId="0A19792E">
      <w:pPr>
        <w:pStyle w:val="3"/>
        <w:spacing w:before="0" w:after="0" w:line="360" w:lineRule="auto"/>
        <w:ind w:firstLine="480" w:firstLineChars="200"/>
        <w:jc w:val="both"/>
      </w:pPr>
      <w:r>
        <w:t>[3] Bikhchandani S, Hirshleifer D, Welch I. A theory of fads, fashion, custom, and cultural change as informational cascades[J]. Journal of Political Economy, 1992, 100(5): 992-1026.</w:t>
      </w:r>
    </w:p>
    <w:p w14:paraId="2B5A385C">
      <w:pPr>
        <w:pStyle w:val="3"/>
        <w:spacing w:before="0" w:after="0" w:line="360" w:lineRule="auto"/>
        <w:ind w:firstLine="480" w:firstLineChars="200"/>
        <w:jc w:val="both"/>
      </w:pPr>
      <w:r>
        <w:t>[4] Scharfstein D S, Stein J C. Herd behavior and investment[J]. American Economic Review, 1990, 80(3): 465-479.</w:t>
      </w:r>
    </w:p>
    <w:p w14:paraId="7F110746">
      <w:pPr>
        <w:pStyle w:val="3"/>
        <w:spacing w:before="0" w:after="0" w:line="360" w:lineRule="auto"/>
        <w:ind w:firstLine="480" w:firstLineChars="200"/>
        <w:jc w:val="both"/>
      </w:pPr>
      <w:r>
        <w:t>[5] Cremers K J M, Petajisto A. How active is your fund manager? A new measure that predicts performance[J]. Review of Financial Studies, 2009, 22(9): 3329-3365.</w:t>
      </w:r>
    </w:p>
    <w:p w14:paraId="49787894">
      <w:pPr>
        <w:pStyle w:val="3"/>
        <w:spacing w:before="0" w:after="0" w:line="360" w:lineRule="auto"/>
        <w:ind w:firstLine="480" w:firstLineChars="200"/>
        <w:jc w:val="both"/>
      </w:pPr>
      <w:r>
        <w:t>[6] Kacperczyk M, Sialm C, Zheng L. On the industry concentration of actively managed equity mutual funds[J]. Journal of Finance, 2005, 60(4): 1983-2011.</w:t>
      </w:r>
    </w:p>
    <w:p w14:paraId="08D87885">
      <w:pPr>
        <w:pStyle w:val="3"/>
        <w:spacing w:before="0" w:after="0" w:line="360" w:lineRule="auto"/>
        <w:ind w:firstLine="480" w:firstLineChars="200"/>
        <w:jc w:val="both"/>
      </w:pPr>
      <w:r>
        <w:t>[7] Carhart M M. On persistence in mutual fund performance[J]. Journal of Finance, 1997, 52(1): 57-82.</w:t>
      </w:r>
    </w:p>
    <w:p w14:paraId="5606C471">
      <w:pPr>
        <w:pStyle w:val="3"/>
        <w:spacing w:before="0" w:after="0" w:line="360" w:lineRule="auto"/>
        <w:ind w:firstLine="480" w:firstLineChars="200"/>
        <w:jc w:val="both"/>
      </w:pPr>
      <w:r>
        <w:t>[8] Chan L K C, Chen H L, Lakonishok J. On mutual fund investment styles[J]. Review of Financial Studies, 2002, 15(5): 1407-1437.</w:t>
      </w:r>
    </w:p>
    <w:p w14:paraId="7F9798C9">
      <w:pPr>
        <w:pStyle w:val="3"/>
        <w:spacing w:before="0" w:after="0" w:line="360" w:lineRule="auto"/>
        <w:ind w:firstLine="480" w:firstLineChars="200"/>
        <w:jc w:val="both"/>
      </w:pPr>
      <w:r>
        <w:t>[9] Brown K C, Harlow W V, Starks L T. Of tournaments and temptations: An analysis of managerial incentives in the mutual fund industry[J]. Journal of Finance, 1996, 51(1): 85-110.</w:t>
      </w:r>
    </w:p>
    <w:p w14:paraId="1572FAE4">
      <w:pPr>
        <w:pStyle w:val="3"/>
        <w:spacing w:before="0" w:after="0" w:line="360" w:lineRule="auto"/>
        <w:ind w:firstLine="480" w:firstLineChars="200"/>
        <w:jc w:val="both"/>
      </w:pPr>
      <w:r>
        <w:t>[10] Fama E F, French K R. A five-factor asset pricing model[J]. Journal of Financial Economics, 2015, 116(1): 1-22.</w:t>
      </w:r>
    </w:p>
    <w:p w14:paraId="7B7149BE">
      <w:pPr>
        <w:pStyle w:val="3"/>
        <w:spacing w:before="0" w:after="0" w:line="360" w:lineRule="auto"/>
        <w:ind w:firstLine="480" w:firstLineChars="200"/>
        <w:jc w:val="both"/>
      </w:pPr>
      <w:r>
        <w:t>[11] Wermers R. Mutual fund herding and the impact on stock prices[J]. Journal of Finance, 1999, 54(2): 581-622.</w:t>
      </w:r>
    </w:p>
    <w:p w14:paraId="579020D1">
      <w:pPr>
        <w:pStyle w:val="3"/>
        <w:spacing w:before="0" w:after="0" w:line="360" w:lineRule="auto"/>
        <w:ind w:firstLine="480" w:firstLineChars="200"/>
        <w:jc w:val="both"/>
      </w:pPr>
      <w:r>
        <w:t>[12] Chevalier J, Ellison G. Career concerns of mutual fund managers[J]. Quarterly Journal of Economics, 1999, 114(2): 389-432.</w:t>
      </w:r>
    </w:p>
    <w:p w14:paraId="46B3E842">
      <w:pPr>
        <w:pStyle w:val="3"/>
        <w:spacing w:before="0" w:after="0" w:line="360" w:lineRule="auto"/>
        <w:ind w:firstLine="480" w:firstLineChars="200"/>
        <w:jc w:val="both"/>
      </w:pPr>
      <w:r>
        <w:t>[13] Golec J H. The effects of mutual fund managers’ characteristics on their portfolio performance, risk and fees[J]. Financial Services Review, 1996, 5(2): 133-148.</w:t>
      </w:r>
    </w:p>
    <w:p w14:paraId="17E48239">
      <w:pPr>
        <w:pStyle w:val="3"/>
        <w:spacing w:before="0" w:after="0" w:line="360" w:lineRule="auto"/>
        <w:ind w:firstLine="480" w:firstLineChars="200"/>
        <w:jc w:val="both"/>
      </w:pPr>
      <w:r>
        <w:t>[14] Kahneman D, Tversky A. Prospect theory: An analysis of decision under risk[J]. Econometrica, 1979, 47(2): 263-291.</w:t>
      </w:r>
    </w:p>
    <w:bookmarkEnd w:id="20"/>
    <w:sectPr>
      <w:headerReference r:id="rId3" w:type="default"/>
      <w:footerReference r:id="rId4" w:type="default"/>
      <w:footnotePr>
        <w:numRestart w:val="eachSect"/>
      </w:footnotePr>
      <w:pgSz w:w="11907" w:h="16839"/>
      <w:pgMar w:top="1440" w:right="1797" w:bottom="1440" w:left="179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center" w:y="1"/>
      <w:pBdr>
        <w:top w:val="none" w:color="auto" w:sz="0" w:space="0"/>
        <w:left w:val="none" w:color="auto" w:sz="0" w:space="0"/>
        <w:bottom w:val="none" w:color="auto" w:sz="0" w:space="0"/>
        <w:right w:val="none" w:color="auto" w:sz="0" w:space="0"/>
        <w:between w:val="none" w:color="auto" w:sz="8" w:space="0"/>
      </w:pBdr>
      <w:spacing w:after="0" w:afterLines="0"/>
      <w:rPr>
        <w:rFonts w:eastAsia="宋体"/>
        <w:sz w:val="18"/>
      </w:rPr>
    </w:pPr>
    <w:r>
      <w:rPr>
        <w:rStyle w:val="22"/>
        <w:rFonts w:eastAsia="宋体"/>
        <w:sz w:val="18"/>
      </w:rPr>
      <w:fldChar w:fldCharType="begin"/>
    </w:r>
    <w:r>
      <w:rPr>
        <w:rStyle w:val="22"/>
        <w:rFonts w:eastAsia="宋体"/>
        <w:sz w:val="18"/>
      </w:rPr>
      <w:instrText xml:space="preserve"> PAGE </w:instrText>
    </w:r>
    <w:r>
      <w:rPr>
        <w:rStyle w:val="22"/>
        <w:rFonts w:eastAsia="宋体"/>
        <w:sz w:val="18"/>
      </w:rPr>
      <w:fldChar w:fldCharType="separate"/>
    </w:r>
    <w:r>
      <w:rPr>
        <w:rStyle w:val="22"/>
        <w:rFonts w:eastAsia="宋体"/>
        <w:sz w:val="18"/>
      </w:rPr>
      <w:t>1</w:t>
    </w:r>
    <w:r>
      <w:rPr>
        <w:rStyle w:val="22"/>
        <w:rFonts w:eastAsia="宋体"/>
        <w:sz w:val="18"/>
      </w:rPr>
      <w:fldChar w:fldCharType="end"/>
    </w:r>
  </w:p>
  <w:p w14:paraId="4C54FB51">
    <w:pPr>
      <w:pStyle w:val="16"/>
      <w:rPr>
        <w:rFonts w:eastAsia="宋体"/>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A00EC">
    <w:pPr>
      <w:pStyle w:val="1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splitPgBreakAndParaMark/>
    <w:compatSetting w:name="compatibilityMode" w:uri="http://schemas.microsoft.com/office/word" w:val="12"/>
  </w:compat>
  <w:rsids>
    <w:rsidRoot w:val="00000000"/>
    <w:rsid w:val="6C051C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color w:val="000000"/>
      <w:sz w:val="24"/>
      <w:szCs w:val="24"/>
    </w:rPr>
  </w:style>
  <w:style w:type="paragraph" w:styleId="2">
    <w:name w:val="heading 1"/>
    <w:basedOn w:val="1"/>
    <w:next w:val="3"/>
    <w:link w:val="34"/>
    <w:qFormat/>
    <w:uiPriority w:val="9"/>
    <w:pPr>
      <w:keepNext/>
      <w:keepLines/>
      <w:spacing w:before="360" w:after="80"/>
      <w:outlineLvl w:val="0"/>
    </w:pPr>
    <w:rPr>
      <w:rFonts w:ascii="宋体" w:hAnsi="宋体" w:eastAsia="宋体" w:cstheme="majorBidi"/>
      <w:color w:val="0F4761"/>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宋体" w:hAnsi="宋体" w:eastAsia="宋体" w:cstheme="majorBidi"/>
      <w:color w:val="0F4761"/>
      <w:sz w:val="32"/>
      <w:szCs w:val="32"/>
    </w:rPr>
  </w:style>
  <w:style w:type="paragraph" w:styleId="5">
    <w:name w:val="heading 3"/>
    <w:basedOn w:val="1"/>
    <w:next w:val="3"/>
    <w:link w:val="36"/>
    <w:semiHidden/>
    <w:unhideWhenUsed/>
    <w:qFormat/>
    <w:uiPriority w:val="9"/>
    <w:pPr>
      <w:keepNext/>
      <w:keepLines/>
      <w:spacing w:before="160" w:after="80"/>
      <w:outlineLvl w:val="2"/>
    </w:pPr>
    <w:rPr>
      <w:rFonts w:ascii="宋体" w:hAnsi="宋体" w:eastAsia="宋体" w:cstheme="majorBidi"/>
      <w:color w:val="0F4761"/>
      <w:sz w:val="28"/>
      <w:szCs w:val="28"/>
    </w:rPr>
  </w:style>
  <w:style w:type="paragraph" w:styleId="6">
    <w:name w:val="heading 4"/>
    <w:basedOn w:val="1"/>
    <w:next w:val="3"/>
    <w:link w:val="37"/>
    <w:semiHidden/>
    <w:unhideWhenUsed/>
    <w:qFormat/>
    <w:uiPriority w:val="9"/>
    <w:pPr>
      <w:keepNext/>
      <w:keepLines/>
      <w:spacing w:before="80" w:after="40"/>
      <w:outlineLvl w:val="3"/>
    </w:pPr>
    <w:rPr>
      <w:rFonts w:ascii="宋体" w:hAnsi="宋体" w:eastAsia="宋体" w:cstheme="majorBidi"/>
      <w:i/>
      <w:iCs/>
      <w:color w:val="0F4761"/>
    </w:rPr>
  </w:style>
  <w:style w:type="paragraph" w:styleId="7">
    <w:name w:val="heading 5"/>
    <w:basedOn w:val="1"/>
    <w:next w:val="3"/>
    <w:link w:val="38"/>
    <w:semiHidden/>
    <w:unhideWhenUsed/>
    <w:qFormat/>
    <w:uiPriority w:val="9"/>
    <w:pPr>
      <w:keepNext/>
      <w:keepLines/>
      <w:spacing w:before="80" w:after="40"/>
      <w:outlineLvl w:val="4"/>
    </w:pPr>
    <w:rPr>
      <w:rFonts w:ascii="宋体" w:hAnsi="宋体" w:eastAsia="宋体" w:cstheme="majorBidi"/>
      <w:color w:val="0F4761"/>
    </w:rPr>
  </w:style>
  <w:style w:type="paragraph" w:styleId="8">
    <w:name w:val="heading 6"/>
    <w:basedOn w:val="1"/>
    <w:next w:val="3"/>
    <w:link w:val="39"/>
    <w:semiHidden/>
    <w:unhideWhenUsed/>
    <w:qFormat/>
    <w:uiPriority w:val="9"/>
    <w:pPr>
      <w:keepNext/>
      <w:keepLines/>
      <w:spacing w:before="40" w:after="0"/>
      <w:outlineLvl w:val="5"/>
    </w:pPr>
    <w:rPr>
      <w:rFonts w:ascii="宋体" w:hAnsi="宋体" w:eastAsia="宋体" w:cstheme="majorBidi"/>
      <w:i/>
      <w:iCs/>
      <w:color w:val="595959"/>
    </w:rPr>
  </w:style>
  <w:style w:type="paragraph" w:styleId="9">
    <w:name w:val="heading 7"/>
    <w:basedOn w:val="1"/>
    <w:next w:val="3"/>
    <w:link w:val="40"/>
    <w:semiHidden/>
    <w:unhideWhenUsed/>
    <w:qFormat/>
    <w:uiPriority w:val="9"/>
    <w:pPr>
      <w:keepNext/>
      <w:keepLines/>
      <w:spacing w:before="40" w:after="0"/>
      <w:outlineLvl w:val="6"/>
    </w:pPr>
    <w:rPr>
      <w:rFonts w:ascii="宋体" w:hAnsi="宋体" w:eastAsia="宋体" w:cstheme="majorBidi"/>
      <w:color w:val="595959"/>
    </w:rPr>
  </w:style>
  <w:style w:type="paragraph" w:styleId="10">
    <w:name w:val="heading 8"/>
    <w:basedOn w:val="1"/>
    <w:next w:val="3"/>
    <w:link w:val="41"/>
    <w:semiHidden/>
    <w:unhideWhenUsed/>
    <w:qFormat/>
    <w:uiPriority w:val="9"/>
    <w:pPr>
      <w:keepNext/>
      <w:keepLines/>
      <w:spacing w:after="0"/>
      <w:outlineLvl w:val="7"/>
    </w:pPr>
    <w:rPr>
      <w:rFonts w:ascii="宋体" w:hAnsi="宋体" w:eastAsia="宋体" w:cstheme="majorBidi"/>
      <w:i/>
      <w:iCs/>
      <w:color w:val="272727"/>
    </w:rPr>
  </w:style>
  <w:style w:type="paragraph" w:styleId="11">
    <w:name w:val="heading 9"/>
    <w:basedOn w:val="1"/>
    <w:next w:val="3"/>
    <w:link w:val="42"/>
    <w:semiHidden/>
    <w:unhideWhenUsed/>
    <w:qFormat/>
    <w:uiPriority w:val="9"/>
    <w:pPr>
      <w:keepNext/>
      <w:keepLines/>
      <w:spacing w:after="0"/>
      <w:outlineLvl w:val="8"/>
    </w:pPr>
    <w:rPr>
      <w:rFonts w:ascii="宋体" w:hAnsi="宋体" w:eastAsia="宋体" w:cstheme="majorBidi"/>
      <w:color w:val="272727"/>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spacing w:after="80" w:line="240" w:lineRule="auto"/>
      <w:contextualSpacing/>
      <w:jc w:val="center"/>
    </w:pPr>
    <w:rPr>
      <w:rFonts w:ascii="宋体" w:hAnsi="宋体" w:eastAsia="宋体" w:cstheme="majorBidi"/>
      <w:sz w:val="56"/>
      <w:szCs w:val="56"/>
    </w:rPr>
  </w:style>
  <w:style w:type="paragraph" w:styleId="16">
    <w:name w:val="footer"/>
    <w:basedOn w:val="1"/>
    <w:uiPriority w:val="0"/>
    <w:pPr>
      <w:tabs>
        <w:tab w:val="center" w:pos="4153"/>
        <w:tab w:val="right" w:pos="8306"/>
      </w:tabs>
      <w:snapToGrid w:val="0"/>
      <w:jc w:val="left"/>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Subtitle"/>
    <w:basedOn w:val="15"/>
    <w:next w:val="3"/>
    <w:link w:val="29"/>
    <w:qFormat/>
    <w:uiPriority w:val="11"/>
    <w:rPr>
      <w:rFonts w:ascii="宋体" w:hAnsi="宋体" w:eastAsia="宋体" w:cstheme="majorBidi"/>
      <w:spacing w:val="15"/>
      <w:sz w:val="28"/>
      <w:szCs w:val="28"/>
    </w:rPr>
  </w:style>
  <w:style w:type="paragraph" w:styleId="19">
    <w:name w:val="footnote text"/>
    <w:basedOn w:val="1"/>
    <w:unhideWhenUsed/>
    <w:qFormat/>
    <w:uiPriority w:val="9"/>
  </w:style>
  <w:style w:type="character" w:styleId="22">
    <w:name w:val="page number"/>
    <w:basedOn w:val="21"/>
    <w:uiPriority w:val="0"/>
  </w:style>
  <w:style w:type="character" w:styleId="23">
    <w:name w:val="Hyperlink"/>
    <w:basedOn w:val="24"/>
    <w:uiPriority w:val="0"/>
    <w:rPr>
      <w:color w:val="4F81BD"/>
    </w:rPr>
  </w:style>
  <w:style w:type="character" w:customStyle="1" w:styleId="24">
    <w:name w:val="Body Text Char"/>
    <w:basedOn w:val="21"/>
    <w:link w:val="3"/>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1"/>
    <w:link w:val="15"/>
    <w:uiPriority w:val="10"/>
    <w:rPr>
      <w:rFonts w:ascii="宋体" w:hAnsi="宋体" w:eastAsia="宋体" w:cstheme="majorBidi"/>
      <w:sz w:val="56"/>
      <w:szCs w:val="56"/>
    </w:rPr>
  </w:style>
  <w:style w:type="character" w:customStyle="1" w:styleId="29">
    <w:name w:val="Subtitle Char"/>
    <w:basedOn w:val="21"/>
    <w:link w:val="18"/>
    <w:uiPriority w:val="11"/>
    <w:rPr>
      <w:rFonts w:ascii="宋体" w:hAnsi="宋体" w:eastAsia="宋体" w:cstheme="majorBidi"/>
      <w:color w:val="595959"/>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uiPriority w:val="9"/>
    <w:rPr>
      <w:rFonts w:ascii="宋体" w:hAnsi="宋体" w:eastAsia="宋体" w:cstheme="majorBidi"/>
      <w:color w:val="0F4761"/>
      <w:sz w:val="40"/>
      <w:szCs w:val="40"/>
    </w:rPr>
  </w:style>
  <w:style w:type="character" w:customStyle="1" w:styleId="35">
    <w:name w:val="Heading 2 Char"/>
    <w:basedOn w:val="21"/>
    <w:link w:val="4"/>
    <w:semiHidden/>
    <w:uiPriority w:val="9"/>
    <w:rPr>
      <w:rFonts w:ascii="宋体" w:hAnsi="宋体" w:eastAsia="宋体" w:cstheme="majorBidi"/>
      <w:color w:val="0F4761"/>
      <w:sz w:val="32"/>
      <w:szCs w:val="32"/>
    </w:rPr>
  </w:style>
  <w:style w:type="character" w:customStyle="1" w:styleId="36">
    <w:name w:val="Heading 3 Char"/>
    <w:basedOn w:val="21"/>
    <w:link w:val="5"/>
    <w:semiHidden/>
    <w:uiPriority w:val="9"/>
    <w:rPr>
      <w:rFonts w:ascii="宋体" w:hAnsi="宋体" w:eastAsia="宋体" w:cstheme="majorBidi"/>
      <w:color w:val="0F4761"/>
      <w:sz w:val="28"/>
      <w:szCs w:val="28"/>
    </w:rPr>
  </w:style>
  <w:style w:type="character" w:customStyle="1" w:styleId="37">
    <w:name w:val="Heading 4 Char"/>
    <w:basedOn w:val="21"/>
    <w:link w:val="6"/>
    <w:semiHidden/>
    <w:uiPriority w:val="9"/>
    <w:rPr>
      <w:rFonts w:ascii="宋体" w:hAnsi="宋体" w:eastAsia="宋体" w:cstheme="majorBidi"/>
      <w:i/>
      <w:iCs/>
      <w:color w:val="0F4761"/>
    </w:rPr>
  </w:style>
  <w:style w:type="character" w:customStyle="1" w:styleId="38">
    <w:name w:val="Heading 5 Char"/>
    <w:basedOn w:val="21"/>
    <w:link w:val="7"/>
    <w:semiHidden/>
    <w:uiPriority w:val="9"/>
    <w:rPr>
      <w:rFonts w:ascii="宋体" w:hAnsi="宋体" w:eastAsia="宋体" w:cstheme="majorBidi"/>
      <w:color w:val="0F4761"/>
    </w:rPr>
  </w:style>
  <w:style w:type="character" w:customStyle="1" w:styleId="39">
    <w:name w:val="Heading 6 Char"/>
    <w:basedOn w:val="21"/>
    <w:link w:val="8"/>
    <w:semiHidden/>
    <w:uiPriority w:val="9"/>
    <w:rPr>
      <w:rFonts w:ascii="宋体" w:hAnsi="宋体" w:eastAsia="宋体" w:cstheme="majorBidi"/>
      <w:i/>
      <w:iCs/>
      <w:color w:val="595959"/>
    </w:rPr>
  </w:style>
  <w:style w:type="character" w:customStyle="1" w:styleId="40">
    <w:name w:val="Heading 7 Char"/>
    <w:basedOn w:val="21"/>
    <w:link w:val="9"/>
    <w:semiHidden/>
    <w:uiPriority w:val="9"/>
    <w:rPr>
      <w:rFonts w:ascii="宋体" w:hAnsi="宋体" w:eastAsia="宋体" w:cstheme="majorBidi"/>
      <w:color w:val="595959"/>
    </w:rPr>
  </w:style>
  <w:style w:type="character" w:customStyle="1" w:styleId="41">
    <w:name w:val="Heading 8 Char"/>
    <w:basedOn w:val="21"/>
    <w:link w:val="10"/>
    <w:semiHidden/>
    <w:uiPriority w:val="9"/>
    <w:rPr>
      <w:rFonts w:ascii="宋体" w:hAnsi="宋体" w:eastAsia="宋体" w:cstheme="majorBidi"/>
      <w:i/>
      <w:iCs/>
      <w:color w:val="272727"/>
    </w:rPr>
  </w:style>
  <w:style w:type="character" w:customStyle="1" w:styleId="42">
    <w:name w:val="Heading 9 Char"/>
    <w:basedOn w:val="21"/>
    <w:link w:val="11"/>
    <w:semiHidden/>
    <w:uiPriority w:val="9"/>
    <w:rPr>
      <w:rFonts w:ascii="宋体" w:hAnsi="宋体" w:eastAsia="宋体" w:cstheme="majorBidi"/>
      <w:color w:val="272727"/>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宋体" w:hAnsi="宋体" w:eastAsia="宋体" w:cs="宋体"/>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宋体" w:hAnsi="宋体" w:eastAsia="宋体" w:cstheme="majorBidi"/>
      <w:color w:val="365F91"/>
    </w:rPr>
  </w:style>
  <w:style w:type="character" w:customStyle="1" w:styleId="55">
    <w:name w:val="KeywordTok"/>
    <w:basedOn w:val="51"/>
    <w:uiPriority w:val="0"/>
    <w:rPr>
      <w:b/>
      <w:color w:val="000000"/>
    </w:rPr>
  </w:style>
  <w:style w:type="character" w:customStyle="1" w:styleId="56">
    <w:name w:val="DataTypeTok"/>
    <w:basedOn w:val="51"/>
    <w:uiPriority w:val="0"/>
    <w:rPr>
      <w:color w:val="000000"/>
    </w:rPr>
  </w:style>
  <w:style w:type="character" w:customStyle="1" w:styleId="57">
    <w:name w:val="DecValTok"/>
    <w:basedOn w:val="51"/>
    <w:uiPriority w:val="0"/>
    <w:rPr>
      <w:color w:val="000000"/>
    </w:rPr>
  </w:style>
  <w:style w:type="character" w:customStyle="1" w:styleId="58">
    <w:name w:val="BaseNTok"/>
    <w:basedOn w:val="51"/>
    <w:uiPriority w:val="0"/>
    <w:rPr>
      <w:color w:val="000000"/>
    </w:rPr>
  </w:style>
  <w:style w:type="character" w:customStyle="1" w:styleId="59">
    <w:name w:val="FloatTok"/>
    <w:basedOn w:val="51"/>
    <w:uiPriority w:val="0"/>
    <w:rPr>
      <w:color w:val="000000"/>
    </w:rPr>
  </w:style>
  <w:style w:type="character" w:customStyle="1" w:styleId="60">
    <w:name w:val="ConstantTok"/>
    <w:basedOn w:val="51"/>
    <w:uiPriority w:val="0"/>
    <w:rPr>
      <w:color w:val="000000"/>
    </w:rPr>
  </w:style>
  <w:style w:type="character" w:customStyle="1" w:styleId="61">
    <w:name w:val="CharTok"/>
    <w:basedOn w:val="51"/>
    <w:uiPriority w:val="0"/>
    <w:rPr>
      <w:color w:val="000000"/>
    </w:rPr>
  </w:style>
  <w:style w:type="character" w:customStyle="1" w:styleId="62">
    <w:name w:val="SpecialCharTok"/>
    <w:basedOn w:val="51"/>
    <w:uiPriority w:val="0"/>
    <w:rPr>
      <w:color w:val="000000"/>
    </w:rPr>
  </w:style>
  <w:style w:type="character" w:customStyle="1" w:styleId="63">
    <w:name w:val="StringTok"/>
    <w:basedOn w:val="51"/>
    <w:uiPriority w:val="0"/>
    <w:rPr>
      <w:color w:val="000000"/>
    </w:rPr>
  </w:style>
  <w:style w:type="character" w:customStyle="1" w:styleId="64">
    <w:name w:val="VerbatimStringTok"/>
    <w:basedOn w:val="51"/>
    <w:uiPriority w:val="0"/>
    <w:rPr>
      <w:color w:val="000000"/>
    </w:rPr>
  </w:style>
  <w:style w:type="character" w:customStyle="1" w:styleId="65">
    <w:name w:val="SpecialStringTok"/>
    <w:basedOn w:val="51"/>
    <w:uiPriority w:val="0"/>
    <w:rPr>
      <w:color w:val="000000"/>
    </w:rPr>
  </w:style>
  <w:style w:type="character" w:customStyle="1" w:styleId="66">
    <w:name w:val="ImportTok"/>
    <w:basedOn w:val="51"/>
    <w:uiPriority w:val="0"/>
    <w:rPr>
      <w:b/>
      <w:color w:val="000000"/>
    </w:rPr>
  </w:style>
  <w:style w:type="character" w:customStyle="1" w:styleId="67">
    <w:name w:val="CommentTok"/>
    <w:basedOn w:val="51"/>
    <w:uiPriority w:val="0"/>
    <w:rPr>
      <w:i/>
      <w:color w:val="000000"/>
    </w:rPr>
  </w:style>
  <w:style w:type="character" w:customStyle="1" w:styleId="68">
    <w:name w:val="DocumentationTok"/>
    <w:basedOn w:val="51"/>
    <w:uiPriority w:val="0"/>
    <w:rPr>
      <w:i/>
      <w:color w:val="000000"/>
    </w:rPr>
  </w:style>
  <w:style w:type="character" w:customStyle="1" w:styleId="69">
    <w:name w:val="AnnotationTok"/>
    <w:basedOn w:val="51"/>
    <w:uiPriority w:val="0"/>
    <w:rPr>
      <w:b/>
      <w:i/>
      <w:color w:val="000000"/>
    </w:rPr>
  </w:style>
  <w:style w:type="character" w:customStyle="1" w:styleId="70">
    <w:name w:val="CommentVarTok"/>
    <w:basedOn w:val="51"/>
    <w:uiPriority w:val="0"/>
    <w:rPr>
      <w:b/>
      <w:i/>
      <w:color w:val="000000"/>
    </w:rPr>
  </w:style>
  <w:style w:type="character" w:customStyle="1" w:styleId="71">
    <w:name w:val="OtherTok"/>
    <w:basedOn w:val="51"/>
    <w:uiPriority w:val="0"/>
    <w:rPr>
      <w:color w:val="000000"/>
    </w:rPr>
  </w:style>
  <w:style w:type="character" w:customStyle="1" w:styleId="72">
    <w:name w:val="FunctionTok"/>
    <w:basedOn w:val="51"/>
    <w:uiPriority w:val="0"/>
    <w:rPr>
      <w:color w:val="000000"/>
    </w:rPr>
  </w:style>
  <w:style w:type="character" w:customStyle="1" w:styleId="73">
    <w:name w:val="VariableTok"/>
    <w:basedOn w:val="51"/>
    <w:uiPriority w:val="0"/>
    <w:rPr>
      <w:color w:val="000000"/>
    </w:rPr>
  </w:style>
  <w:style w:type="character" w:customStyle="1" w:styleId="74">
    <w:name w:val="ControlFlowTok"/>
    <w:basedOn w:val="51"/>
    <w:uiPriority w:val="0"/>
    <w:rPr>
      <w:b/>
      <w:color w:val="000000"/>
    </w:rPr>
  </w:style>
  <w:style w:type="character" w:customStyle="1" w:styleId="75">
    <w:name w:val="OperatorTok"/>
    <w:basedOn w:val="51"/>
    <w:uiPriority w:val="0"/>
    <w:rPr>
      <w:color w:val="000000"/>
    </w:rPr>
  </w:style>
  <w:style w:type="character" w:customStyle="1" w:styleId="76">
    <w:name w:val="BuiltInTok"/>
    <w:basedOn w:val="51"/>
    <w:uiPriority w:val="0"/>
    <w:rPr>
      <w:color w:val="000000"/>
    </w:rPr>
  </w:style>
  <w:style w:type="character" w:customStyle="1" w:styleId="77">
    <w:name w:val="ExtensionTok"/>
    <w:basedOn w:val="51"/>
    <w:uiPriority w:val="0"/>
  </w:style>
  <w:style w:type="character" w:customStyle="1" w:styleId="78">
    <w:name w:val="PreprocessorTok"/>
    <w:basedOn w:val="51"/>
    <w:uiPriority w:val="0"/>
    <w:rPr>
      <w:color w:val="000000"/>
    </w:rPr>
  </w:style>
  <w:style w:type="character" w:customStyle="1" w:styleId="79">
    <w:name w:val="AttributeTok"/>
    <w:basedOn w:val="51"/>
    <w:uiPriority w:val="0"/>
    <w:rPr>
      <w:color w:val="000000"/>
    </w:rPr>
  </w:style>
  <w:style w:type="character" w:customStyle="1" w:styleId="80">
    <w:name w:val="RegionMarkerTok"/>
    <w:basedOn w:val="51"/>
    <w:uiPriority w:val="0"/>
  </w:style>
  <w:style w:type="character" w:customStyle="1" w:styleId="81">
    <w:name w:val="InformationTok"/>
    <w:basedOn w:val="51"/>
    <w:uiPriority w:val="0"/>
    <w:rPr>
      <w:b/>
      <w:i/>
      <w:color w:val="000000"/>
    </w:rPr>
  </w:style>
  <w:style w:type="character" w:customStyle="1" w:styleId="82">
    <w:name w:val="WarningTok"/>
    <w:basedOn w:val="51"/>
    <w:uiPriority w:val="0"/>
    <w:rPr>
      <w:b/>
      <w:i/>
      <w:color w:val="000000"/>
    </w:rPr>
  </w:style>
  <w:style w:type="character" w:customStyle="1" w:styleId="83">
    <w:name w:val="AlertTok"/>
    <w:basedOn w:val="51"/>
    <w:uiPriority w:val="0"/>
    <w:rPr>
      <w:b/>
      <w:color w:val="000000"/>
    </w:rPr>
  </w:style>
  <w:style w:type="character" w:customStyle="1" w:styleId="84">
    <w:name w:val="ErrorTok"/>
    <w:basedOn w:val="51"/>
    <w:uiPriority w:val="0"/>
    <w:rPr>
      <w:b/>
      <w:color w:val="00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宋体"/>
        <a:ea typeface="宋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宋体"/>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6</TotalTime>
  <ScaleCrop>false</ScaleCrop>
  <LinksUpToDate>false</LinksUpToDate>
  <CharactersWithSpaces>583</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2026-08-24T08:37:00Z</dcterms:created>
  <dc:creator>26955</dc:creator>
  <cp:lastModifiedBy>26955</cp:lastModifiedBy>
  <dcterms:modified xsi:type="dcterms:W3CDTF">2026-08-24T08:37:52Z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AAAFCF075CE54592958A7173DB3C718B_13</vt:lpwstr>
  </property>
</Properties>
</file>