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jc w:val="center"/>
      </w:pPr>
      <w:r>
        <w:rPr>
          <w:rFonts w:ascii="黑体" w:hAnsi="黑体" w:eastAsia="黑体"/>
          <w:b/>
          <w:i w:val="0"/>
          <w:color w:val="182B49"/>
          <w:sz w:val="36"/>
        </w:rPr>
        <w:t>基金经理行为画像核心指标深度解析：</w:t>
        <w:br/>
        <w:t>抗操纵绩效测度（MPPM）与策略偏离指数（SDI）</w:t>
      </w:r>
    </w:p>
    <w:p>
      <w:pPr>
        <w:spacing w:before="0" w:after="360"/>
        <w:jc w:val="center"/>
      </w:pPr>
      <w:r>
        <w:rPr>
          <w:rFonts w:ascii="楷体" w:hAnsi="楷体" w:eastAsia="楷体"/>
          <w:b w:val="0"/>
          <w:i w:val="0"/>
          <w:color w:val="46505F"/>
          <w:sz w:val="24"/>
        </w:rPr>
        <w:t>数理推导、经济学机理、通俗释义与实证应用指南</w:t>
      </w:r>
    </w:p>
    <w:p>
      <w:pPr>
        <w:keepNext/>
        <w:spacing w:before="280" w:after="120"/>
      </w:pPr>
      <w:r>
        <w:rPr>
          <w:rFonts w:ascii="黑体" w:hAnsi="黑体" w:eastAsia="黑体"/>
          <w:b/>
          <w:i w:val="0"/>
          <w:color w:val="143264"/>
          <w:sz w:val="28"/>
        </w:rPr>
        <w:t>一、引言与指标定位</w:t>
      </w:r>
    </w:p>
    <w:p>
      <w:pPr>
        <w:spacing w:line="312" w:lineRule="auto" w:after="80"/>
        <w:ind w:firstLine="420"/>
      </w:pPr>
      <w:r>
        <w:rPr>
          <w:rFonts w:ascii="Times New Roman" w:hAnsi="Times New Roman" w:eastAsia="宋体"/>
          <w:b w:val="0"/>
          <w:i w:val="0"/>
          <w:color w:val="000000"/>
          <w:sz w:val="21"/>
        </w:rPr>
        <w:t>在对中国主动权益公募基金经理进行系统行为画像的研究中，传统的“均值-方差”分析框架与定期的个股持仓披露往往存在两个致命缺陷：其一是“业绩粉饰漏洞”，部分经理通过承担未被波动的极端黑天鹅尾部风险，换取平稳但脆弱的高夏普比率；其二是“言行不一的风格漂移”，部分经理在名义上坚守某种风格，实则频繁追涨杀跌、跨风格横跳。</w:t>
      </w:r>
    </w:p>
    <w:p>
      <w:pPr>
        <w:spacing w:line="312" w:lineRule="auto" w:after="80"/>
        <w:ind w:firstLine="420"/>
      </w:pPr>
      <w:r>
        <w:rPr>
          <w:rFonts w:ascii="Times New Roman" w:hAnsi="Times New Roman" w:eastAsia="宋体"/>
          <w:b w:val="0"/>
          <w:i w:val="0"/>
          <w:color w:val="000000"/>
          <w:sz w:val="21"/>
        </w:rPr>
        <w:t>为了克服上述痛点，本文在五层递进的行为画像框架中，引入了两个具备极高理论鉴别力与实证稳健性的前沿指标：</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mppm8_lag（抗操纵绩效测度，滚动 8 季、滞后一期）：</w:t>
      </w:r>
      <w:r>
        <w:rPr>
          <w:rFonts w:ascii="Times New Roman" w:hAnsi="Times New Roman" w:eastAsia="宋体"/>
          <w:b w:val="0"/>
          <w:i w:val="0"/>
          <w:color w:val="000000"/>
          <w:sz w:val="21"/>
        </w:rPr>
        <w:t>归属于【L4 风险应对层·转化效率维度】。该指标旨在穿透传统夏普比率的操纵漏洞，通过非线性效用函数对极端大额亏损施加非对称的极重惩罚，度量基金经理在剔除业绩粉饰后的“真实风险收益转化能力”。单变量回归 t 检验值高达 +11.22，为全篇 25 个候选指标之最。</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SDI（策略偏离指数 / 风格漂移距离）：</w:t>
      </w:r>
      <w:r>
        <w:rPr>
          <w:rFonts w:ascii="Times New Roman" w:hAnsi="Times New Roman" w:eastAsia="宋体"/>
          <w:b w:val="0"/>
          <w:i w:val="0"/>
          <w:color w:val="000000"/>
          <w:sz w:val="21"/>
        </w:rPr>
        <w:t>归属于【L5 交易执行层·微观市场互动维度】。该指标基于滚动因子回归提取基金的隐含风格载荷，度量基金经理在相邻两个季度之间投资风格的变动距离（跳跃幅度），充当微观投资纪律的“风格漂移测谎仪”。实证回归系数显著为负（t = -2.13），证实“频繁横跳严重损耗长期 Alpha”。</w:t>
      </w:r>
    </w:p>
    <w:p>
      <w:pPr>
        <w:keepNext/>
        <w:spacing w:before="280" w:after="120"/>
      </w:pPr>
      <w:r>
        <w:rPr>
          <w:rFonts w:ascii="黑体" w:hAnsi="黑体" w:eastAsia="黑体"/>
          <w:b/>
          <w:i w:val="0"/>
          <w:color w:val="143264"/>
          <w:sz w:val="28"/>
        </w:rPr>
        <w:t>二、抗操纵绩效测度（mppm8）深度解析</w:t>
      </w:r>
    </w:p>
    <w:p>
      <w:pPr>
        <w:keepNext/>
        <w:spacing w:before="200" w:after="80"/>
      </w:pPr>
      <w:r>
        <w:rPr>
          <w:rFonts w:ascii="黑体" w:hAnsi="黑体" w:eastAsia="黑体"/>
          <w:b/>
          <w:i w:val="0"/>
          <w:color w:val="1E4682"/>
          <w:sz w:val="24"/>
        </w:rPr>
        <w:t>（一）传统夏普比率的操纵漏洞与经济学痛点</w:t>
      </w:r>
    </w:p>
    <w:p>
      <w:pPr>
        <w:spacing w:line="312" w:lineRule="auto" w:after="80"/>
        <w:ind w:firstLine="420"/>
      </w:pPr>
      <w:r>
        <w:rPr>
          <w:rFonts w:ascii="Times New Roman" w:hAnsi="Times New Roman" w:eastAsia="宋体"/>
          <w:b w:val="0"/>
          <w:i w:val="0"/>
          <w:color w:val="000000"/>
          <w:sz w:val="21"/>
        </w:rPr>
        <w:t>传统资产管理行业广泛采用威廉·夏普（Sharpe, 1966）提出的夏普比率（Sharpe Ratio）来衡量风险调整后收益：</w:t>
      </w:r>
    </w:p>
    <w:p>
      <w:pPr>
        <w:spacing w:before="120" w:after="160"/>
        <w:ind w:firstLine="0"/>
        <w:jc w:val="center"/>
      </w:pPr>
      <m:oMathPara>
        <m:oMath>
          <m:sSub>
            <m:sSubPr/>
            <m:e>
              <m:r>
                <m:t xml:space="preserve">Sharpe</m:t>
              </m:r>
            </m:e>
            <m:sub>
              <m:r>
                <m:t xml:space="preserve">i</m:t>
              </m:r>
            </m:sub>
          </m:sSub>
          <m:r>
            <m:t xml:space="preserve"> = </m:t>
          </m:r>
          <m:f>
            <m:fPr/>
            <m:num>
              <m:r>
                <m:rPr>
                  <m:sty m:val="p"/>
                </m:rPr>
                <m:t xml:space="preserve">E</m:t>
              </m:r>
              <m:d>
                <m:dPr>
                  <m:begChr m:val="("/>
                  <m:endChr m:val=")"/>
                </m:dPr>
                <m:e>
                  <m:sSub>
                    <m:sSubPr/>
                    <m:e>
                      <m:r>
                        <m:t xml:space="preserve">R</m:t>
                      </m:r>
                    </m:e>
                    <m:sub>
                      <m:r>
                        <m:t xml:space="preserve">i</m:t>
                      </m:r>
                    </m:sub>
                  </m:sSub>
                  <m:r>
                    <m:t xml:space="preserve"> - </m:t>
                  </m:r>
                  <m:sSub>
                    <m:sSubPr/>
                    <m:e>
                      <m:r>
                        <m:t xml:space="preserve">R</m:t>
                      </m:r>
                    </m:e>
                    <m:sub>
                      <m:r>
                        <m:t xml:space="preserve">f</m:t>
                      </m:r>
                    </m:sub>
                  </m:sSub>
                </m:e>
              </m:d>
            </m:num>
            <m:den>
              <m:sSub>
                <m:sSubPr/>
                <m:e>
                  <m:r>
                    <m:t xml:space="preserve">σ</m:t>
                  </m:r>
                </m:e>
                <m:sub>
                  <m:r>
                    <m:t xml:space="preserve">i</m:t>
                  </m:r>
                </m:sub>
              </m:sSub>
            </m:den>
          </m:f>
        </m:oMath>
      </m:oMathPara>
      <w:r>
        <w:rPr>
          <w:rFonts w:ascii="Times New Roman" w:hAnsi="Times New Roman" w:eastAsia="宋体"/>
          <w:b w:val="0"/>
          <w:i w:val="0"/>
          <w:color w:val="000000"/>
          <w:sz w:val="21"/>
        </w:rPr>
        <w:t xml:space="preserve">    (1)</w:t>
      </w:r>
    </w:p>
    <w:p>
      <w:pPr>
        <w:spacing w:line="312" w:lineRule="auto" w:after="80"/>
        <w:ind w:firstLine="420"/>
      </w:pPr>
      <w:r>
        <w:rPr>
          <w:rFonts w:ascii="Times New Roman" w:hAnsi="Times New Roman" w:eastAsia="宋体"/>
          <w:b w:val="0"/>
          <w:i w:val="0"/>
          <w:color w:val="000000"/>
          <w:sz w:val="21"/>
        </w:rPr>
        <w:t>夏普比率的数学基石是“均值-方差分析”，隐含着收益率服从对称正态分布的强假设。然而，Goetzmann 等人于 2007 年在金融学顶刊《Review of Financial Studies》(RFS) 上刊文严正指出：夏普比率极易被主动型基金经理“操纵”（Manipulable）。</w:t>
      </w:r>
    </w:p>
    <w:p>
      <w:pPr>
        <w:spacing w:line="312" w:lineRule="auto" w:after="80"/>
        <w:ind w:firstLine="420"/>
      </w:pPr>
      <w:r>
        <w:rPr>
          <w:rFonts w:ascii="Times New Roman" w:hAnsi="Times New Roman" w:eastAsia="宋体"/>
          <w:b w:val="0"/>
          <w:i w:val="0"/>
          <w:color w:val="000000"/>
          <w:sz w:val="21"/>
        </w:rPr>
        <w:t>例如，基金经理可以执行一种“做空深度虚值看跌期权（Short Out-of-the-Money Puts）”的动态对赌策略：在大多数正常月份中，该策略可以稳稳收入微薄的期权权利金，从而展现出收益极高、波动率极小、甚至连续多期正回报的“完美”夏普假象；然而一旦遭遇市场流动性危机或极端黑天鹅，组合将承受毁灭性的穿仓亏损。对于追求奖金激励与规模膨胀的经理而言，传统比率无法有效识别这种“拿投资者的本金去赌概率”的粉饰行为。</w:t>
      </w:r>
    </w:p>
    <w:p>
      <w:pPr>
        <w:keepNext/>
        <w:spacing w:before="200" w:after="80"/>
      </w:pPr>
      <w:r>
        <w:rPr>
          <w:rFonts w:ascii="黑体" w:hAnsi="黑体" w:eastAsia="黑体"/>
          <w:b/>
          <w:i w:val="0"/>
          <w:color w:val="1E4682"/>
          <w:sz w:val="24"/>
        </w:rPr>
        <w:t>（二）原生数理公式与定义</w:t>
      </w:r>
    </w:p>
    <w:p>
      <w:pPr>
        <w:spacing w:line="312" w:lineRule="auto" w:after="80"/>
        <w:ind w:firstLine="420"/>
      </w:pPr>
      <w:r>
        <w:rPr>
          <w:rFonts w:ascii="Times New Roman" w:hAnsi="Times New Roman" w:eastAsia="宋体"/>
          <w:b w:val="0"/>
          <w:i w:val="0"/>
          <w:color w:val="000000"/>
          <w:sz w:val="21"/>
        </w:rPr>
        <w:t>为从数学上彻底根除任何无技能经理通过非线性策略虚增业绩的可能，Goetzmann 等（2007）提出了满足四项严格公理的抗操纵绩效测度（Manipulation-Proof Performance Measure, MPPM）。其定义公式为：</w:t>
      </w:r>
    </w:p>
    <w:p>
      <w:pPr>
        <w:spacing w:before="120" w:after="160"/>
        <w:ind w:firstLine="0"/>
        <w:jc w:val="center"/>
      </w:pPr>
      <m:oMathPara>
        <m:oMath>
          <m:sSub>
            <m:sSubPr/>
            <m:e>
              <m:r>
                <m:t xml:space="preserve">MPPM</m:t>
              </m:r>
            </m:e>
            <m:sub>
              <m:r>
                <m:t xml:space="preserve">8</m:t>
              </m:r>
            </m:sub>
          </m:sSub>
          <m:r>
            <m:t xml:space="preserve"> = </m:t>
          </m:r>
          <m:f>
            <m:fPr/>
            <m:num>
              <m:r>
                <m:t xml:space="preserve">1</m:t>
              </m:r>
            </m:num>
            <m:den>
              <m:d>
                <m:dPr>
                  <m:begChr m:val="("/>
                  <m:endChr m:val=")"/>
                </m:dPr>
                <m:e>
                  <m:r>
                    <m:t xml:space="preserve">1 - ρ</m:t>
                  </m:r>
                </m:e>
              </m:d>
              <m:r>
                <m:t xml:space="preserve"> · Δt</m:t>
              </m:r>
            </m:den>
          </m:f>
          <m:r>
            <m:rPr>
              <m:sty m:val="p"/>
            </m:rPr>
            <m:t xml:space="preserve">ln</m:t>
          </m:r>
          <m:d>
            <m:dPr>
              <m:begChr m:val="("/>
              <m:endChr m:val=")"/>
            </m:dPr>
            <m:e>
              <m:f>
                <m:fPr/>
                <m:num>
                  <m:r>
                    <m:t xml:space="preserve">1</m:t>
                  </m:r>
                </m:num>
                <m:den>
                  <m:r>
                    <m:t xml:space="preserve">T</m:t>
                  </m:r>
                </m:den>
              </m:f>
              <m:nary>
                <m:naryPr>
                  <m:chr m:val="∑"/>
                  <m:limLoc m:val="undOvr"/>
                  <m:supHide m:val="0"/>
                  <m:subHide m:val="0"/>
                </m:naryPr>
                <m:sub>
                  <m:r>
                    <m:t xml:space="preserve">t = 1</m:t>
                  </m:r>
                </m:sub>
                <m:sup>
                  <m:r>
                    <m:t xml:space="preserve">T</m:t>
                  </m:r>
                </m:sup>
                <m:e>
                  <m:sSup>
                    <m:sSupPr/>
                    <m:e>
                      <m:d>
                        <m:dPr>
                          <m:begChr m:val="["/>
                          <m:endChr m:val="]"/>
                        </m:dPr>
                        <m:e>
                          <m:f>
                            <m:fPr/>
                            <m:num>
                              <m:r>
                                <m:t xml:space="preserve">1 + </m:t>
                              </m:r>
                              <m:sSub>
                                <m:sSubPr/>
                                <m:e>
                                  <m:r>
                                    <m:t xml:space="preserve">R</m:t>
                                  </m:r>
                                </m:e>
                                <m:sub>
                                  <m:r>
                                    <m:t xml:space="preserve">t</m:t>
                                  </m:r>
                                </m:sub>
                              </m:sSub>
                            </m:num>
                            <m:den>
                              <m:r>
                                <m:t xml:space="preserve">1 + </m:t>
                              </m:r>
                              <m:sSub>
                                <m:sSubPr/>
                                <m:e>
                                  <m:r>
                                    <m:t xml:space="preserve">R</m:t>
                                  </m:r>
                                </m:e>
                                <m:sub>
                                  <m:r>
                                    <m:t xml:space="preserve">f,t</m:t>
                                  </m:r>
                                </m:sub>
                              </m:sSub>
                            </m:den>
                          </m:f>
                        </m:e>
                      </m:d>
                    </m:e>
                    <m:sup>
                      <m:r>
                        <m:t xml:space="preserve">1 - ρ</m:t>
                      </m:r>
                    </m:sup>
                  </m:sSup>
                </m:e>
              </m:nary>
            </m:e>
          </m:d>
        </m:oMath>
      </m:oMathPara>
      <w:r>
        <w:rPr>
          <w:rFonts w:ascii="Times New Roman" w:hAnsi="Times New Roman" w:eastAsia="宋体"/>
          <w:b w:val="0"/>
          <w:i w:val="0"/>
          <w:color w:val="000000"/>
          <w:sz w:val="21"/>
        </w:rPr>
        <w:t xml:space="preserve">    (2)</w:t>
      </w:r>
    </w:p>
    <w:p>
      <w:pPr>
        <w:spacing w:line="312" w:lineRule="auto" w:after="80"/>
        <w:ind w:firstLine="420"/>
      </w:pPr>
      <w:r>
        <w:rPr>
          <w:rFonts w:ascii="Times New Roman" w:hAnsi="Times New Roman" w:eastAsia="宋体"/>
          <w:b w:val="0"/>
          <w:i w:val="0"/>
          <w:color w:val="000000"/>
          <w:sz w:val="21"/>
        </w:rPr>
        <w:t>各变量的数理与金融学含义如下：</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R_t 与 R_{f,t}：</w:t>
      </w:r>
      <w:r>
        <w:rPr>
          <w:rFonts w:ascii="Times New Roman" w:hAnsi="Times New Roman" w:eastAsia="宋体"/>
          <w:b w:val="0"/>
          <w:i w:val="0"/>
          <w:color w:val="000000"/>
          <w:sz w:val="21"/>
        </w:rPr>
        <w:t>分别代表基金在第 t 期的真实总收益率与同期无风险利率。</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ρ（RHO）：</w:t>
      </w:r>
      <w:r>
        <w:rPr>
          <w:rFonts w:ascii="Times New Roman" w:hAnsi="Times New Roman" w:eastAsia="宋体"/>
          <w:b w:val="0"/>
          <w:i w:val="0"/>
          <w:color w:val="000000"/>
          <w:sz w:val="21"/>
        </w:rPr>
        <w:t>相对风险厌恶参数（Coefficient of Relative Risk Aversion, CRRA）。在经典金融学文献中，标准取值为 ρ = 3。</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Δt：</w:t>
      </w:r>
      <w:r>
        <w:rPr>
          <w:rFonts w:ascii="Times New Roman" w:hAnsi="Times New Roman" w:eastAsia="宋体"/>
          <w:b w:val="0"/>
          <w:i w:val="0"/>
          <w:color w:val="000000"/>
          <w:sz w:val="21"/>
        </w:rPr>
        <w:t>数据的时间频率年化折算常数。本文实证采用季度数据，因此设 Δt = 0.25（一年 4 个季度）。</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T：</w:t>
      </w:r>
      <w:r>
        <w:rPr>
          <w:rFonts w:ascii="Times New Roman" w:hAnsi="Times New Roman" w:eastAsia="宋体"/>
          <w:b w:val="0"/>
          <w:i w:val="0"/>
          <w:color w:val="000000"/>
          <w:sz w:val="21"/>
        </w:rPr>
        <w:t>滚动的期数窗口。本文采用滚动 8 季（T = 8，即过去 2 年）的时序样本进行平滑计算。</w:t>
      </w:r>
    </w:p>
    <w:p>
      <w:pPr>
        <w:keepNext/>
        <w:spacing w:before="200" w:after="80"/>
      </w:pPr>
      <w:r>
        <w:rPr>
          <w:rFonts w:ascii="黑体" w:hAnsi="黑体" w:eastAsia="黑体"/>
          <w:b/>
          <w:i w:val="0"/>
          <w:color w:val="1E4682"/>
          <w:sz w:val="24"/>
        </w:rPr>
        <w:t>（三）为什么能够“重罚大跌”？高阶泰勒展开的数学本质</w:t>
      </w:r>
    </w:p>
    <w:p>
      <w:pPr>
        <w:spacing w:line="312" w:lineRule="auto" w:after="80"/>
        <w:ind w:firstLine="420"/>
      </w:pPr>
      <w:r>
        <w:rPr>
          <w:rFonts w:ascii="Times New Roman" w:hAnsi="Times New Roman" w:eastAsia="宋体"/>
          <w:b w:val="0"/>
          <w:i w:val="0"/>
          <w:color w:val="000000"/>
          <w:sz w:val="21"/>
        </w:rPr>
        <w:t>MPPM 公式在数学表面上是一个包含自然对数和幂函数的复杂复合式，但如果对其进行二阶乃至高阶泰勒级数展开，其经济学物理图像会瞬间变得无比清晰：</w:t>
      </w:r>
    </w:p>
    <w:p>
      <w:pPr>
        <w:spacing w:before="120" w:after="160"/>
        <w:ind w:firstLine="0"/>
        <w:jc w:val="center"/>
      </w:pPr>
      <m:oMathPara>
        <m:oMath>
          <m:sSub>
            <m:sSubPr/>
            <m:e>
              <m:r>
                <m:t xml:space="preserve">MPPM</m:t>
              </m:r>
            </m:e>
            <m:sub>
              <m:r>
                <m:t xml:space="preserve">8</m:t>
              </m:r>
            </m:sub>
          </m:sSub>
          <m:r>
            <m:t xml:space="preserve"> ≈ </m:t>
          </m:r>
          <m:d>
            <m:dPr>
              <m:begChr m:val="("/>
              <m:endChr m:val=")"/>
            </m:dPr>
            <m:e>
              <m:sSub>
                <m:sSubPr/>
                <m:e>
                  <m:r>
                    <m:t xml:space="preserve">R</m:t>
                  </m:r>
                </m:e>
                <m:sub>
                  <m:r>
                    <m:t xml:space="preserve">t</m:t>
                  </m:r>
                </m:sub>
              </m:sSub>
              <m:r>
                <m:t xml:space="preserve"> - </m:t>
              </m:r>
              <m:sSub>
                <m:sSubPr/>
                <m:e>
                  <m:r>
                    <m:t xml:space="preserve">R</m:t>
                  </m:r>
                </m:e>
                <m:sub>
                  <m:r>
                    <m:t xml:space="preserve">f,t</m:t>
                  </m:r>
                </m:sub>
              </m:sSub>
            </m:e>
          </m:d>
          <m:r>
            <m:t xml:space="preserve"> - </m:t>
          </m:r>
          <m:f>
            <m:fPr/>
            <m:num>
              <m:r>
                <m:t xml:space="preserve">ρ</m:t>
              </m:r>
            </m:num>
            <m:den>
              <m:r>
                <m:t xml:space="preserve">2</m:t>
              </m:r>
            </m:den>
          </m:f>
          <m:sSup>
            <m:sSupPr/>
            <m:e>
              <m:sSub>
                <m:sSubPr/>
                <m:e>
                  <m:r>
                    <m:t xml:space="preserve">σ</m:t>
                  </m:r>
                </m:e>
                <m:sub>
                  <m:r>
                    <m:t xml:space="preserve">t</m:t>
                  </m:r>
                </m:sub>
              </m:sSub>
            </m:e>
            <m:sup>
              <m:r>
                <m:t xml:space="preserve">2</m:t>
              </m:r>
            </m:sup>
          </m:sSup>
          <m:r>
            <m:t xml:space="preserve"> + </m:t>
          </m:r>
          <m:f>
            <m:fPr/>
            <m:num>
              <m:r>
                <m:t xml:space="preserve">ρ(ρ + 1)</m:t>
              </m:r>
            </m:num>
            <m:den>
              <m:r>
                <m:t xml:space="preserve">6</m:t>
              </m:r>
            </m:den>
          </m:f>
          <m:sSub>
            <m:sSubPr/>
            <m:e>
              <m:r>
                <m:t xml:space="preserve">Skew</m:t>
              </m:r>
            </m:e>
            <m:sub>
              <m:r>
                <m:t xml:space="preserve">t</m:t>
              </m:r>
            </m:sub>
          </m:sSub>
          <m:sSup>
            <m:sSupPr/>
            <m:e>
              <m:sSub>
                <m:sSubPr/>
                <m:e>
                  <m:r>
                    <m:t xml:space="preserve">σ</m:t>
                  </m:r>
                </m:e>
                <m:sub>
                  <m:r>
                    <m:t xml:space="preserve">t</m:t>
                  </m:r>
                </m:sub>
              </m:sSub>
            </m:e>
            <m:sup>
              <m:r>
                <m:t xml:space="preserve">3</m:t>
              </m:r>
            </m:sup>
          </m:sSup>
          <m:r>
            <m:rPr>
              <m:sty m:val="p"/>
            </m:rPr>
            <m:t xml:space="preserve"> - …</m:t>
          </m:r>
        </m:oMath>
      </m:oMathPara>
      <w:r>
        <w:rPr>
          <w:rFonts w:ascii="Times New Roman" w:hAnsi="Times New Roman" w:eastAsia="宋体"/>
          <w:b w:val="0"/>
          <w:i w:val="0"/>
          <w:color w:val="000000"/>
          <w:sz w:val="21"/>
        </w:rPr>
        <w:t xml:space="preserve">    (3)</w:t>
      </w:r>
    </w:p>
    <w:p>
      <w:pPr>
        <w:spacing w:line="312" w:lineRule="auto" w:after="80"/>
        <w:ind w:firstLine="420"/>
      </w:pPr>
      <w:r>
        <w:rPr>
          <w:rFonts w:ascii="Times New Roman" w:hAnsi="Times New Roman" w:eastAsia="宋体"/>
          <w:b w:val="0"/>
          <w:i w:val="0"/>
          <w:color w:val="000000"/>
          <w:sz w:val="21"/>
        </w:rPr>
        <w:t>式（3）清楚地展示了 MPPM 评价投资经理的三重机制：</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第一重（均值激励）：</w:t>
      </w:r>
      <w:r>
        <w:rPr>
          <w:rFonts w:ascii="Times New Roman" w:hAnsi="Times New Roman" w:eastAsia="宋体"/>
          <w:b w:val="0"/>
          <w:i w:val="0"/>
          <w:color w:val="000000"/>
          <w:sz w:val="21"/>
        </w:rPr>
        <w:t>第一项代表投资经理取得的平均超额收益率，回报越高，得分线性增加。</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第二重（方差惩罚）：</w:t>
      </w:r>
      <w:r>
        <w:rPr>
          <w:rFonts w:ascii="Times New Roman" w:hAnsi="Times New Roman" w:eastAsia="宋体"/>
          <w:b w:val="0"/>
          <w:i w:val="0"/>
          <w:color w:val="000000"/>
          <w:sz w:val="21"/>
        </w:rPr>
        <w:t>第二项是常规的二阶矩惩罚，波动率越大（方差越大），扣除的分数越多，且惩罚力度正比于风险厌恶系数 ρ。</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第三重（偏度与暴跌非对称重罚）：</w:t>
      </w:r>
      <w:r>
        <w:rPr>
          <w:rFonts w:ascii="Times New Roman" w:hAnsi="Times New Roman" w:eastAsia="宋体"/>
          <w:b w:val="0"/>
          <w:i w:val="0"/>
          <w:color w:val="000000"/>
          <w:sz w:val="21"/>
        </w:rPr>
        <w:t>关键在于高阶项！当 ρ = 3 时，指数 1 - ρ = -2（负二次方）。由于负幂函数的严重下凸性，大额亏损项的分母急剧收缩，导致整个倒数项发生爆炸式扩张。这意味着：如果基金经理某期遭遇 -50% 的断崖式回撤，其受到的效用惩罚远非常规波动的均值惩罚所能比拟，彻底杜绝了“平时赚蝇头小利、年底爆一次雷”的投机客。</w:t>
      </w:r>
    </w:p>
    <w:tbl>
      <w:tblPr>
        <w:tblW w:type="auto" w:w="0"/>
        <w:jc w:val="center"/>
        <w:tblLook w:firstColumn="1" w:firstRow="1" w:lastColumn="0" w:lastRow="0" w:noHBand="0" w:noVBand="1" w:val="04A0"/>
      </w:tblPr>
      <w:tblGrid>
        <w:gridCol w:w="9406"/>
      </w:tblGrid>
      <w:tr>
        <w:tc>
          <w:tcPr>
            <w:tcW w:type="dxa" w:w="9071"/>
            <w:shd w:fill="F4F6F9"/>
            <w:tcBorders>
              <w:top w:val="none"/>
              <w:left w:val="single" w:sz="24" w:space="0" w:color="1E4682"/>
              <w:bottom w:val="none"/>
              <w:right w:val="none"/>
            </w:tcBorders>
          </w:tcPr>
          <w:p>
            <w:pPr>
              <w:spacing w:line="300" w:lineRule="auto" w:before="100" w:after="80"/>
              <w:ind w:left="160" w:right="160"/>
            </w:pPr>
            <w:r>
              <w:rPr>
                <w:rFonts w:ascii="黑体" w:hAnsi="黑体" w:eastAsia="黑体"/>
                <w:b/>
                <w:i w:val="0"/>
                <w:color w:val="1E4682"/>
                <w:sz w:val="21"/>
              </w:rPr>
              <w:t>【核心通俗释义】MPPM8 = 扣除暴跌黑天鹅重度惩罚后的真实年化超额收益</w:t>
              <w:br/>
            </w:r>
            <w:r>
              <w:rPr>
                <w:rFonts w:ascii="Times New Roman" w:hAnsi="Times New Roman" w:eastAsia="楷体"/>
                <w:b w:val="0"/>
                <w:i w:val="0"/>
                <w:color w:val="282828"/>
                <w:sz w:val="20"/>
              </w:rPr>
              <w:t>平时赚小钱不算本事，只要踩雷大亏一次就加倍扣分。</w:t>
              <w:br/>
              <w:t>看过去整整 2 年（8 个季度）的综合历程，剔除一切虚假粉饰，计算出基金经理在扣除暴跌心理惩罚后，真正给持有人带来的“无风险等价确定性年化回报”。</w:t>
            </w:r>
          </w:p>
        </w:tc>
      </w:tr>
    </w:tbl>
    <w:p>
      <w:pPr>
        <w:spacing w:before="0" w:after="80"/>
      </w:pPr>
    </w:p>
    <w:p>
      <w:pPr>
        <w:keepNext/>
        <w:spacing w:before="200" w:after="80"/>
      </w:pPr>
      <w:r>
        <w:rPr>
          <w:rFonts w:ascii="黑体" w:hAnsi="黑体" w:eastAsia="黑体"/>
          <w:b/>
          <w:i w:val="0"/>
          <w:color w:val="1E4682"/>
          <w:sz w:val="24"/>
        </w:rPr>
        <w:t>（四）为什么必须“滚动 8 季”且“滞后一期（_lag）”？</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滚动 8 季（mppm8）：</w:t>
      </w:r>
      <w:r>
        <w:rPr>
          <w:rFonts w:ascii="Times New Roman" w:hAnsi="Times New Roman" w:eastAsia="宋体"/>
          <w:b w:val="0"/>
          <w:i w:val="0"/>
          <w:color w:val="000000"/>
          <w:sz w:val="21"/>
        </w:rPr>
        <w:t>公募基金行业存在显著的市场周期律。单一季度的业绩往往受到风格轮动和短期运气的扰动；选取滚动 8 季（跨越 2 年整），能够完整覆盖中国 A 股市场一个典型的小型“牛熊/震荡”中周期，更具统计稳健性。</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滞后一期（_lag）：</w:t>
      </w:r>
      <w:r>
        <w:rPr>
          <w:rFonts w:ascii="Times New Roman" w:hAnsi="Times New Roman" w:eastAsia="宋体"/>
          <w:b w:val="0"/>
          <w:i w:val="0"/>
          <w:color w:val="000000"/>
          <w:sz w:val="21"/>
        </w:rPr>
        <w:t>在实证回归方程中，如果用当期第 t 季的行为去解释当期第 t 季的 Alpha，存在严重的内生性与概念同源性（用已有收益解释已有收益）。因此，所有转化类指标统一做滞后一期处理（lag 1 期），即用截至 t-1 期的过去两年抗操纵得分，去预测 t 期的未来超额收益，从而严格规避前视偏差（Look-ahead bias）。</w:t>
      </w:r>
    </w:p>
    <w:p>
      <w:pPr>
        <w:keepNext/>
        <w:spacing w:before="200" w:after="80"/>
      </w:pPr>
      <w:r>
        <w:rPr>
          <w:rFonts w:ascii="黑体" w:hAnsi="黑体" w:eastAsia="黑体"/>
          <w:b/>
          <w:i w:val="0"/>
          <w:color w:val="1E4682"/>
          <w:sz w:val="24"/>
        </w:rPr>
        <w:t>（五）Python 核心计算代码实现</w:t>
      </w:r>
    </w:p>
    <w:p>
      <w:pPr>
        <w:spacing w:line="312" w:lineRule="auto" w:after="80"/>
        <w:ind w:firstLine="420"/>
      </w:pPr>
      <w:r>
        <w:rPr>
          <w:rFonts w:ascii="Times New Roman" w:hAnsi="Times New Roman" w:eastAsia="宋体"/>
          <w:b w:val="0"/>
          <w:i w:val="0"/>
          <w:color w:val="000000"/>
          <w:sz w:val="21"/>
        </w:rPr>
        <w:t>在工程流水线中，该指标的底层算法忠实执行文献标准，核心代码如下：</w:t>
      </w:r>
    </w:p>
    <w:tbl>
      <w:tblPr>
        <w:tblW w:type="auto" w:w="0"/>
        <w:jc w:val="center"/>
        <w:tblLook w:firstColumn="1" w:firstRow="1" w:lastColumn="0" w:lastRow="0" w:noHBand="0" w:noVBand="1" w:val="04A0"/>
      </w:tblPr>
      <w:tblGrid>
        <w:gridCol w:w="9406"/>
      </w:tblGrid>
      <w:tr>
        <w:tc>
          <w:tcPr>
            <w:tcW w:type="dxa" w:w="9071"/>
            <w:shd w:fill="282C34"/>
            <w:tcBorders>
              <w:top w:val="none"/>
              <w:left w:val="none"/>
              <w:bottom w:val="none"/>
              <w:right w:val="none"/>
            </w:tcBorders>
          </w:tcPr>
          <w:p>
            <w:pPr>
              <w:spacing w:line="276" w:lineRule="auto" w:before="80" w:after="80"/>
              <w:ind w:left="120"/>
            </w:pPr>
            <w:r>
              <w:rPr>
                <w:rFonts w:ascii="Consolas" w:hAnsi="Consolas" w:eastAsia="Consolas"/>
                <w:b w:val="0"/>
                <w:i w:val="0"/>
                <w:color w:val="DCDCDC"/>
                <w:sz w:val="18"/>
              </w:rPr>
              <w:t># 计算抗操纵绩效测度 mppm8 (Goetzmann et al., 2007)</w:t>
              <w:br/>
              <w:t>RHO = 3.0    # 相对风险厌恶系数</w:t>
              <w:br/>
              <w:t>DT  = 0.25   # 季度年化折算常数 (1年4个季度)</w:t>
              <w:br/>
              <w:br/>
              <w:t># 计算财富转化比例 (1 + R) / (1 + Rf)</w:t>
              <w:br/>
              <w:t>term = (1.0 + df['quarter_return']) / (1.0 + df['rf'])</w:t>
              <w:br/>
              <w:br/>
              <w:t># 负二次方变换：(term ** -2.0)，并按基金滚动 8 季取均值</w:t>
              <w:br/>
              <w:t>gm = (term ** (1.0 - RHO)).groupby(df['fund_code']).transform(</w:t>
              <w:br/>
              <w:t xml:space="preserve">    lambda s: s.rolling(8, min_periods=4).mean()</w:t>
              <w:br/>
              <w:t>)</w:t>
              <w:br/>
              <w:br/>
              <w:t># 对数还原计算无操纵年化等价收益率</w:t>
              <w:br/>
              <w:t>df['mppm8'] = np.log(gm.where(gm &gt; 0)) / ((1.0 - RHO) * DT)</w:t>
              <w:br/>
              <w:t>df['mppm8_lag'] = df.groupby('fund_code')['mppm8'].shift(1)  # 滞后一期规避前瞻偏差</w:t>
              <w:br/>
            </w:r>
          </w:p>
        </w:tc>
      </w:tr>
    </w:tbl>
    <w:p>
      <w:pPr>
        <w:spacing w:before="0" w:after="80"/>
      </w:pPr>
    </w:p>
    <w:p>
      <w:pPr>
        <w:keepNext/>
        <w:spacing w:before="280" w:after="120"/>
      </w:pPr>
      <w:r>
        <w:rPr>
          <w:rFonts w:ascii="黑体" w:hAnsi="黑体" w:eastAsia="黑体"/>
          <w:b/>
          <w:i w:val="0"/>
          <w:color w:val="143264"/>
          <w:sz w:val="28"/>
        </w:rPr>
        <w:t>三、策略偏离指数（SDI）深度解析</w:t>
      </w:r>
    </w:p>
    <w:p>
      <w:pPr>
        <w:keepNext/>
        <w:spacing w:before="200" w:after="80"/>
      </w:pPr>
      <w:r>
        <w:rPr>
          <w:rFonts w:ascii="黑体" w:hAnsi="黑体" w:eastAsia="黑体"/>
          <w:b/>
          <w:i w:val="0"/>
          <w:color w:val="1E4682"/>
          <w:sz w:val="24"/>
        </w:rPr>
        <w:t>（一）基金经理“言行不一”与风格漂移痛点</w:t>
      </w:r>
    </w:p>
    <w:p>
      <w:pPr>
        <w:spacing w:line="312" w:lineRule="auto" w:after="80"/>
        <w:ind w:firstLine="420"/>
      </w:pPr>
      <w:r>
        <w:rPr>
          <w:rFonts w:ascii="Times New Roman" w:hAnsi="Times New Roman" w:eastAsia="宋体"/>
          <w:b w:val="0"/>
          <w:i w:val="0"/>
          <w:color w:val="000000"/>
          <w:sz w:val="21"/>
        </w:rPr>
        <w:t>在公募基金实务中，投资经理常常面临来自持有人赎回与业绩排名的短期锦标赛压力。部分经理由于缺乏对自身能力圈的坚守，往往表现出强烈的“风格漂移（Style Drift）”特征：在一季度重仓大盘蓝筹，二季度转投高估值科技成长，三季度追逐微盘微利股，四季度又割肉换仓至低估值防御性红利。</w:t>
      </w:r>
    </w:p>
    <w:p>
      <w:pPr>
        <w:spacing w:line="312" w:lineRule="auto" w:after="80"/>
        <w:ind w:firstLine="420"/>
      </w:pPr>
      <w:r>
        <w:rPr>
          <w:rFonts w:ascii="Times New Roman" w:hAnsi="Times New Roman" w:eastAsia="宋体"/>
          <w:b w:val="0"/>
          <w:i w:val="0"/>
          <w:color w:val="000000"/>
          <w:sz w:val="21"/>
        </w:rPr>
        <w:t>Brown &amp; Goetzmann (1997, Journal of Finance) 与 Wermers (2012) 论证指出，频繁的风格漂移通常伴随着伪主动投资、噪声交易与过度的调仓摩擦成本。对于组合构建者而言，这种漂移彻底摧毁了基金作为“风格配置工具”的可靠性。</w:t>
      </w:r>
    </w:p>
    <w:p>
      <w:pPr>
        <w:keepNext/>
        <w:spacing w:before="200" w:after="80"/>
      </w:pPr>
      <w:r>
        <w:rPr>
          <w:rFonts w:ascii="黑体" w:hAnsi="黑体" w:eastAsia="黑体"/>
          <w:b/>
          <w:i w:val="0"/>
          <w:color w:val="1E4682"/>
          <w:sz w:val="24"/>
        </w:rPr>
        <w:t>（二）风格基准回归与隐含权重的提取</w:t>
      </w:r>
    </w:p>
    <w:p>
      <w:pPr>
        <w:spacing w:line="312" w:lineRule="auto" w:after="80"/>
        <w:ind w:firstLine="420"/>
      </w:pPr>
      <w:r>
        <w:rPr>
          <w:rFonts w:ascii="Times New Roman" w:hAnsi="Times New Roman" w:eastAsia="宋体"/>
          <w:b w:val="0"/>
          <w:i w:val="0"/>
          <w:color w:val="000000"/>
          <w:sz w:val="21"/>
        </w:rPr>
        <w:t>由于公募基金的实时调仓并不对外公开，学界通过基于日度或周度净值收益率的因子风格回归，反推基金经理真实的底层风格暴露（Implied Factor Weights）：</w:t>
      </w:r>
    </w:p>
    <w:p>
      <w:pPr>
        <w:spacing w:before="120" w:after="160"/>
        <w:ind w:firstLine="0"/>
        <w:jc w:val="center"/>
      </w:pPr>
      <m:oMathPara>
        <m:oMath>
          <m:sSub>
            <m:sSubPr/>
            <m:e>
              <m:r>
                <m:t xml:space="preserve">R</m:t>
              </m:r>
            </m:e>
            <m:sub>
              <m:r>
                <m:t xml:space="preserve">i,t</m:t>
              </m:r>
            </m:sub>
          </m:sSub>
          <m:r>
            <m:t xml:space="preserve"> = </m:t>
          </m:r>
          <m:sSub>
            <m:sSubPr/>
            <m:e>
              <m:r>
                <m:t xml:space="preserve">α</m:t>
              </m:r>
            </m:e>
            <m:sub>
              <m:r>
                <m:t xml:space="preserve">i</m:t>
              </m:r>
            </m:sub>
          </m:sSub>
          <m:r>
            <m:t xml:space="preserve"> + </m:t>
          </m:r>
          <m:nary>
            <m:naryPr>
              <m:chr m:val="∑"/>
              <m:limLoc m:val="undOvr"/>
              <m:supHide m:val="0"/>
              <m:subHide m:val="0"/>
            </m:naryPr>
            <m:sub>
              <m:r>
                <m:t xml:space="preserve">k = 1</m:t>
              </m:r>
            </m:sub>
            <m:sup>
              <m:r>
                <m:t xml:space="preserve">K</m:t>
              </m:r>
            </m:sup>
            <m:e>
              <m:sSub>
                <m:sSubPr/>
                <m:e>
                  <m:r>
                    <m:t xml:space="preserve">b</m:t>
                  </m:r>
                </m:e>
                <m:sub>
                  <m:r>
                    <m:t xml:space="preserve">k,i,t</m:t>
                  </m:r>
                </m:sub>
              </m:sSub>
              <m:r>
                <m:t xml:space="preserve"> · </m:t>
              </m:r>
              <m:sSub>
                <m:sSubPr/>
                <m:e>
                  <m:r>
                    <m:t xml:space="preserve">F</m:t>
                  </m:r>
                </m:e>
                <m:sub>
                  <m:r>
                    <m:t xml:space="preserve">k,t</m:t>
                  </m:r>
                </m:sub>
              </m:sSub>
            </m:e>
          </m:nary>
          <m:r>
            <m:t xml:space="preserve"> + </m:t>
          </m:r>
          <m:sSub>
            <m:sSubPr/>
            <m:e>
              <m:r>
                <m:t xml:space="preserve">ϵ</m:t>
              </m:r>
            </m:e>
            <m:sub>
              <m:r>
                <m:t xml:space="preserve">i,t</m:t>
              </m:r>
            </m:sub>
          </m:sSub>
        </m:oMath>
      </m:oMathPara>
      <w:r>
        <w:rPr>
          <w:rFonts w:ascii="Times New Roman" w:hAnsi="Times New Roman" w:eastAsia="宋体"/>
          <w:b w:val="0"/>
          <w:i w:val="0"/>
          <w:color w:val="000000"/>
          <w:sz w:val="21"/>
        </w:rPr>
        <w:t xml:space="preserve">    (4)</w:t>
      </w:r>
    </w:p>
    <w:p>
      <w:pPr>
        <w:spacing w:line="312" w:lineRule="auto" w:after="80"/>
        <w:ind w:firstLine="420"/>
      </w:pPr>
      <w:r>
        <w:rPr>
          <w:rFonts w:ascii="Times New Roman" w:hAnsi="Times New Roman" w:eastAsia="宋体"/>
          <w:b w:val="0"/>
          <w:i w:val="0"/>
          <w:color w:val="000000"/>
          <w:sz w:val="21"/>
        </w:rPr>
        <w:t>其中 F_{k,t} 为经典风险因子体系（如市场因子 MKT、规模因子 SMB、价值因子 HML 等）。回归提取得到的系数向量：</w:t>
      </w:r>
    </w:p>
    <w:p>
      <w:pPr>
        <w:spacing w:before="120" w:after="160"/>
        <w:ind w:firstLine="0"/>
        <w:jc w:val="center"/>
      </w:pPr>
      <m:oMathPara>
        <m:oMath>
          <m:sSub>
            <m:sSubPr/>
            <m:e>
              <m:r>
                <m:t xml:space="preserve">b</m:t>
              </m:r>
            </m:e>
            <m:sub>
              <m:r>
                <m:t xml:space="preserve">i,t</m:t>
              </m:r>
            </m:sub>
          </m:sSub>
          <m:r>
            <m:t xml:space="preserve"> = </m:t>
          </m:r>
          <m:d>
            <m:dPr>
              <m:begChr m:val="["/>
              <m:endChr m:val="]"/>
            </m:dPr>
            <m:e>
              <m:sSub>
                <m:sSubPr/>
                <m:e>
                  <m:r>
                    <m:t xml:space="preserve">b</m:t>
                  </m:r>
                </m:e>
                <m:sub>
                  <m:r>
                    <m:t xml:space="preserve">1,i,t</m:t>
                  </m:r>
                </m:sub>
              </m:sSub>
              <m:r>
                <m:t xml:space="preserve">, </m:t>
              </m:r>
              <m:sSub>
                <m:sSubPr/>
                <m:e>
                  <m:r>
                    <m:t xml:space="preserve">b</m:t>
                  </m:r>
                </m:e>
                <m:sub>
                  <m:r>
                    <m:t xml:space="preserve">2,i,t</m:t>
                  </m:r>
                </m:sub>
              </m:sSub>
              <m:r>
                <m:t xml:space="preserve">, …, </m:t>
              </m:r>
              <m:sSub>
                <m:sSubPr/>
                <m:e>
                  <m:r>
                    <m:t xml:space="preserve">b</m:t>
                  </m:r>
                </m:e>
                <m:sub>
                  <m:r>
                    <m:t xml:space="preserve">K,i,t</m:t>
                  </m:r>
                </m:sub>
              </m:sSub>
            </m:e>
          </m:d>
        </m:oMath>
      </m:oMathPara>
      <w:r>
        <w:rPr>
          <w:rFonts w:ascii="Times New Roman" w:hAnsi="Times New Roman" w:eastAsia="宋体"/>
          <w:b w:val="0"/>
          <w:i w:val="0"/>
          <w:color w:val="000000"/>
          <w:sz w:val="21"/>
        </w:rPr>
        <w:t xml:space="preserve">    (5)</w:t>
      </w:r>
    </w:p>
    <w:p>
      <w:pPr>
        <w:spacing w:line="312" w:lineRule="auto" w:after="80"/>
        <w:ind w:firstLine="420"/>
      </w:pPr>
      <w:r>
        <w:rPr>
          <w:rFonts w:ascii="Times New Roman" w:hAnsi="Times New Roman" w:eastAsia="宋体"/>
          <w:b w:val="0"/>
          <w:i w:val="0"/>
          <w:color w:val="000000"/>
          <w:sz w:val="21"/>
        </w:rPr>
        <w:t>该向量即为基金经理在第 t 季度“骨子里表现出来的真实资产风格权重”。例如：若 b_{SMB} 显著为正且极大，说明其实际持仓偏向小微盘；若 b_{HML} 显著为正，说明其实际持仓偏向低估值价值股。</w:t>
      </w:r>
    </w:p>
    <w:p>
      <w:pPr>
        <w:keepNext/>
        <w:spacing w:before="200" w:after="80"/>
      </w:pPr>
      <w:r>
        <w:rPr>
          <w:rFonts w:ascii="黑体" w:hAnsi="黑体" w:eastAsia="黑体"/>
          <w:b/>
          <w:i w:val="0"/>
          <w:color w:val="1E4682"/>
          <w:sz w:val="24"/>
        </w:rPr>
        <w:t>（三）原生数学定义：相邻两季的变动距离测度</w:t>
      </w:r>
    </w:p>
    <w:p>
      <w:pPr>
        <w:spacing w:line="312" w:lineRule="auto" w:after="80"/>
        <w:ind w:firstLine="420"/>
      </w:pPr>
      <w:r>
        <w:rPr>
          <w:rFonts w:ascii="Times New Roman" w:hAnsi="Times New Roman" w:eastAsia="宋体"/>
          <w:b w:val="0"/>
          <w:i w:val="0"/>
          <w:color w:val="000000"/>
          <w:sz w:val="21"/>
        </w:rPr>
        <w:t>Wermers (2012) 提出的策略偏离指数（Strategy Deviation Index, SDI），通过计算相邻两个季度之间风格权重向量的“曼哈顿距离（L1 范数差）”来精确量化风格跳跃的剧烈程度：</w:t>
      </w:r>
    </w:p>
    <w:p>
      <w:pPr>
        <w:spacing w:before="120" w:after="160"/>
        <w:ind w:firstLine="0"/>
        <w:jc w:val="center"/>
      </w:pPr>
      <m:oMathPara>
        <m:oMath>
          <m:sSub>
            <m:sSubPr/>
            <m:e>
              <m:r>
                <m:t xml:space="preserve">SDI</m:t>
              </m:r>
            </m:e>
            <m:sub>
              <m:r>
                <m:t xml:space="preserve">i,t</m:t>
              </m:r>
            </m:sub>
          </m:sSub>
          <m:r>
            <m:t xml:space="preserve"> = </m:t>
          </m:r>
          <m:nary>
            <m:naryPr>
              <m:chr m:val="∑"/>
              <m:limLoc m:val="undOvr"/>
              <m:supHide m:val="0"/>
              <m:subHide m:val="0"/>
            </m:naryPr>
            <m:sub>
              <m:r>
                <m:t xml:space="preserve">k = 1</m:t>
              </m:r>
            </m:sub>
            <m:sup>
              <m:r>
                <m:t xml:space="preserve">K</m:t>
              </m:r>
            </m:sup>
            <m:e>
              <m:d>
                <m:dPr>
                  <m:begChr m:val="|"/>
                  <m:endChr m:val="|"/>
                </m:dPr>
                <m:e>
                  <m:sSub>
                    <m:sSubPr/>
                    <m:e>
                      <m:r>
                        <m:t xml:space="preserve">b</m:t>
                      </m:r>
                    </m:e>
                    <m:sub>
                      <m:r>
                        <m:t xml:space="preserve">k,i,t</m:t>
                      </m:r>
                    </m:sub>
                  </m:sSub>
                  <m:r>
                    <m:t xml:space="preserve"> - </m:t>
                  </m:r>
                  <m:sSub>
                    <m:sSubPr/>
                    <m:e>
                      <m:r>
                        <m:t xml:space="preserve">b</m:t>
                      </m:r>
                    </m:e>
                    <m:sub>
                      <m:r>
                        <m:t xml:space="preserve">k,i,t-1</m:t>
                      </m:r>
                    </m:sub>
                  </m:sSub>
                </m:e>
              </m:d>
            </m:e>
          </m:nary>
        </m:oMath>
      </m:oMathPara>
      <w:r>
        <w:rPr>
          <w:rFonts w:ascii="Times New Roman" w:hAnsi="Times New Roman" w:eastAsia="宋体"/>
          <w:b w:val="0"/>
          <w:i w:val="0"/>
          <w:color w:val="000000"/>
          <w:sz w:val="21"/>
        </w:rPr>
        <w:t xml:space="preserve">    (6)</w:t>
      </w:r>
    </w:p>
    <w:p>
      <w:pPr>
        <w:spacing w:line="312" w:lineRule="auto" w:after="80"/>
        <w:ind w:firstLine="420"/>
      </w:pPr>
      <w:r>
        <w:rPr>
          <w:rFonts w:ascii="Times New Roman" w:hAnsi="Times New Roman" w:eastAsia="宋体"/>
          <w:b w:val="0"/>
          <w:i w:val="0"/>
          <w:color w:val="000000"/>
          <w:sz w:val="21"/>
        </w:rPr>
        <w:t>从几何与数学直觉来看，式（6）度量的是基金在 K 维风格特征空间中的时序位移幅度：</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SDI 趋近于 0（定力型）：</w:t>
      </w:r>
      <w:r>
        <w:rPr>
          <w:rFonts w:ascii="Times New Roman" w:hAnsi="Times New Roman" w:eastAsia="宋体"/>
          <w:b w:val="0"/>
          <w:i w:val="0"/>
          <w:color w:val="000000"/>
          <w:sz w:val="21"/>
        </w:rPr>
        <w:t>说明基金经理本季度的风格向量与上一季度几乎重合，无论是大/小盘还是价值/成长暴露均保持极高的一致性，展现出强大的投资纪律与能力圈定力。</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SDI 数值极大（漂移型）：</w:t>
      </w:r>
      <w:r>
        <w:rPr>
          <w:rFonts w:ascii="Times New Roman" w:hAnsi="Times New Roman" w:eastAsia="宋体"/>
          <w:b w:val="0"/>
          <w:i w:val="0"/>
          <w:color w:val="000000"/>
          <w:sz w:val="21"/>
        </w:rPr>
        <w:t>说明基金经理在两个季度之间发生了剧烈的风格大换仓，例如从高 Beta 成长瞬间切换至低 Beta 深度价值，各因子载荷发生了颠覆性的位移。</w:t>
      </w:r>
    </w:p>
    <w:tbl>
      <w:tblPr>
        <w:tblW w:type="auto" w:w="0"/>
        <w:jc w:val="center"/>
        <w:tblLook w:firstColumn="1" w:firstRow="1" w:lastColumn="0" w:lastRow="0" w:noHBand="0" w:noVBand="1" w:val="04A0"/>
      </w:tblPr>
      <w:tblGrid>
        <w:gridCol w:w="9406"/>
      </w:tblGrid>
      <w:tr>
        <w:tc>
          <w:tcPr>
            <w:tcW w:type="dxa" w:w="9071"/>
            <w:shd w:fill="F4F6F9"/>
            <w:tcBorders>
              <w:top w:val="none"/>
              <w:left w:val="single" w:sz="24" w:space="0" w:color="1E4682"/>
              <w:bottom w:val="none"/>
              <w:right w:val="none"/>
            </w:tcBorders>
          </w:tcPr>
          <w:p>
            <w:pPr>
              <w:spacing w:line="300" w:lineRule="auto" w:before="100" w:after="80"/>
              <w:ind w:left="160" w:right="160"/>
            </w:pPr>
            <w:r>
              <w:rPr>
                <w:rFonts w:ascii="黑体" w:hAnsi="黑体" w:eastAsia="黑体"/>
                <w:b/>
                <w:i w:val="0"/>
                <w:color w:val="1E4682"/>
                <w:sz w:val="21"/>
              </w:rPr>
              <w:t>【核心通俗释义】SDI = 投资风格横跳测谎仪</w:t>
              <w:br/>
            </w:r>
            <w:r>
              <w:rPr>
                <w:rFonts w:ascii="Times New Roman" w:hAnsi="Times New Roman" w:eastAsia="楷体"/>
                <w:b w:val="0"/>
                <w:i w:val="0"/>
                <w:color w:val="282828"/>
                <w:sz w:val="20"/>
              </w:rPr>
              <w:t>不管基金招募说明书和定期报告怎么吹捧自己的投资哲学，净值波动与因子暴露的变动会揭穿一切。</w:t>
              <w:br/>
              <w:t>SDI 越高，说明基金经理在不同风格之间追涨杀跌、频繁换道越严重；实证显示越横跳，长期业绩受损越惨。</w:t>
            </w:r>
          </w:p>
        </w:tc>
      </w:tr>
    </w:tbl>
    <w:p>
      <w:pPr>
        <w:spacing w:before="0" w:after="80"/>
      </w:pPr>
    </w:p>
    <w:p>
      <w:pPr>
        <w:keepNext/>
        <w:spacing w:before="200" w:after="80"/>
      </w:pPr>
      <w:r>
        <w:rPr>
          <w:rFonts w:ascii="黑体" w:hAnsi="黑体" w:eastAsia="黑体"/>
          <w:b/>
          <w:i w:val="0"/>
          <w:color w:val="1E4682"/>
          <w:sz w:val="24"/>
        </w:rPr>
        <w:t>（四）Python 核心计算代码实现</w:t>
      </w:r>
    </w:p>
    <w:p>
      <w:pPr>
        <w:spacing w:line="312" w:lineRule="auto" w:after="80"/>
        <w:ind w:firstLine="420"/>
      </w:pPr>
      <w:r>
        <w:rPr>
          <w:rFonts w:ascii="Times New Roman" w:hAnsi="Times New Roman" w:eastAsia="宋体"/>
          <w:b w:val="0"/>
          <w:i w:val="0"/>
          <w:color w:val="000000"/>
          <w:sz w:val="21"/>
        </w:rPr>
        <w:t>在项目代码库中，SDI 的提取与时序差分实现如下：</w:t>
      </w:r>
    </w:p>
    <w:tbl>
      <w:tblPr>
        <w:tblW w:type="auto" w:w="0"/>
        <w:jc w:val="center"/>
        <w:tblLook w:firstColumn="1" w:firstRow="1" w:lastColumn="0" w:lastRow="0" w:noHBand="0" w:noVBand="1" w:val="04A0"/>
      </w:tblPr>
      <w:tblGrid>
        <w:gridCol w:w="9406"/>
      </w:tblGrid>
      <w:tr>
        <w:tc>
          <w:tcPr>
            <w:tcW w:type="dxa" w:w="9071"/>
            <w:shd w:fill="282C34"/>
            <w:tcBorders>
              <w:top w:val="none"/>
              <w:left w:val="none"/>
              <w:bottom w:val="none"/>
              <w:right w:val="none"/>
            </w:tcBorders>
          </w:tcPr>
          <w:p>
            <w:pPr>
              <w:spacing w:line="276" w:lineRule="auto" w:before="80" w:after="80"/>
              <w:ind w:left="120"/>
            </w:pPr>
            <w:r>
              <w:rPr>
                <w:rFonts w:ascii="Consolas" w:hAnsi="Consolas" w:eastAsia="Consolas"/>
                <w:b w:val="0"/>
                <w:i w:val="0"/>
                <w:color w:val="DCDCDC"/>
                <w:sz w:val="18"/>
              </w:rPr>
              <w:t># 计算策略偏离指数 SDI (Wermers, 2012)</w:t>
              <w:br/>
              <w:t>def calc_strategy_deviation_index(fund_returns, factor_df, window=8):</w:t>
              <w:br/>
              <w:t xml:space="preserve">    # 1. 采用滚动 8 个季度的时间窗口，对风格因子进行多元线性回归</w:t>
              <w:br/>
              <w:t xml:space="preserve">    coef_records = []</w:t>
              <w:br/>
              <w:t xml:space="preserve">    for end_idx in range(window, len(fund_returns) + 1):</w:t>
              <w:br/>
              <w:t xml:space="preserve">        sub_r = fund_returns.iloc[end_idx - window : end_idx]</w:t>
              <w:br/>
              <w:t xml:space="preserve">        sub_f = factor_df.iloc[end_idx - window : end_idx]</w:t>
              <w:br/>
              <w:t xml:space="preserve">        model = sm.OLS(sub_r, sm.add_constant(sub_f)).fit()</w:t>
              <w:br/>
              <w:t xml:space="preserve">        coef_records.append(model.params.iloc[1:])  # 提取因子回归系数向量 b_t</w:t>
              <w:br/>
              <w:t xml:space="preserve">    </w:t>
              <w:br/>
              <w:t xml:space="preserve">    coef_df = pd.DataFrame(coef_records)</w:t>
              <w:br/>
              <w:t xml:space="preserve">    # 2. 计算相邻季度风格系数向量绝对变动距离 (L1 范数绝对差之和)</w:t>
              <w:br/>
              <w:t xml:space="preserve">    sdi_series = (coef_df - coef_df.shift(1)).abs().sum(axis=1)</w:t>
              <w:br/>
              <w:t xml:space="preserve">    return sdi_series</w:t>
              <w:br/>
            </w:r>
          </w:p>
        </w:tc>
      </w:tr>
    </w:tbl>
    <w:p>
      <w:pPr>
        <w:spacing w:before="0" w:after="80"/>
      </w:pPr>
    </w:p>
    <w:p>
      <w:pPr>
        <w:keepNext/>
        <w:spacing w:before="280" w:after="120"/>
      </w:pPr>
      <w:r>
        <w:rPr>
          <w:rFonts w:ascii="黑体" w:hAnsi="黑体" w:eastAsia="黑体"/>
          <w:b/>
          <w:i w:val="0"/>
          <w:color w:val="143264"/>
          <w:sz w:val="28"/>
        </w:rPr>
        <w:t>四、两指标综合对比与画像联动机制</w:t>
      </w:r>
    </w:p>
    <w:p>
      <w:pPr>
        <w:spacing w:line="312" w:lineRule="auto" w:after="80"/>
        <w:ind w:firstLine="420"/>
      </w:pPr>
      <w:r>
        <w:rPr>
          <w:rFonts w:ascii="Times New Roman" w:hAnsi="Times New Roman" w:eastAsia="宋体"/>
          <w:b w:val="0"/>
          <w:i w:val="0"/>
          <w:color w:val="000000"/>
          <w:sz w:val="21"/>
        </w:rPr>
        <w:t>为了系统呈现两指标在经济学逻辑与实证结果上的异同，下表对两者进行了全景对比：</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3135"/>
        <w:gridCol w:w="3135"/>
        <w:gridCol w:w="3135"/>
      </w:tblGrid>
      <w:tr>
        <w:tc>
          <w:tcPr>
            <w:tcW w:type="dxa" w:w="1814"/>
          </w:tcPr>
          <w:p>
            <w:pPr>
              <w:jc w:val="center"/>
            </w:pPr>
            <w:r>
              <w:rPr>
                <w:rFonts w:ascii="黑体" w:hAnsi="黑体" w:eastAsia="黑体"/>
                <w:b/>
                <w:i w:val="0"/>
                <w:color w:val="143264"/>
                <w:sz w:val="20"/>
              </w:rPr>
              <w:t>对比维度</w:t>
            </w:r>
          </w:p>
        </w:tc>
        <w:tc>
          <w:tcPr>
            <w:tcW w:type="dxa" w:w="3628"/>
          </w:tcPr>
          <w:p>
            <w:pPr>
              <w:jc w:val="center"/>
            </w:pPr>
            <w:r>
              <w:rPr>
                <w:rFonts w:ascii="黑体" w:hAnsi="黑体" w:eastAsia="黑体"/>
                <w:b/>
                <w:i w:val="0"/>
                <w:color w:val="143264"/>
                <w:sz w:val="20"/>
              </w:rPr>
              <w:t>抗操纵绩效测度（mppm8_lag）</w:t>
            </w:r>
          </w:p>
        </w:tc>
        <w:tc>
          <w:tcPr>
            <w:tcW w:type="dxa" w:w="3628"/>
          </w:tcPr>
          <w:p>
            <w:pPr>
              <w:jc w:val="center"/>
            </w:pPr>
            <w:r>
              <w:rPr>
                <w:rFonts w:ascii="黑体" w:hAnsi="黑体" w:eastAsia="黑体"/>
                <w:b/>
                <w:i w:val="0"/>
                <w:color w:val="143264"/>
                <w:sz w:val="20"/>
              </w:rPr>
              <w:t>策略偏离指数（SDI）</w:t>
            </w:r>
          </w:p>
        </w:tc>
      </w:tr>
      <w:tr>
        <w:tc>
          <w:tcPr>
            <w:tcW w:type="dxa" w:w="1814"/>
          </w:tcPr>
          <w:p>
            <w:pPr>
              <w:jc w:val="center"/>
            </w:pPr>
            <w:r>
              <w:rPr>
                <w:rFonts w:ascii="黑体" w:hAnsi="黑体" w:eastAsia="黑体"/>
                <w:b/>
                <w:i w:val="0"/>
                <w:color w:val="000000"/>
                <w:sz w:val="19"/>
              </w:rPr>
              <w:t>所属画像层级</w:t>
            </w:r>
          </w:p>
        </w:tc>
        <w:tc>
          <w:tcPr>
            <w:tcW w:type="dxa" w:w="3628"/>
          </w:tcPr>
          <w:p>
            <w:pPr>
              <w:jc w:val="left"/>
            </w:pPr>
            <w:r>
              <w:rPr>
                <w:rFonts w:ascii="Times New Roman" w:hAnsi="Times New Roman" w:eastAsia="宋体"/>
                <w:b w:val="0"/>
                <w:i w:val="0"/>
                <w:color w:val="000000"/>
                <w:sz w:val="19"/>
              </w:rPr>
              <w:t>L4 风险应对层 · 转化效率职能</w:t>
            </w:r>
          </w:p>
        </w:tc>
        <w:tc>
          <w:tcPr>
            <w:tcW w:type="dxa" w:w="3628"/>
          </w:tcPr>
          <w:p>
            <w:pPr>
              <w:jc w:val="left"/>
            </w:pPr>
            <w:r>
              <w:rPr>
                <w:rFonts w:ascii="Times New Roman" w:hAnsi="Times New Roman" w:eastAsia="宋体"/>
                <w:b w:val="0"/>
                <w:i w:val="0"/>
                <w:color w:val="000000"/>
                <w:sz w:val="19"/>
              </w:rPr>
              <w:t>L5 交易执行层 · 微观市场互动</w:t>
            </w:r>
          </w:p>
        </w:tc>
      </w:tr>
      <w:tr>
        <w:tc>
          <w:tcPr>
            <w:tcW w:type="dxa" w:w="1814"/>
          </w:tcPr>
          <w:p>
            <w:pPr>
              <w:jc w:val="center"/>
            </w:pPr>
            <w:r>
              <w:rPr>
                <w:rFonts w:ascii="黑体" w:hAnsi="黑体" w:eastAsia="黑体"/>
                <w:b/>
                <w:i w:val="0"/>
                <w:color w:val="000000"/>
                <w:sz w:val="19"/>
              </w:rPr>
              <w:t>核心理论来源</w:t>
            </w:r>
          </w:p>
        </w:tc>
        <w:tc>
          <w:tcPr>
            <w:tcW w:type="dxa" w:w="3628"/>
          </w:tcPr>
          <w:p>
            <w:pPr>
              <w:jc w:val="left"/>
            </w:pPr>
            <w:r>
              <w:rPr>
                <w:rFonts w:ascii="Times New Roman" w:hAnsi="Times New Roman" w:eastAsia="宋体"/>
                <w:b w:val="0"/>
                <w:i w:val="0"/>
                <w:color w:val="000000"/>
                <w:sz w:val="19"/>
              </w:rPr>
              <w:t>Goetzmann et al. (2007, RFS)</w:t>
            </w:r>
          </w:p>
        </w:tc>
        <w:tc>
          <w:tcPr>
            <w:tcW w:type="dxa" w:w="3628"/>
          </w:tcPr>
          <w:p>
            <w:pPr>
              <w:jc w:val="left"/>
            </w:pPr>
            <w:r>
              <w:rPr>
                <w:rFonts w:ascii="Times New Roman" w:hAnsi="Times New Roman" w:eastAsia="宋体"/>
                <w:b w:val="0"/>
                <w:i w:val="0"/>
                <w:color w:val="000000"/>
                <w:sz w:val="19"/>
              </w:rPr>
              <w:t>Wermers (2012); Brown &amp; Goetzmann (1997)</w:t>
            </w:r>
          </w:p>
        </w:tc>
      </w:tr>
      <w:tr>
        <w:tc>
          <w:tcPr>
            <w:tcW w:type="dxa" w:w="1814"/>
          </w:tcPr>
          <w:p>
            <w:pPr>
              <w:jc w:val="center"/>
            </w:pPr>
            <w:r>
              <w:rPr>
                <w:rFonts w:ascii="黑体" w:hAnsi="黑体" w:eastAsia="黑体"/>
                <w:b/>
                <w:i w:val="0"/>
                <w:color w:val="000000"/>
                <w:sz w:val="19"/>
              </w:rPr>
              <w:t>度量目标</w:t>
            </w:r>
          </w:p>
        </w:tc>
        <w:tc>
          <w:tcPr>
            <w:tcW w:type="dxa" w:w="3628"/>
          </w:tcPr>
          <w:p>
            <w:pPr>
              <w:jc w:val="left"/>
            </w:pPr>
            <w:r>
              <w:rPr>
                <w:rFonts w:ascii="Times New Roman" w:hAnsi="Times New Roman" w:eastAsia="宋体"/>
                <w:b w:val="0"/>
                <w:i w:val="0"/>
                <w:color w:val="000000"/>
                <w:sz w:val="19"/>
              </w:rPr>
              <w:t>剔除业绩粉饰后的真实风险转化效率</w:t>
            </w:r>
          </w:p>
        </w:tc>
        <w:tc>
          <w:tcPr>
            <w:tcW w:type="dxa" w:w="3628"/>
          </w:tcPr>
          <w:p>
            <w:pPr>
              <w:jc w:val="left"/>
            </w:pPr>
            <w:r>
              <w:rPr>
                <w:rFonts w:ascii="Times New Roman" w:hAnsi="Times New Roman" w:eastAsia="宋体"/>
                <w:b w:val="0"/>
                <w:i w:val="0"/>
                <w:color w:val="000000"/>
                <w:sz w:val="19"/>
              </w:rPr>
              <w:t>不同季度间投资风格跨越与漂移的剧烈程度</w:t>
            </w:r>
          </w:p>
        </w:tc>
      </w:tr>
      <w:tr>
        <w:tc>
          <w:tcPr>
            <w:tcW w:type="dxa" w:w="1814"/>
          </w:tcPr>
          <w:p>
            <w:pPr>
              <w:jc w:val="center"/>
            </w:pPr>
            <w:r>
              <w:rPr>
                <w:rFonts w:ascii="黑体" w:hAnsi="黑体" w:eastAsia="黑体"/>
                <w:b/>
                <w:i w:val="0"/>
                <w:color w:val="000000"/>
                <w:sz w:val="19"/>
              </w:rPr>
              <w:t>数学本质</w:t>
            </w:r>
          </w:p>
        </w:tc>
        <w:tc>
          <w:tcPr>
            <w:tcW w:type="dxa" w:w="3628"/>
          </w:tcPr>
          <w:p>
            <w:pPr>
              <w:jc w:val="left"/>
            </w:pPr>
            <w:r>
              <w:rPr>
                <w:rFonts w:ascii="Times New Roman" w:hAnsi="Times New Roman" w:eastAsia="宋体"/>
                <w:b w:val="0"/>
                <w:i w:val="0"/>
                <w:color w:val="000000"/>
                <w:sz w:val="19"/>
              </w:rPr>
              <w:t>具有重度亏损惩罚的非线性等价确定性收益</w:t>
            </w:r>
          </w:p>
        </w:tc>
        <w:tc>
          <w:tcPr>
            <w:tcW w:type="dxa" w:w="3628"/>
          </w:tcPr>
          <w:p>
            <w:pPr>
              <w:jc w:val="left"/>
            </w:pPr>
            <w:r>
              <w:rPr>
                <w:rFonts w:ascii="Times New Roman" w:hAnsi="Times New Roman" w:eastAsia="宋体"/>
                <w:b w:val="0"/>
                <w:i w:val="0"/>
                <w:color w:val="000000"/>
                <w:sz w:val="19"/>
              </w:rPr>
              <w:t>风格载荷向量在特征空间中的相邻季度曼哈顿距离</w:t>
            </w:r>
          </w:p>
        </w:tc>
      </w:tr>
      <w:tr>
        <w:tc>
          <w:tcPr>
            <w:tcW w:type="dxa" w:w="1814"/>
          </w:tcPr>
          <w:p>
            <w:pPr>
              <w:jc w:val="center"/>
            </w:pPr>
            <w:r>
              <w:rPr>
                <w:rFonts w:ascii="黑体" w:hAnsi="黑体" w:eastAsia="黑体"/>
                <w:b/>
                <w:i w:val="0"/>
                <w:color w:val="000000"/>
                <w:sz w:val="19"/>
              </w:rPr>
              <w:t>通俗释义（人话）</w:t>
            </w:r>
          </w:p>
        </w:tc>
        <w:tc>
          <w:tcPr>
            <w:tcW w:type="dxa" w:w="3628"/>
          </w:tcPr>
          <w:p>
            <w:pPr>
              <w:jc w:val="left"/>
            </w:pPr>
            <w:r>
              <w:rPr>
                <w:rFonts w:ascii="Times New Roman" w:hAnsi="Times New Roman" w:eastAsia="宋体"/>
                <w:b w:val="0"/>
                <w:i w:val="0"/>
                <w:color w:val="000000"/>
                <w:sz w:val="19"/>
              </w:rPr>
              <w:t>“严惩大跌后的真实赚钱能力（防粉饰）”</w:t>
            </w:r>
          </w:p>
        </w:tc>
        <w:tc>
          <w:tcPr>
            <w:tcW w:type="dxa" w:w="3628"/>
          </w:tcPr>
          <w:p>
            <w:pPr>
              <w:jc w:val="left"/>
            </w:pPr>
            <w:r>
              <w:rPr>
                <w:rFonts w:ascii="Times New Roman" w:hAnsi="Times New Roman" w:eastAsia="宋体"/>
                <w:b w:val="0"/>
                <w:i w:val="0"/>
                <w:color w:val="000000"/>
                <w:sz w:val="19"/>
              </w:rPr>
              <w:t>“每季度在不同风格间反复横跳的程度（测谎仪）”</w:t>
            </w:r>
          </w:p>
        </w:tc>
      </w:tr>
      <w:tr>
        <w:tc>
          <w:tcPr>
            <w:tcW w:type="dxa" w:w="1814"/>
          </w:tcPr>
          <w:p>
            <w:pPr>
              <w:jc w:val="center"/>
            </w:pPr>
            <w:r>
              <w:rPr>
                <w:rFonts w:ascii="黑体" w:hAnsi="黑体" w:eastAsia="黑体"/>
                <w:b/>
                <w:i w:val="0"/>
                <w:color w:val="000000"/>
                <w:sz w:val="19"/>
              </w:rPr>
              <w:t>实证系数与 t 值</w:t>
            </w:r>
          </w:p>
        </w:tc>
        <w:tc>
          <w:tcPr>
            <w:tcW w:type="dxa" w:w="3628"/>
          </w:tcPr>
          <w:p>
            <w:pPr>
              <w:jc w:val="left"/>
            </w:pPr>
            <w:r>
              <w:rPr>
                <w:rFonts w:ascii="Times New Roman" w:hAnsi="Times New Roman" w:eastAsia="宋体"/>
                <w:b w:val="0"/>
                <w:i w:val="0"/>
                <w:color w:val="000000"/>
                <w:sz w:val="19"/>
              </w:rPr>
              <w:t>β &gt; 0，单变量 t = +11.22***（全场最高）</w:t>
            </w:r>
          </w:p>
        </w:tc>
        <w:tc>
          <w:tcPr>
            <w:tcW w:type="dxa" w:w="3628"/>
          </w:tcPr>
          <w:p>
            <w:pPr>
              <w:jc w:val="left"/>
            </w:pPr>
            <w:r>
              <w:rPr>
                <w:rFonts w:ascii="Times New Roman" w:hAnsi="Times New Roman" w:eastAsia="宋体"/>
                <w:b w:val="0"/>
                <w:i w:val="0"/>
                <w:color w:val="000000"/>
                <w:sz w:val="19"/>
              </w:rPr>
              <w:t>β &lt; 0，多变量 t = -2.13**（显著负向抑制）</w:t>
            </w:r>
          </w:p>
        </w:tc>
      </w:tr>
      <w:tr>
        <w:tc>
          <w:tcPr>
            <w:tcW w:type="dxa" w:w="1814"/>
          </w:tcPr>
          <w:p>
            <w:pPr>
              <w:jc w:val="center"/>
            </w:pPr>
            <w:r>
              <w:rPr>
                <w:rFonts w:ascii="黑体" w:hAnsi="黑体" w:eastAsia="黑体"/>
                <w:b/>
                <w:i w:val="0"/>
                <w:color w:val="000000"/>
                <w:sz w:val="19"/>
              </w:rPr>
              <w:t>群体画像启示</w:t>
            </w:r>
          </w:p>
        </w:tc>
        <w:tc>
          <w:tcPr>
            <w:tcW w:type="dxa" w:w="3628"/>
          </w:tcPr>
          <w:p>
            <w:pPr>
              <w:jc w:val="left"/>
            </w:pPr>
            <w:r>
              <w:rPr>
                <w:rFonts w:ascii="Times New Roman" w:hAnsi="Times New Roman" w:eastAsia="宋体"/>
                <w:b w:val="0"/>
                <w:i w:val="0"/>
                <w:color w:val="000000"/>
                <w:sz w:val="19"/>
              </w:rPr>
              <w:t>Top 5% 优秀经理均值 +0.039，显著超越差经理</w:t>
            </w:r>
          </w:p>
        </w:tc>
        <w:tc>
          <w:tcPr>
            <w:tcW w:type="dxa" w:w="3628"/>
          </w:tcPr>
          <w:p>
            <w:pPr>
              <w:jc w:val="left"/>
            </w:pPr>
            <w:r>
              <w:rPr>
                <w:rFonts w:ascii="Times New Roman" w:hAnsi="Times New Roman" w:eastAsia="宋体"/>
                <w:b w:val="0"/>
                <w:i w:val="0"/>
                <w:color w:val="000000"/>
                <w:sz w:val="19"/>
              </w:rPr>
              <w:t>Top 5% 优秀经理 SDI 极低，坚守能力圈不漂移</w:t>
            </w:r>
          </w:p>
        </w:tc>
      </w:tr>
    </w:tbl>
    <w:p>
      <w:pPr>
        <w:spacing w:line="312" w:lineRule="auto" w:after="120"/>
      </w:pPr>
      <w:r>
        <w:rPr>
          <w:rFonts w:ascii="Times New Roman" w:hAnsi="Times New Roman" w:eastAsia="宋体"/>
          <w:b w:val="0"/>
          <w:i w:val="0"/>
          <w:color w:val="000000"/>
          <w:sz w:val="21"/>
        </w:rPr>
      </w:r>
    </w:p>
    <w:p>
      <w:pPr>
        <w:keepNext/>
        <w:spacing w:before="200" w:after="80"/>
      </w:pPr>
      <w:r>
        <w:rPr>
          <w:rFonts w:ascii="黑体" w:hAnsi="黑体" w:eastAsia="黑体"/>
          <w:b/>
          <w:i w:val="0"/>
          <w:color w:val="1E4682"/>
          <w:sz w:val="24"/>
        </w:rPr>
        <w:t>（二）在画像模型中的联动机制：专业定力与平庸投机</w:t>
      </w:r>
    </w:p>
    <w:p>
      <w:pPr>
        <w:spacing w:line="312" w:lineRule="auto" w:after="80"/>
        <w:ind w:firstLine="420"/>
      </w:pPr>
      <w:r>
        <w:rPr>
          <w:rFonts w:ascii="Times New Roman" w:hAnsi="Times New Roman" w:eastAsia="宋体"/>
          <w:b w:val="0"/>
          <w:i w:val="0"/>
          <w:color w:val="000000"/>
          <w:sz w:val="21"/>
        </w:rPr>
        <w:t>在论文最终构建的六维能力画像雷达图中，mppm8 与 SDI 共同构成了区分“顶尖投资经理”与“尾部淘汰经理”的决定性格局：</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Top 5% 优秀投资经理（高转化 + 强定力）：</w:t>
      </w:r>
      <w:r>
        <w:rPr>
          <w:rFonts w:ascii="Times New Roman" w:hAnsi="Times New Roman" w:eastAsia="宋体"/>
          <w:b w:val="0"/>
          <w:i w:val="0"/>
          <w:color w:val="000000"/>
          <w:sz w:val="21"/>
        </w:rPr>
        <w:t>在雷达图上呈现出鲜明的【高 MPPM、极低 SDI】特征。这类经理深度坚守自己的投研能力圈，绝不盲目追逐短期热点，组合风格极为稳健；同时具备极强的下行控制力，能够将承担的每一分风险扎实转化为超额收益。</w:t>
      </w:r>
    </w:p>
    <w:p>
      <w:pPr>
        <w:spacing w:line="300" w:lineRule="auto" w:after="60"/>
        <w:ind w:left="420"/>
      </w:pPr>
      <w:r>
        <w:rPr>
          <w:rFonts w:ascii="Times New Roman" w:hAnsi="Times New Roman" w:eastAsia="宋体"/>
          <w:b/>
          <w:i w:val="0"/>
          <w:color w:val="1E4682"/>
          <w:sz w:val="21"/>
        </w:rPr>
        <w:t xml:space="preserve">• </w:t>
      </w:r>
      <w:r>
        <w:rPr>
          <w:rFonts w:ascii="Times New Roman" w:hAnsi="Times New Roman" w:eastAsia="黑体"/>
          <w:b/>
          <w:i w:val="0"/>
          <w:color w:val="000000"/>
          <w:sz w:val="21"/>
        </w:rPr>
        <w:t>Bottom 5% 淘汰投资经理（低转化 + 乱横跳）：</w:t>
      </w:r>
      <w:r>
        <w:rPr>
          <w:rFonts w:ascii="Times New Roman" w:hAnsi="Times New Roman" w:eastAsia="宋体"/>
          <w:b w:val="0"/>
          <w:i w:val="0"/>
          <w:color w:val="000000"/>
          <w:sz w:val="21"/>
        </w:rPr>
        <w:t>在雷达图上呈现出【极低 MPPM、高 SDI】特征。这类经理在牛市顶峰跟风追涨、暴跌时期恐慌割肉，频繁在成长与价值之间大幅漂移；其风险暴露非但没有带来超额收益，反而在经历数次极端亏损后摧毁了长期净值。</w:t>
      </w:r>
    </w:p>
    <w:p>
      <w:pPr>
        <w:keepNext/>
        <w:spacing w:before="280" w:after="120"/>
      </w:pPr>
      <w:r>
        <w:rPr>
          <w:rFonts w:ascii="黑体" w:hAnsi="黑体" w:eastAsia="黑体"/>
          <w:b/>
          <w:i w:val="0"/>
          <w:color w:val="143264"/>
          <w:sz w:val="28"/>
        </w:rPr>
        <w:t>五、核心参考文献</w:t>
      </w:r>
    </w:p>
    <w:p>
      <w:pPr>
        <w:spacing w:line="276" w:lineRule="auto" w:after="60"/>
        <w:ind w:left="360" w:hanging="360"/>
      </w:pPr>
      <w:r>
        <w:rPr>
          <w:rFonts w:ascii="Times New Roman" w:hAnsi="Times New Roman" w:eastAsia="宋体"/>
          <w:b w:val="0"/>
          <w:i w:val="0"/>
          <w:color w:val="000000"/>
          <w:sz w:val="18"/>
        </w:rPr>
        <w:t>[1] GOETZMANN W N, INGERSOLL J, SPIEGEL M, et al. Portfolio performance manipulation and manipulation-proof performance measures[J]. The Review of Financial Studies, 2007, 20(5): 1503-1546.</w:t>
      </w:r>
    </w:p>
    <w:p>
      <w:pPr>
        <w:spacing w:line="276" w:lineRule="auto" w:after="60"/>
        <w:ind w:left="360" w:hanging="360"/>
      </w:pPr>
      <w:r>
        <w:rPr>
          <w:rFonts w:ascii="Times New Roman" w:hAnsi="Times New Roman" w:eastAsia="宋体"/>
          <w:b w:val="0"/>
          <w:i w:val="0"/>
          <w:color w:val="000000"/>
          <w:sz w:val="18"/>
        </w:rPr>
        <w:t>[2] WERMERS R. A matter of style: the causes and consequences of style drift in institutional portfolios[R]. Working Paper, University of Maryland, 2012.</w:t>
      </w:r>
    </w:p>
    <w:p>
      <w:pPr>
        <w:spacing w:line="276" w:lineRule="auto" w:after="60"/>
        <w:ind w:left="360" w:hanging="360"/>
      </w:pPr>
      <w:r>
        <w:rPr>
          <w:rFonts w:ascii="Times New Roman" w:hAnsi="Times New Roman" w:eastAsia="宋体"/>
          <w:b w:val="0"/>
          <w:i w:val="0"/>
          <w:color w:val="000000"/>
          <w:sz w:val="18"/>
        </w:rPr>
        <w:t>[3] BROWN S J, GOETZMANN W N. Mutual fund styles[J]. The Journal of Finance, 1997, 52(1): 371-399.</w:t>
      </w:r>
    </w:p>
    <w:p>
      <w:pPr>
        <w:spacing w:line="276" w:lineRule="auto" w:after="60"/>
        <w:ind w:left="360" w:hanging="360"/>
      </w:pPr>
      <w:r>
        <w:rPr>
          <w:rFonts w:ascii="Times New Roman" w:hAnsi="Times New Roman" w:eastAsia="宋体"/>
          <w:b w:val="0"/>
          <w:i w:val="0"/>
          <w:color w:val="000000"/>
          <w:sz w:val="18"/>
        </w:rPr>
        <w:t>[4] SHARPE W F. Mutual fund performance[J]. The Journal of Business, 1966, 39(1): 119-138.</w:t>
      </w:r>
    </w:p>
    <w:p>
      <w:pPr>
        <w:spacing w:line="276" w:lineRule="auto" w:after="60"/>
        <w:ind w:left="360" w:hanging="360"/>
      </w:pPr>
      <w:r>
        <w:rPr>
          <w:rFonts w:ascii="Times New Roman" w:hAnsi="Times New Roman" w:eastAsia="宋体"/>
          <w:b w:val="0"/>
          <w:i w:val="0"/>
          <w:color w:val="000000"/>
          <w:sz w:val="18"/>
        </w:rPr>
        <w:t>[5] AKEPANIDTAWORN K, DI MASCIO R, IMAS A, et al. Selling fast and buying slow: Heuristics and trading performance of institutional investors[J]. The Journal of Finance, 2023, 78(6): 3055-3098.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