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【肖像页】这是正文第二部分（二）检验结果的前文。</w:t>
      </w:r>
    </w:p>
    <w:p>
      <w:pPr>
        <w:sectPr>
          <w:pgSz w:w="11906" w:h="16838"/>
          <w:pgMar w:top="1361" w:right="1134" w:bottom="1361" w:left="1134" w:header="720" w:footer="720" w:gutter="0"/>
          <w:cols w:space="720"/>
          <w:docGrid w:linePitch="360"/>
        </w:sectPr>
      </w:pPr>
    </w:p>
    <w:p>
      <w:pPr>
        <w:spacing w:before="80" w:after="60"/>
        <w:jc w:val="center"/>
      </w:pPr>
      <w:r>
        <w:rPr>
          <w:rFonts w:ascii="黑体" w:hAnsi="黑体"/>
          <w:b/>
          <w:sz w:val="19"/>
        </w:rPr>
        <w:t>表 4  全部候选指标的单变量回归矩阵（每列一次回归，因变量＝FF5 alpha）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层级</w:t>
            </w:r>
          </w:p>
        </w:tc>
        <w:tc>
          <w:tcPr>
            <w:tcW w:type="dxa" w:w="1531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指标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(3)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(4)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(5)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(6)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(7)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(8)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(9)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(10)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(11)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(12)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(13)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(14)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(15)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(16)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(17)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(18)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(19)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(20)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(21)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(22)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(23)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(24)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(25)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(26)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(27)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(28)</w:t>
            </w:r>
          </w:p>
        </w:tc>
        <w:tc>
          <w:tcPr>
            <w:tcW w:type="dxa" w:w="907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联立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任职年限</w:t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-2.2**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基金年龄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+1.0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基金规模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+1.4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性别(男=1)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CFA持证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硕士及以上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L1 基本面层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名校毕业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风险不对称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+2.3**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处置效应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-2.4**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过度自信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-0.4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追涨杀跌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+2.5**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锚定效应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+1.7*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资本利得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-1.2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私房钱效应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L2 认知偏差层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羊群不对称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L3 配置选择层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行业集中度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+4.2***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L3 配置选择层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行业风格漂移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-0.8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L3 配置选择层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改进主动份额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-3.8***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调仓幅度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+5.2***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下行保护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+6.9***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收益波动率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+3.0***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风险稳定性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-1.2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Sharpe比率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+2.0**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Sortino比率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L4 风险应对层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MPPM测度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  <w:shd w:val="clear" w:color="auto" w:fill="FCF3CF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+8.7***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L5 交易执行层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策略偏离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−***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-0.1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L5 交易执行层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交易趋同度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+***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+1.5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L5 交易执行层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3"/>
              </w:rPr>
              <w:t>换手率</w:t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420"/>
            <w:vAlign w:val="center"/>
            <w:shd w:val="clear" w:color="auto" w:fill="EAF2F8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4"/>
              </w:rPr>
              <w:t>n.s.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4"/>
              </w:rPr>
              <w:t>+1.5</w:t>
            </w:r>
          </w:p>
        </w:tc>
      </w:tr>
      <w:tr>
        <w:tc>
          <w:tcPr>
            <w:tcW w:type="dxa" w:w="10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统计量</w:t>
            </w:r>
          </w:p>
        </w:tc>
        <w:tc>
          <w:tcPr>
            <w:tcW w:type="dxa" w:w="1531"/>
            <w:vAlign w:val="center"/>
            <w:shd w:val="clear" w:color="auto" w:fill="F2F4F4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R²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0.005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0.059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0.023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0.001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0.005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0.063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0.052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0.041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0.030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0.046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0.018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0.001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0.101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0.061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0.000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0.079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0.112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0.058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0.099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0.173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0.112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0.203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0.056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0.039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0.003</w:t>
            </w:r>
          </w:p>
        </w:tc>
        <w:tc>
          <w:tcPr>
            <w:tcW w:type="dxa" w:w="907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0.717</w:t>
            </w:r>
          </w:p>
        </w:tc>
      </w:tr>
      <w:tr>
        <w:tc>
          <w:tcPr>
            <w:tcW w:type="dxa" w:w="10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统计量</w:t>
            </w:r>
          </w:p>
        </w:tc>
        <w:tc>
          <w:tcPr>
            <w:tcW w:type="dxa" w:w="1531"/>
            <w:vAlign w:val="center"/>
            <w:shd w:val="clear" w:color="auto" w:fill="F2F4F4"/>
          </w:tcPr>
          <w:p>
            <w:pPr>
              <w:spacing w:before="20" w:after="20" w:line="240" w:lineRule="auto"/>
              <w:jc w:val="left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N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322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322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322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148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360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355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359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420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 w:val="0"/>
                <w:sz w:val="12"/>
              </w:rPr>
              <w:t>362</w:t>
            </w:r>
          </w:p>
        </w:tc>
        <w:tc>
          <w:tcPr>
            <w:tcW w:type="dxa" w:w="907"/>
            <w:vAlign w:val="center"/>
            <w:shd w:val="clear" w:color="auto" w:fill="F2F4F4"/>
          </w:tcPr>
          <w:p>
            <w:pPr>
              <w:spacing w:before="20" w:after="20" w:line="240" w:lineRule="auto"/>
              <w:jc w:val="center"/>
            </w:pPr>
            <w:r/>
            <w:r>
              <w:rPr w:rFonts="{http://schemas.openxmlformats.org/wordprocessingml/2006/main}hint" w:eastAsia="宋体">
                <w:rFonts w:ascii="Times New Roman" w:hAnsi="Times New Roman"/>
                <w:b/>
                <w:sz w:val="13"/>
              </w:rPr>
              <w:t>350</w:t>
            </w:r>
          </w:p>
        </w:tc>
      </w:tr>
    </w:tbl>
    <w:p>
      <w:pPr>
        <w:spacing w:before="60" w:after="120"/>
      </w:pPr>
      <w:r>
        <w:rPr>
          <w:rFonts w:ascii="宋体" w:hAnsi="宋体"/>
          <w:sz w:val="16"/>
        </w:rPr>
        <w:t>注：第 (k) 列仅放入第 k 个指标进行式（1）单变量回归，结果落在对角线单元格：「+/−」为系数方向，***、**、* 分别表示 1%、5%、10% 水平显著，n.s. 为不显著；非对角线为空。R² 行为单变量决定系数，N 行为回归样本数。「联立」列为式（2）全模型中该指标的净效应 t 值；背景哑变量不入联立记「—」。</w:t>
      </w:r>
    </w:p>
    <w:p>
      <w:pPr>
        <w:sectPr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>
      <w:r>
        <w:t>【肖像页】这是正文后续经济解释与第二部分（三）内容。</w:t>
      </w:r>
    </w:p>
    <w:sectPr w:rsidR="00FC693F" w:rsidRPr="0006063C" w:rsidSect="00034616">
      <w:pgSz w:w="11906" w:h="16838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