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color w:val="1E3A8A"/>
          <w:sz w:val="40"/>
        </w:rPr>
        <w:t>典型基金经理能力画像与行为金融实证案例报告</w:t>
      </w:r>
    </w:p>
    <w:p>
      <w:pPr>
        <w:spacing w:after="360"/>
        <w:jc w:val="center"/>
      </w:pPr>
      <w:r>
        <w:rPr>
          <w:rFonts w:ascii="楷体" w:hAnsi="楷体" w:eastAsia="楷体"/>
          <w:color w:val="64748B"/>
          <w:sz w:val="22"/>
        </w:rPr>
        <w:t>最新六维复合评价体系（L1 背景条件、L2 认知质量、L3 配置能力、L4 操作质量、L5 风险转化效率、L6 交易特征）· 全 15 位顶流与海外大师案例画像及底层全时序原始数据集</w:t>
      </w:r>
    </w:p>
    <w:p>
      <w:pPr>
        <w:spacing w:before="280" w:after="120"/>
      </w:pPr>
      <w:r>
        <w:rPr>
          <w:rFonts w:ascii="黑体" w:hAnsi="黑体" w:eastAsia="黑体"/>
          <w:b/>
          <w:color w:val="0F172A"/>
          <w:sz w:val="28"/>
        </w:rPr>
        <w:t>一、报告研究背景与实证升级要点</w:t>
      </w:r>
    </w:p>
    <w:p>
      <w:pPr>
        <w:spacing w:after="80" w:line="300" w:lineRule="auto"/>
      </w:pPr>
      <w:r>
        <w:rPr>
          <w:rFonts w:ascii="宋体" w:hAnsi="宋体" w:eastAsia="宋体"/>
          <w:color w:val="334155"/>
          <w:sz w:val="21"/>
        </w:rPr>
        <w:t>本案例研究报告全面对接最新定稿的《基金经理投资行为与业绩评价》实证分析框架，严格采用最新六维体系（L1 背景条件、L2 认知质量、L3 配置能力、L4 操作质量、L5 风险转化效率、L6 交易特征）。核心升级要点体现在：</w:t>
      </w:r>
    </w:p>
    <w:p>
      <w:pPr>
        <w:spacing w:after="80" w:line="300" w:lineRule="auto"/>
      </w:pPr>
      <w:r>
        <w:rPr>
          <w:rFonts w:ascii="宋体" w:hAnsi="宋体" w:eastAsia="宋体"/>
          <w:b/>
          <w:color w:val="0F172A"/>
          <w:sz w:val="21"/>
        </w:rPr>
        <w:t>【统一基准】</w:t>
      </w:r>
      <w:r>
        <w:rPr>
          <w:rFonts w:ascii="宋体" w:hAnsi="宋体" w:eastAsia="宋体"/>
          <w:color w:val="334155"/>
          <w:sz w:val="21"/>
        </w:rPr>
        <w:t>1. 统一 362 只主动偏股基金实证基准：所有指标严格对齐 2006Q3~2026Q2 全市场存续不少于 12 个季度的 362 只存续基金经验分布，消除了牛熊时段错配与幸存者偏差。</w:t>
      </w:r>
    </w:p>
    <w:p>
      <w:pPr>
        <w:spacing w:after="80" w:line="300" w:lineRule="auto"/>
      </w:pPr>
      <w:r>
        <w:rPr>
          <w:rFonts w:ascii="宋体" w:hAnsi="宋体" w:eastAsia="宋体"/>
          <w:b/>
          <w:color w:val="0F172A"/>
          <w:sz w:val="21"/>
        </w:rPr>
        <w:t>【算法严谨】</w:t>
      </w:r>
      <w:r>
        <w:rPr>
          <w:rFonts w:ascii="宋体" w:hAnsi="宋体" w:eastAsia="宋体"/>
          <w:color w:val="334155"/>
          <w:sz w:val="21"/>
        </w:rPr>
        <w:t>2. 严格 Z-Score 定向标准化：对处置效应(de)、过度自信(oc_conf)、行业风格漂移(ISDI)等负向指标统一定向加权，确保所有分位数值均具有‘分值越高、行为越理性、超额业绩贡献越正向’的单调解释力。</w:t>
      </w:r>
    </w:p>
    <w:p>
      <w:pPr>
        <w:spacing w:after="80" w:line="300" w:lineRule="auto"/>
      </w:pPr>
      <w:r>
        <w:rPr>
          <w:rFonts w:ascii="宋体" w:hAnsi="宋体" w:eastAsia="宋体"/>
          <w:b/>
          <w:color w:val="0F172A"/>
          <w:sz w:val="21"/>
        </w:rPr>
        <w:t>【解耦分析】</w:t>
      </w:r>
      <w:r>
        <w:rPr>
          <w:rFonts w:ascii="宋体" w:hAnsi="宋体" w:eastAsia="宋体"/>
          <w:color w:val="334155"/>
          <w:sz w:val="21"/>
        </w:rPr>
        <w:t>3. 解耦纯行为与物理规模：创造性提出了‘纯行为五维分位（L2~L6）’与‘全六维综合分位’双轨评价，揭示了顶流经理与全球大师纯行为阿尔法与物理规模不经济天花板之间的制度性张力。</w:t>
      </w:r>
    </w:p>
    <w:p>
      <w:pPr>
        <w:spacing w:after="80" w:line="300" w:lineRule="auto"/>
      </w:pPr>
      <w:r>
        <w:rPr>
          <w:rFonts w:ascii="宋体" w:hAnsi="宋体" w:eastAsia="宋体"/>
          <w:b/>
          <w:color w:val="0F172A"/>
          <w:sz w:val="21"/>
        </w:rPr>
        <w:t>【数据完备】</w:t>
      </w:r>
      <w:r>
        <w:rPr>
          <w:rFonts w:ascii="宋体" w:hAnsi="宋体" w:eastAsia="宋体"/>
          <w:color w:val="334155"/>
          <w:sz w:val="21"/>
        </w:rPr>
        <w:t>4. 底层全时序原始数据全景归档：涵盖国内 12 只公募基金日频与季度时序、巴菲特（伯克希尔 BRK.A）1980~2026 年 11,284 条日频记录与 60 年年度官方业绩对照表、彼得·林奇全周期业绩，以及段永平大道投资（H&amp;H International）2001~2026 年 25 年年度业绩、103 个季度净值时序、2,264 条日频交易记录与 SEC 13F 核心持仓数据集，构建了坚实的底层数据底座。</w:t>
      </w:r>
    </w:p>
    <w:p>
      <w:pPr>
        <w:spacing w:before="280" w:after="120"/>
      </w:pPr>
      <w:r>
        <w:rPr>
          <w:rFonts w:ascii="黑体" w:hAnsi="黑体" w:eastAsia="黑体"/>
          <w:b/>
          <w:color w:val="0F172A"/>
          <w:sz w:val="28"/>
        </w:rPr>
        <w:t>二、公募顶流基金经理与海外大师最新六维画像总览</w:t>
      </w:r>
    </w:p>
    <w:p>
      <w:pPr>
        <w:spacing w:after="80" w:line="300" w:lineRule="auto"/>
      </w:pPr>
      <w:r>
        <w:rPr>
          <w:rFonts w:ascii="宋体" w:hAnsi="宋体" w:eastAsia="宋体"/>
          <w:color w:val="334155"/>
          <w:sz w:val="21"/>
        </w:rPr>
        <w:t>基于最新 362 只存续样本实证测算，国内 6 位顶流公募基金经理及 3 位海外标杆大师（巴菲特、彼得·林奇、段永平）的最新画像数据如下：</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52"/>
            <w:shd w:fill="1E3A8A"/>
            <w:vAlign w:val="center"/>
          </w:tcPr>
          <w:p>
            <w:pPr>
              <w:spacing w:before="60" w:after="60"/>
              <w:jc w:val="center"/>
            </w:pPr>
            <w:r>
              <w:rPr>
                <w:rFonts w:ascii="黑体" w:hAnsi="黑体" w:eastAsia="黑体"/>
                <w:b/>
                <w:color w:val="FFFFFF"/>
                <w:sz w:val="17"/>
              </w:rPr>
              <w:t>基金经理</w:t>
            </w:r>
          </w:p>
        </w:tc>
        <w:tc>
          <w:tcPr>
            <w:tcW w:type="dxa" w:w="1872"/>
            <w:shd w:fill="1E3A8A"/>
            <w:vAlign w:val="center"/>
          </w:tcPr>
          <w:p>
            <w:pPr>
              <w:spacing w:before="60" w:after="60"/>
              <w:jc w:val="center"/>
            </w:pPr>
            <w:r>
              <w:rPr>
                <w:rFonts w:ascii="黑体" w:hAnsi="黑体" w:eastAsia="黑体"/>
                <w:b/>
                <w:color w:val="FFFFFF"/>
                <w:sz w:val="17"/>
              </w:rPr>
              <w:t>代表产品 / 机构</w:t>
            </w:r>
          </w:p>
        </w:tc>
        <w:tc>
          <w:tcPr>
            <w:tcW w:type="dxa" w:w="1728"/>
            <w:shd w:fill="1E3A8A"/>
            <w:vAlign w:val="center"/>
          </w:tcPr>
          <w:p>
            <w:pPr>
              <w:spacing w:before="60" w:after="60"/>
              <w:jc w:val="center"/>
            </w:pPr>
            <w:r>
              <w:rPr>
                <w:rFonts w:ascii="黑体" w:hAnsi="黑体" w:eastAsia="黑体"/>
                <w:b/>
                <w:color w:val="FFFFFF"/>
                <w:sz w:val="17"/>
              </w:rPr>
              <w:t>行为风格定位</w:t>
            </w:r>
          </w:p>
        </w:tc>
        <w:tc>
          <w:tcPr>
            <w:tcW w:type="dxa" w:w="1008"/>
            <w:shd w:fill="1E3A8A"/>
            <w:vAlign w:val="center"/>
          </w:tcPr>
          <w:p>
            <w:pPr>
              <w:spacing w:before="60" w:after="60"/>
              <w:jc w:val="center"/>
            </w:pPr>
            <w:r>
              <w:rPr>
                <w:rFonts w:ascii="黑体" w:hAnsi="黑体" w:eastAsia="黑体"/>
                <w:b/>
                <w:color w:val="FFFFFF"/>
                <w:sz w:val="17"/>
              </w:rPr>
              <w:t>纯行为五维分位</w:t>
            </w:r>
          </w:p>
        </w:tc>
        <w:tc>
          <w:tcPr>
            <w:tcW w:type="dxa" w:w="1008"/>
            <w:shd w:fill="1E3A8A"/>
            <w:vAlign w:val="center"/>
          </w:tcPr>
          <w:p>
            <w:pPr>
              <w:spacing w:before="60" w:after="60"/>
              <w:jc w:val="center"/>
            </w:pPr>
            <w:r>
              <w:rPr>
                <w:rFonts w:ascii="黑体" w:hAnsi="黑体" w:eastAsia="黑体"/>
                <w:b/>
                <w:color w:val="FFFFFF"/>
                <w:sz w:val="17"/>
              </w:rPr>
              <w:t>全六维综合分位</w:t>
            </w:r>
          </w:p>
        </w:tc>
        <w:tc>
          <w:tcPr>
            <w:tcW w:type="dxa" w:w="864"/>
            <w:shd w:fill="1E3A8A"/>
            <w:vAlign w:val="center"/>
          </w:tcPr>
          <w:p>
            <w:pPr>
              <w:spacing w:before="60" w:after="60"/>
              <w:jc w:val="center"/>
            </w:pPr>
            <w:r>
              <w:rPr>
                <w:rFonts w:ascii="黑体" w:hAnsi="黑体" w:eastAsia="黑体"/>
                <w:b/>
                <w:color w:val="FFFFFF"/>
                <w:sz w:val="17"/>
              </w:rPr>
              <w:t>规模约束压制差</w:t>
            </w:r>
          </w:p>
        </w:tc>
        <w:tc>
          <w:tcPr>
            <w:tcW w:type="dxa" w:w="864"/>
            <w:shd w:fill="1E3A8A"/>
            <w:vAlign w:val="center"/>
          </w:tcPr>
          <w:p>
            <w:pPr>
              <w:spacing w:before="60" w:after="60"/>
              <w:jc w:val="center"/>
            </w:pPr>
            <w:r>
              <w:rPr>
                <w:rFonts w:ascii="黑体" w:hAnsi="黑体" w:eastAsia="黑体"/>
                <w:b/>
                <w:color w:val="FFFFFF"/>
                <w:sz w:val="17"/>
              </w:rPr>
              <w:t>年化收益率</w:t>
            </w:r>
          </w:p>
        </w:tc>
        <w:tc>
          <w:tcPr>
            <w:tcW w:type="dxa" w:w="864"/>
            <w:shd w:fill="1E3A8A"/>
            <w:vAlign w:val="center"/>
          </w:tcPr>
          <w:p>
            <w:pPr>
              <w:spacing w:before="60" w:after="60"/>
              <w:jc w:val="center"/>
            </w:pPr>
            <w:r>
              <w:rPr>
                <w:rFonts w:ascii="黑体" w:hAnsi="黑体" w:eastAsia="黑体"/>
                <w:b/>
                <w:color w:val="FFFFFF"/>
                <w:sz w:val="17"/>
              </w:rPr>
              <w:t>最大回撤</w:t>
            </w:r>
          </w:p>
        </w:tc>
        <w:tc>
          <w:tcPr>
            <w:tcW w:type="dxa" w:w="864"/>
            <w:shd w:fill="1E3A8A"/>
            <w:vAlign w:val="center"/>
          </w:tcPr>
          <w:p>
            <w:pPr>
              <w:spacing w:before="60" w:after="60"/>
              <w:jc w:val="center"/>
            </w:pPr>
            <w:r>
              <w:rPr>
                <w:rFonts w:ascii="黑体" w:hAnsi="黑体" w:eastAsia="黑体"/>
                <w:b/>
                <w:color w:val="FFFFFF"/>
                <w:sz w:val="17"/>
              </w:rPr>
              <w:t>超额Alpha</w:t>
            </w:r>
          </w:p>
        </w:tc>
      </w:tr>
      <w:tr>
        <w:tc>
          <w:tcPr>
            <w:tcW w:type="dxa" w:w="1152"/>
            <w:shd w:fill="FFFFFF"/>
            <w:vAlign w:val="center"/>
          </w:tcPr>
          <w:p>
            <w:pPr>
              <w:spacing w:before="50" w:after="50"/>
              <w:jc w:val="center"/>
            </w:pPr>
            <w:r>
              <w:rPr>
                <w:rFonts w:ascii="宋体" w:hAnsi="宋体" w:eastAsia="宋体"/>
                <w:color w:val="1E293B"/>
                <w:sz w:val="16"/>
              </w:rPr>
              <w:t>张坤</w:t>
            </w:r>
          </w:p>
        </w:tc>
        <w:tc>
          <w:tcPr>
            <w:tcW w:type="dxa" w:w="1872"/>
            <w:shd w:fill="FFFFFF"/>
            <w:vAlign w:val="center"/>
          </w:tcPr>
          <w:p>
            <w:pPr>
              <w:spacing w:before="50" w:after="50"/>
              <w:jc w:val="left"/>
            </w:pPr>
            <w:r>
              <w:rPr>
                <w:rFonts w:ascii="宋体" w:hAnsi="宋体" w:eastAsia="宋体"/>
                <w:color w:val="1E293B"/>
                <w:sz w:val="16"/>
              </w:rPr>
              <w:t>易方达蓝筹精选 (005827)</w:t>
            </w:r>
          </w:p>
        </w:tc>
        <w:tc>
          <w:tcPr>
            <w:tcW w:type="dxa" w:w="1728"/>
            <w:shd w:fill="FFFFFF"/>
            <w:vAlign w:val="center"/>
          </w:tcPr>
          <w:p>
            <w:pPr>
              <w:spacing w:before="50" w:after="50"/>
              <w:jc w:val="left"/>
            </w:pPr>
            <w:r>
              <w:rPr>
                <w:rFonts w:ascii="宋体" w:hAnsi="宋体" w:eastAsia="宋体"/>
                <w:color w:val="1E293B"/>
                <w:sz w:val="16"/>
              </w:rPr>
              <w:t>深度价值·蓝筹集中型</w:t>
            </w:r>
          </w:p>
        </w:tc>
        <w:tc>
          <w:tcPr>
            <w:tcW w:type="dxa" w:w="1008"/>
            <w:shd w:fill="FFFFFF"/>
            <w:vAlign w:val="center"/>
          </w:tcPr>
          <w:p>
            <w:pPr>
              <w:spacing w:before="50" w:after="50"/>
              <w:jc w:val="left"/>
            </w:pPr>
            <w:r>
              <w:rPr>
                <w:rFonts w:ascii="宋体" w:hAnsi="宋体" w:eastAsia="宋体"/>
                <w:color w:val="1E293B"/>
                <w:sz w:val="16"/>
              </w:rPr>
              <w:t>69.5%</w:t>
            </w:r>
          </w:p>
        </w:tc>
        <w:tc>
          <w:tcPr>
            <w:tcW w:type="dxa" w:w="1008"/>
            <w:shd w:fill="FFFFFF"/>
            <w:vAlign w:val="center"/>
          </w:tcPr>
          <w:p>
            <w:pPr>
              <w:spacing w:before="50" w:after="50"/>
              <w:jc w:val="left"/>
            </w:pPr>
            <w:r>
              <w:rPr>
                <w:rFonts w:ascii="宋体" w:hAnsi="宋体" w:eastAsia="宋体"/>
                <w:color w:val="1E293B"/>
                <w:sz w:val="16"/>
              </w:rPr>
              <w:t>43.4%</w:t>
            </w:r>
          </w:p>
        </w:tc>
        <w:tc>
          <w:tcPr>
            <w:tcW w:type="dxa" w:w="864"/>
            <w:shd w:fill="FFFFFF"/>
            <w:vAlign w:val="center"/>
          </w:tcPr>
          <w:p>
            <w:pPr>
              <w:spacing w:before="50" w:after="50"/>
              <w:jc w:val="center"/>
            </w:pPr>
            <w:r>
              <w:rPr>
                <w:rFonts w:ascii="宋体" w:hAnsi="宋体" w:eastAsia="宋体"/>
                <w:color w:val="1E293B"/>
                <w:sz w:val="16"/>
              </w:rPr>
              <w:t>+26.1%</w:t>
            </w:r>
          </w:p>
        </w:tc>
        <w:tc>
          <w:tcPr>
            <w:tcW w:type="dxa" w:w="864"/>
            <w:shd w:fill="FFFFFF"/>
            <w:vAlign w:val="center"/>
          </w:tcPr>
          <w:p>
            <w:pPr>
              <w:spacing w:before="50" w:after="50"/>
              <w:jc w:val="center"/>
            </w:pPr>
            <w:r>
              <w:rPr>
                <w:rFonts w:ascii="宋体" w:hAnsi="宋体" w:eastAsia="宋体"/>
                <w:color w:val="1E293B"/>
                <w:sz w:val="16"/>
              </w:rPr>
              <w:t>9.80%</w:t>
            </w:r>
          </w:p>
        </w:tc>
        <w:tc>
          <w:tcPr>
            <w:tcW w:type="dxa" w:w="864"/>
            <w:shd w:fill="FFFFFF"/>
            <w:vAlign w:val="center"/>
          </w:tcPr>
          <w:p>
            <w:pPr>
              <w:spacing w:before="50" w:after="50"/>
              <w:jc w:val="center"/>
            </w:pPr>
            <w:r>
              <w:rPr>
                <w:rFonts w:ascii="宋体" w:hAnsi="宋体" w:eastAsia="宋体"/>
                <w:color w:val="1E293B"/>
                <w:sz w:val="16"/>
              </w:rPr>
              <w:t>-57.90%</w:t>
            </w:r>
          </w:p>
        </w:tc>
        <w:tc>
          <w:tcPr>
            <w:tcW w:type="dxa" w:w="864"/>
            <w:shd w:fill="FFFFFF"/>
            <w:vAlign w:val="center"/>
          </w:tcPr>
          <w:p>
            <w:pPr>
              <w:spacing w:before="50" w:after="50"/>
              <w:jc w:val="center"/>
            </w:pPr>
            <w:r>
              <w:rPr>
                <w:rFonts w:ascii="宋体" w:hAnsi="宋体" w:eastAsia="宋体"/>
                <w:color w:val="1E293B"/>
                <w:sz w:val="16"/>
              </w:rPr>
              <w:t>+2.15%</w:t>
            </w:r>
          </w:p>
        </w:tc>
      </w:tr>
      <w:tr>
        <w:tc>
          <w:tcPr>
            <w:tcW w:type="dxa" w:w="1152"/>
            <w:shd w:fill="F8FAFC"/>
            <w:vAlign w:val="center"/>
          </w:tcPr>
          <w:p>
            <w:pPr>
              <w:spacing w:before="50" w:after="50"/>
              <w:jc w:val="center"/>
            </w:pPr>
            <w:r>
              <w:rPr>
                <w:rFonts w:ascii="宋体" w:hAnsi="宋体" w:eastAsia="宋体"/>
                <w:color w:val="1E293B"/>
                <w:sz w:val="16"/>
              </w:rPr>
              <w:t>朱少醒</w:t>
            </w:r>
          </w:p>
        </w:tc>
        <w:tc>
          <w:tcPr>
            <w:tcW w:type="dxa" w:w="1872"/>
            <w:shd w:fill="F8FAFC"/>
            <w:vAlign w:val="center"/>
          </w:tcPr>
          <w:p>
            <w:pPr>
              <w:spacing w:before="50" w:after="50"/>
              <w:jc w:val="left"/>
            </w:pPr>
            <w:r>
              <w:rPr>
                <w:rFonts w:ascii="宋体" w:hAnsi="宋体" w:eastAsia="宋体"/>
                <w:color w:val="1E293B"/>
                <w:sz w:val="16"/>
              </w:rPr>
              <w:t>富国天惠成长混合A (161005)</w:t>
            </w:r>
          </w:p>
        </w:tc>
        <w:tc>
          <w:tcPr>
            <w:tcW w:type="dxa" w:w="1728"/>
            <w:shd w:fill="F8FAFC"/>
            <w:vAlign w:val="center"/>
          </w:tcPr>
          <w:p>
            <w:pPr>
              <w:spacing w:before="50" w:after="50"/>
              <w:jc w:val="left"/>
            </w:pPr>
            <w:r>
              <w:rPr>
                <w:rFonts w:ascii="宋体" w:hAnsi="宋体" w:eastAsia="宋体"/>
                <w:color w:val="1E293B"/>
                <w:sz w:val="16"/>
              </w:rPr>
              <w:t>长期均衡·自下而上选股型</w:t>
            </w:r>
          </w:p>
        </w:tc>
        <w:tc>
          <w:tcPr>
            <w:tcW w:type="dxa" w:w="1008"/>
            <w:shd w:fill="F8FAFC"/>
            <w:vAlign w:val="center"/>
          </w:tcPr>
          <w:p>
            <w:pPr>
              <w:spacing w:before="50" w:after="50"/>
              <w:jc w:val="left"/>
            </w:pPr>
            <w:r>
              <w:rPr>
                <w:rFonts w:ascii="宋体" w:hAnsi="宋体" w:eastAsia="宋体"/>
                <w:color w:val="1E293B"/>
                <w:sz w:val="16"/>
              </w:rPr>
              <w:t>52.5%</w:t>
            </w:r>
          </w:p>
        </w:tc>
        <w:tc>
          <w:tcPr>
            <w:tcW w:type="dxa" w:w="1008"/>
            <w:shd w:fill="F8FAFC"/>
            <w:vAlign w:val="center"/>
          </w:tcPr>
          <w:p>
            <w:pPr>
              <w:spacing w:before="50" w:after="50"/>
              <w:jc w:val="left"/>
            </w:pPr>
            <w:r>
              <w:rPr>
                <w:rFonts w:ascii="宋体" w:hAnsi="宋体" w:eastAsia="宋体"/>
                <w:color w:val="1E293B"/>
                <w:sz w:val="16"/>
              </w:rPr>
              <w:t>2.8%</w:t>
            </w:r>
          </w:p>
        </w:tc>
        <w:tc>
          <w:tcPr>
            <w:tcW w:type="dxa" w:w="864"/>
            <w:shd w:fill="F8FAFC"/>
            <w:vAlign w:val="center"/>
          </w:tcPr>
          <w:p>
            <w:pPr>
              <w:spacing w:before="50" w:after="50"/>
              <w:jc w:val="center"/>
            </w:pPr>
            <w:r>
              <w:rPr>
                <w:rFonts w:ascii="宋体" w:hAnsi="宋体" w:eastAsia="宋体"/>
                <w:color w:val="1E293B"/>
                <w:sz w:val="16"/>
              </w:rPr>
              <w:t>+49.7%</w:t>
            </w:r>
          </w:p>
        </w:tc>
        <w:tc>
          <w:tcPr>
            <w:tcW w:type="dxa" w:w="864"/>
            <w:shd w:fill="F8FAFC"/>
            <w:vAlign w:val="center"/>
          </w:tcPr>
          <w:p>
            <w:pPr>
              <w:spacing w:before="50" w:after="50"/>
              <w:jc w:val="center"/>
            </w:pPr>
            <w:r>
              <w:rPr>
                <w:rFonts w:ascii="宋体" w:hAnsi="宋体" w:eastAsia="宋体"/>
                <w:color w:val="1E293B"/>
                <w:sz w:val="16"/>
              </w:rPr>
              <w:t>15.60%</w:t>
            </w:r>
          </w:p>
        </w:tc>
        <w:tc>
          <w:tcPr>
            <w:tcW w:type="dxa" w:w="864"/>
            <w:shd w:fill="F8FAFC"/>
            <w:vAlign w:val="center"/>
          </w:tcPr>
          <w:p>
            <w:pPr>
              <w:spacing w:before="50" w:after="50"/>
              <w:jc w:val="center"/>
            </w:pPr>
            <w:r>
              <w:rPr>
                <w:rFonts w:ascii="宋体" w:hAnsi="宋体" w:eastAsia="宋体"/>
                <w:color w:val="1E293B"/>
                <w:sz w:val="16"/>
              </w:rPr>
              <w:t>-58.91%</w:t>
            </w:r>
          </w:p>
        </w:tc>
        <w:tc>
          <w:tcPr>
            <w:tcW w:type="dxa" w:w="864"/>
            <w:shd w:fill="F8FAFC"/>
            <w:vAlign w:val="center"/>
          </w:tcPr>
          <w:p>
            <w:pPr>
              <w:spacing w:before="50" w:after="50"/>
              <w:jc w:val="center"/>
            </w:pPr>
            <w:r>
              <w:rPr>
                <w:rFonts w:ascii="宋体" w:hAnsi="宋体" w:eastAsia="宋体"/>
                <w:color w:val="1E293B"/>
                <w:sz w:val="16"/>
              </w:rPr>
              <w:t>+2.85%</w:t>
            </w:r>
          </w:p>
        </w:tc>
      </w:tr>
      <w:tr>
        <w:tc>
          <w:tcPr>
            <w:tcW w:type="dxa" w:w="1152"/>
            <w:shd w:fill="FFFFFF"/>
            <w:vAlign w:val="center"/>
          </w:tcPr>
          <w:p>
            <w:pPr>
              <w:spacing w:before="50" w:after="50"/>
              <w:jc w:val="center"/>
            </w:pPr>
            <w:r>
              <w:rPr>
                <w:rFonts w:ascii="宋体" w:hAnsi="宋体" w:eastAsia="宋体"/>
                <w:color w:val="1E293B"/>
                <w:sz w:val="16"/>
              </w:rPr>
              <w:t>葛兰</w:t>
            </w:r>
          </w:p>
        </w:tc>
        <w:tc>
          <w:tcPr>
            <w:tcW w:type="dxa" w:w="1872"/>
            <w:shd w:fill="FFFFFF"/>
            <w:vAlign w:val="center"/>
          </w:tcPr>
          <w:p>
            <w:pPr>
              <w:spacing w:before="50" w:after="50"/>
              <w:jc w:val="left"/>
            </w:pPr>
            <w:r>
              <w:rPr>
                <w:rFonts w:ascii="宋体" w:hAnsi="宋体" w:eastAsia="宋体"/>
                <w:color w:val="1E293B"/>
                <w:sz w:val="16"/>
              </w:rPr>
              <w:t>中欧医疗健康混合A (003095)</w:t>
            </w:r>
          </w:p>
        </w:tc>
        <w:tc>
          <w:tcPr>
            <w:tcW w:type="dxa" w:w="1728"/>
            <w:shd w:fill="FFFFFF"/>
            <w:vAlign w:val="center"/>
          </w:tcPr>
          <w:p>
            <w:pPr>
              <w:spacing w:before="50" w:after="50"/>
              <w:jc w:val="left"/>
            </w:pPr>
            <w:r>
              <w:rPr>
                <w:rFonts w:ascii="宋体" w:hAnsi="宋体" w:eastAsia="宋体"/>
                <w:color w:val="1E293B"/>
                <w:sz w:val="16"/>
              </w:rPr>
              <w:t>赛道深耕·高信念高波动型</w:t>
            </w:r>
          </w:p>
        </w:tc>
        <w:tc>
          <w:tcPr>
            <w:tcW w:type="dxa" w:w="1008"/>
            <w:shd w:fill="FFFFFF"/>
            <w:vAlign w:val="center"/>
          </w:tcPr>
          <w:p>
            <w:pPr>
              <w:spacing w:before="50" w:after="50"/>
              <w:jc w:val="left"/>
            </w:pPr>
            <w:r>
              <w:rPr>
                <w:rFonts w:ascii="宋体" w:hAnsi="宋体" w:eastAsia="宋体"/>
                <w:color w:val="1E293B"/>
                <w:sz w:val="16"/>
              </w:rPr>
              <w:t>60.8%</w:t>
            </w:r>
          </w:p>
        </w:tc>
        <w:tc>
          <w:tcPr>
            <w:tcW w:type="dxa" w:w="1008"/>
            <w:shd w:fill="FFFFFF"/>
            <w:vAlign w:val="center"/>
          </w:tcPr>
          <w:p>
            <w:pPr>
              <w:spacing w:before="50" w:after="50"/>
              <w:jc w:val="left"/>
            </w:pPr>
            <w:r>
              <w:rPr>
                <w:rFonts w:ascii="宋体" w:hAnsi="宋体" w:eastAsia="宋体"/>
                <w:color w:val="1E293B"/>
                <w:sz w:val="16"/>
              </w:rPr>
              <w:t>28.7%</w:t>
            </w:r>
          </w:p>
        </w:tc>
        <w:tc>
          <w:tcPr>
            <w:tcW w:type="dxa" w:w="864"/>
            <w:shd w:fill="FFFFFF"/>
            <w:vAlign w:val="center"/>
          </w:tcPr>
          <w:p>
            <w:pPr>
              <w:spacing w:before="50" w:after="50"/>
              <w:jc w:val="center"/>
            </w:pPr>
            <w:r>
              <w:rPr>
                <w:rFonts w:ascii="宋体" w:hAnsi="宋体" w:eastAsia="宋体"/>
                <w:color w:val="1E293B"/>
                <w:sz w:val="16"/>
              </w:rPr>
              <w:t>+32.0%</w:t>
            </w:r>
          </w:p>
        </w:tc>
        <w:tc>
          <w:tcPr>
            <w:tcW w:type="dxa" w:w="864"/>
            <w:shd w:fill="FFFFFF"/>
            <w:vAlign w:val="center"/>
          </w:tcPr>
          <w:p>
            <w:pPr>
              <w:spacing w:before="50" w:after="50"/>
              <w:jc w:val="center"/>
            </w:pPr>
            <w:r>
              <w:rPr>
                <w:rFonts w:ascii="宋体" w:hAnsi="宋体" w:eastAsia="宋体"/>
                <w:color w:val="1E293B"/>
                <w:sz w:val="16"/>
              </w:rPr>
              <w:t>12.81%</w:t>
            </w:r>
          </w:p>
        </w:tc>
        <w:tc>
          <w:tcPr>
            <w:tcW w:type="dxa" w:w="864"/>
            <w:shd w:fill="FFFFFF"/>
            <w:vAlign w:val="center"/>
          </w:tcPr>
          <w:p>
            <w:pPr>
              <w:spacing w:before="50" w:after="50"/>
              <w:jc w:val="center"/>
            </w:pPr>
            <w:r>
              <w:rPr>
                <w:rFonts w:ascii="宋体" w:hAnsi="宋体" w:eastAsia="宋体"/>
                <w:color w:val="1E293B"/>
                <w:sz w:val="16"/>
              </w:rPr>
              <w:t>-61.20%</w:t>
            </w:r>
          </w:p>
        </w:tc>
        <w:tc>
          <w:tcPr>
            <w:tcW w:type="dxa" w:w="864"/>
            <w:shd w:fill="FFFFFF"/>
            <w:vAlign w:val="center"/>
          </w:tcPr>
          <w:p>
            <w:pPr>
              <w:spacing w:before="50" w:after="50"/>
              <w:jc w:val="center"/>
            </w:pPr>
            <w:r>
              <w:rPr>
                <w:rFonts w:ascii="宋体" w:hAnsi="宋体" w:eastAsia="宋体"/>
                <w:color w:val="1E293B"/>
                <w:sz w:val="16"/>
              </w:rPr>
              <w:t>+0.45%</w:t>
            </w:r>
          </w:p>
        </w:tc>
      </w:tr>
      <w:tr>
        <w:tc>
          <w:tcPr>
            <w:tcW w:type="dxa" w:w="1152"/>
            <w:shd w:fill="F8FAFC"/>
            <w:vAlign w:val="center"/>
          </w:tcPr>
          <w:p>
            <w:pPr>
              <w:spacing w:before="50" w:after="50"/>
              <w:jc w:val="center"/>
            </w:pPr>
            <w:r>
              <w:rPr>
                <w:rFonts w:ascii="宋体" w:hAnsi="宋体" w:eastAsia="宋体"/>
                <w:color w:val="1E293B"/>
                <w:sz w:val="16"/>
              </w:rPr>
              <w:t>蔡嵩松</w:t>
            </w:r>
          </w:p>
        </w:tc>
        <w:tc>
          <w:tcPr>
            <w:tcW w:type="dxa" w:w="1872"/>
            <w:shd w:fill="F8FAFC"/>
            <w:vAlign w:val="center"/>
          </w:tcPr>
          <w:p>
            <w:pPr>
              <w:spacing w:before="50" w:after="50"/>
              <w:jc w:val="left"/>
            </w:pPr>
            <w:r>
              <w:rPr>
                <w:rFonts w:ascii="宋体" w:hAnsi="宋体" w:eastAsia="宋体"/>
                <w:color w:val="1E293B"/>
                <w:sz w:val="16"/>
              </w:rPr>
              <w:t>诺安成长混合 (320007)</w:t>
            </w:r>
          </w:p>
        </w:tc>
        <w:tc>
          <w:tcPr>
            <w:tcW w:type="dxa" w:w="1728"/>
            <w:shd w:fill="F8FAFC"/>
            <w:vAlign w:val="center"/>
          </w:tcPr>
          <w:p>
            <w:pPr>
              <w:spacing w:before="50" w:after="50"/>
              <w:jc w:val="left"/>
            </w:pPr>
            <w:r>
              <w:rPr>
                <w:rFonts w:ascii="宋体" w:hAnsi="宋体" w:eastAsia="宋体"/>
                <w:color w:val="1E293B"/>
                <w:sz w:val="16"/>
              </w:rPr>
              <w:t>极致集中·科技成长轮动型</w:t>
            </w:r>
          </w:p>
        </w:tc>
        <w:tc>
          <w:tcPr>
            <w:tcW w:type="dxa" w:w="1008"/>
            <w:shd w:fill="F8FAFC"/>
            <w:vAlign w:val="center"/>
          </w:tcPr>
          <w:p>
            <w:pPr>
              <w:spacing w:before="50" w:after="50"/>
              <w:jc w:val="left"/>
            </w:pPr>
            <w:r>
              <w:rPr>
                <w:rFonts w:ascii="宋体" w:hAnsi="宋体" w:eastAsia="宋体"/>
                <w:color w:val="1E293B"/>
                <w:sz w:val="16"/>
              </w:rPr>
              <w:t>66.2%</w:t>
            </w:r>
          </w:p>
        </w:tc>
        <w:tc>
          <w:tcPr>
            <w:tcW w:type="dxa" w:w="1008"/>
            <w:shd w:fill="F8FAFC"/>
            <w:vAlign w:val="center"/>
          </w:tcPr>
          <w:p>
            <w:pPr>
              <w:spacing w:before="50" w:after="50"/>
              <w:jc w:val="left"/>
            </w:pPr>
            <w:r>
              <w:rPr>
                <w:rFonts w:ascii="宋体" w:hAnsi="宋体" w:eastAsia="宋体"/>
                <w:color w:val="1E293B"/>
                <w:sz w:val="16"/>
              </w:rPr>
              <w:t>47.0%</w:t>
            </w:r>
          </w:p>
        </w:tc>
        <w:tc>
          <w:tcPr>
            <w:tcW w:type="dxa" w:w="864"/>
            <w:shd w:fill="F8FAFC"/>
            <w:vAlign w:val="center"/>
          </w:tcPr>
          <w:p>
            <w:pPr>
              <w:spacing w:before="50" w:after="50"/>
              <w:jc w:val="center"/>
            </w:pPr>
            <w:r>
              <w:rPr>
                <w:rFonts w:ascii="宋体" w:hAnsi="宋体" w:eastAsia="宋体"/>
                <w:color w:val="1E293B"/>
                <w:sz w:val="16"/>
              </w:rPr>
              <w:t>+19.3%</w:t>
            </w:r>
          </w:p>
        </w:tc>
        <w:tc>
          <w:tcPr>
            <w:tcW w:type="dxa" w:w="864"/>
            <w:shd w:fill="F8FAFC"/>
            <w:vAlign w:val="center"/>
          </w:tcPr>
          <w:p>
            <w:pPr>
              <w:spacing w:before="50" w:after="50"/>
              <w:jc w:val="center"/>
            </w:pPr>
            <w:r>
              <w:rPr>
                <w:rFonts w:ascii="宋体" w:hAnsi="宋体" w:eastAsia="宋体"/>
                <w:color w:val="1E293B"/>
                <w:sz w:val="16"/>
              </w:rPr>
              <w:t>11.20%</w:t>
            </w:r>
          </w:p>
        </w:tc>
        <w:tc>
          <w:tcPr>
            <w:tcW w:type="dxa" w:w="864"/>
            <w:shd w:fill="F8FAFC"/>
            <w:vAlign w:val="center"/>
          </w:tcPr>
          <w:p>
            <w:pPr>
              <w:spacing w:before="50" w:after="50"/>
              <w:jc w:val="center"/>
            </w:pPr>
            <w:r>
              <w:rPr>
                <w:rFonts w:ascii="宋体" w:hAnsi="宋体" w:eastAsia="宋体"/>
                <w:color w:val="1E293B"/>
                <w:sz w:val="16"/>
              </w:rPr>
              <w:t>-54.50%</w:t>
            </w:r>
          </w:p>
        </w:tc>
        <w:tc>
          <w:tcPr>
            <w:tcW w:type="dxa" w:w="864"/>
            <w:shd w:fill="F8FAFC"/>
            <w:vAlign w:val="center"/>
          </w:tcPr>
          <w:p>
            <w:pPr>
              <w:spacing w:before="50" w:after="50"/>
              <w:jc w:val="center"/>
            </w:pPr>
            <w:r>
              <w:rPr>
                <w:rFonts w:ascii="宋体" w:hAnsi="宋体" w:eastAsia="宋体"/>
                <w:color w:val="1E293B"/>
                <w:sz w:val="16"/>
              </w:rPr>
              <w:t>+1.12%</w:t>
            </w:r>
          </w:p>
        </w:tc>
      </w:tr>
      <w:tr>
        <w:tc>
          <w:tcPr>
            <w:tcW w:type="dxa" w:w="1152"/>
            <w:shd w:fill="FFFFFF"/>
            <w:vAlign w:val="center"/>
          </w:tcPr>
          <w:p>
            <w:pPr>
              <w:spacing w:before="50" w:after="50"/>
              <w:jc w:val="center"/>
            </w:pPr>
            <w:r>
              <w:rPr>
                <w:rFonts w:ascii="宋体" w:hAnsi="宋体" w:eastAsia="宋体"/>
                <w:color w:val="1E293B"/>
                <w:sz w:val="16"/>
              </w:rPr>
              <w:t>谢治宇</w:t>
            </w:r>
          </w:p>
        </w:tc>
        <w:tc>
          <w:tcPr>
            <w:tcW w:type="dxa" w:w="1872"/>
            <w:shd w:fill="FFFFFF"/>
            <w:vAlign w:val="center"/>
          </w:tcPr>
          <w:p>
            <w:pPr>
              <w:spacing w:before="50" w:after="50"/>
              <w:jc w:val="left"/>
            </w:pPr>
            <w:r>
              <w:rPr>
                <w:rFonts w:ascii="宋体" w:hAnsi="宋体" w:eastAsia="宋体"/>
                <w:color w:val="1E293B"/>
                <w:sz w:val="16"/>
              </w:rPr>
              <w:t>兴全合润混合A (163406)</w:t>
            </w:r>
          </w:p>
        </w:tc>
        <w:tc>
          <w:tcPr>
            <w:tcW w:type="dxa" w:w="1728"/>
            <w:shd w:fill="FFFFFF"/>
            <w:vAlign w:val="center"/>
          </w:tcPr>
          <w:p>
            <w:pPr>
              <w:spacing w:before="50" w:after="50"/>
              <w:jc w:val="left"/>
            </w:pPr>
            <w:r>
              <w:rPr>
                <w:rFonts w:ascii="宋体" w:hAnsi="宋体" w:eastAsia="宋体"/>
                <w:color w:val="1E293B"/>
                <w:sz w:val="16"/>
              </w:rPr>
              <w:t>均衡配置·GARP性价比型</w:t>
            </w:r>
          </w:p>
        </w:tc>
        <w:tc>
          <w:tcPr>
            <w:tcW w:type="dxa" w:w="1008"/>
            <w:shd w:fill="FFFFFF"/>
            <w:vAlign w:val="center"/>
          </w:tcPr>
          <w:p>
            <w:pPr>
              <w:spacing w:before="50" w:after="50"/>
              <w:jc w:val="left"/>
            </w:pPr>
            <w:r>
              <w:rPr>
                <w:rFonts w:ascii="宋体" w:hAnsi="宋体" w:eastAsia="宋体"/>
                <w:color w:val="1E293B"/>
                <w:sz w:val="16"/>
              </w:rPr>
              <w:t>13.5%</w:t>
            </w:r>
          </w:p>
        </w:tc>
        <w:tc>
          <w:tcPr>
            <w:tcW w:type="dxa" w:w="1008"/>
            <w:shd w:fill="FFFFFF"/>
            <w:vAlign w:val="center"/>
          </w:tcPr>
          <w:p>
            <w:pPr>
              <w:spacing w:before="50" w:after="50"/>
              <w:jc w:val="left"/>
            </w:pPr>
            <w:r>
              <w:rPr>
                <w:rFonts w:ascii="宋体" w:hAnsi="宋体" w:eastAsia="宋体"/>
                <w:color w:val="1E293B"/>
                <w:sz w:val="16"/>
              </w:rPr>
              <w:t>0.8%</w:t>
            </w:r>
          </w:p>
        </w:tc>
        <w:tc>
          <w:tcPr>
            <w:tcW w:type="dxa" w:w="864"/>
            <w:shd w:fill="FFFFFF"/>
            <w:vAlign w:val="center"/>
          </w:tcPr>
          <w:p>
            <w:pPr>
              <w:spacing w:before="50" w:after="50"/>
              <w:jc w:val="center"/>
            </w:pPr>
            <w:r>
              <w:rPr>
                <w:rFonts w:ascii="宋体" w:hAnsi="宋体" w:eastAsia="宋体"/>
                <w:color w:val="1E293B"/>
                <w:sz w:val="16"/>
              </w:rPr>
              <w:t>+12.7%</w:t>
            </w:r>
          </w:p>
        </w:tc>
        <w:tc>
          <w:tcPr>
            <w:tcW w:type="dxa" w:w="864"/>
            <w:shd w:fill="FFFFFF"/>
            <w:vAlign w:val="center"/>
          </w:tcPr>
          <w:p>
            <w:pPr>
              <w:spacing w:before="50" w:after="50"/>
              <w:jc w:val="center"/>
            </w:pPr>
            <w:r>
              <w:rPr>
                <w:rFonts w:ascii="宋体" w:hAnsi="宋体" w:eastAsia="宋体"/>
                <w:color w:val="1E293B"/>
                <w:sz w:val="16"/>
              </w:rPr>
              <w:t>19.22%</w:t>
            </w:r>
          </w:p>
        </w:tc>
        <w:tc>
          <w:tcPr>
            <w:tcW w:type="dxa" w:w="864"/>
            <w:shd w:fill="FFFFFF"/>
            <w:vAlign w:val="center"/>
          </w:tcPr>
          <w:p>
            <w:pPr>
              <w:spacing w:before="50" w:after="50"/>
              <w:jc w:val="center"/>
            </w:pPr>
            <w:r>
              <w:rPr>
                <w:rFonts w:ascii="宋体" w:hAnsi="宋体" w:eastAsia="宋体"/>
                <w:color w:val="1E293B"/>
                <w:sz w:val="16"/>
              </w:rPr>
              <w:t>-38.60%</w:t>
            </w:r>
          </w:p>
        </w:tc>
        <w:tc>
          <w:tcPr>
            <w:tcW w:type="dxa" w:w="864"/>
            <w:shd w:fill="FFFFFF"/>
            <w:vAlign w:val="center"/>
          </w:tcPr>
          <w:p>
            <w:pPr>
              <w:spacing w:before="50" w:after="50"/>
              <w:jc w:val="center"/>
            </w:pPr>
            <w:r>
              <w:rPr>
                <w:rFonts w:ascii="宋体" w:hAnsi="宋体" w:eastAsia="宋体"/>
                <w:color w:val="1E293B"/>
                <w:sz w:val="16"/>
              </w:rPr>
              <w:t>+3.12%</w:t>
            </w:r>
          </w:p>
        </w:tc>
      </w:tr>
      <w:tr>
        <w:tc>
          <w:tcPr>
            <w:tcW w:type="dxa" w:w="1152"/>
            <w:shd w:fill="F8FAFC"/>
            <w:vAlign w:val="center"/>
          </w:tcPr>
          <w:p>
            <w:pPr>
              <w:spacing w:before="50" w:after="50"/>
              <w:jc w:val="center"/>
            </w:pPr>
            <w:r>
              <w:rPr>
                <w:rFonts w:ascii="宋体" w:hAnsi="宋体" w:eastAsia="宋体"/>
                <w:color w:val="1E293B"/>
                <w:sz w:val="16"/>
              </w:rPr>
              <w:t>刘彦春</w:t>
            </w:r>
          </w:p>
        </w:tc>
        <w:tc>
          <w:tcPr>
            <w:tcW w:type="dxa" w:w="1872"/>
            <w:shd w:fill="F8FAFC"/>
            <w:vAlign w:val="center"/>
          </w:tcPr>
          <w:p>
            <w:pPr>
              <w:spacing w:before="50" w:after="50"/>
              <w:jc w:val="left"/>
            </w:pPr>
            <w:r>
              <w:rPr>
                <w:rFonts w:ascii="宋体" w:hAnsi="宋体" w:eastAsia="宋体"/>
                <w:color w:val="1E293B"/>
                <w:sz w:val="16"/>
              </w:rPr>
              <w:t>景顺长城新兴成长混合 (260108)</w:t>
            </w:r>
          </w:p>
        </w:tc>
        <w:tc>
          <w:tcPr>
            <w:tcW w:type="dxa" w:w="1728"/>
            <w:shd w:fill="F8FAFC"/>
            <w:vAlign w:val="center"/>
          </w:tcPr>
          <w:p>
            <w:pPr>
              <w:spacing w:before="50" w:after="50"/>
              <w:jc w:val="left"/>
            </w:pPr>
            <w:r>
              <w:rPr>
                <w:rFonts w:ascii="宋体" w:hAnsi="宋体" w:eastAsia="宋体"/>
                <w:color w:val="1E293B"/>
                <w:sz w:val="16"/>
              </w:rPr>
              <w:t>消费龙头·高集中逆向重仓型</w:t>
            </w:r>
          </w:p>
        </w:tc>
        <w:tc>
          <w:tcPr>
            <w:tcW w:type="dxa" w:w="1008"/>
            <w:shd w:fill="F8FAFC"/>
            <w:vAlign w:val="center"/>
          </w:tcPr>
          <w:p>
            <w:pPr>
              <w:spacing w:before="50" w:after="50"/>
              <w:jc w:val="left"/>
            </w:pPr>
            <w:r>
              <w:rPr>
                <w:rFonts w:ascii="宋体" w:hAnsi="宋体" w:eastAsia="宋体"/>
                <w:color w:val="1E293B"/>
                <w:sz w:val="16"/>
              </w:rPr>
              <w:t>68.8%</w:t>
            </w:r>
          </w:p>
        </w:tc>
        <w:tc>
          <w:tcPr>
            <w:tcW w:type="dxa" w:w="1008"/>
            <w:shd w:fill="F8FAFC"/>
            <w:vAlign w:val="center"/>
          </w:tcPr>
          <w:p>
            <w:pPr>
              <w:spacing w:before="50" w:after="50"/>
              <w:jc w:val="left"/>
            </w:pPr>
            <w:r>
              <w:rPr>
                <w:rFonts w:ascii="宋体" w:hAnsi="宋体" w:eastAsia="宋体"/>
                <w:color w:val="1E293B"/>
                <w:sz w:val="16"/>
              </w:rPr>
              <w:t>29.0%</w:t>
            </w:r>
          </w:p>
        </w:tc>
        <w:tc>
          <w:tcPr>
            <w:tcW w:type="dxa" w:w="864"/>
            <w:shd w:fill="F8FAFC"/>
            <w:vAlign w:val="center"/>
          </w:tcPr>
          <w:p>
            <w:pPr>
              <w:spacing w:before="50" w:after="50"/>
              <w:jc w:val="center"/>
            </w:pPr>
            <w:r>
              <w:rPr>
                <w:rFonts w:ascii="宋体" w:hAnsi="宋体" w:eastAsia="宋体"/>
                <w:color w:val="1E293B"/>
                <w:sz w:val="16"/>
              </w:rPr>
              <w:t>+39.7%</w:t>
            </w:r>
          </w:p>
        </w:tc>
        <w:tc>
          <w:tcPr>
            <w:tcW w:type="dxa" w:w="864"/>
            <w:shd w:fill="F8FAFC"/>
            <w:vAlign w:val="center"/>
          </w:tcPr>
          <w:p>
            <w:pPr>
              <w:spacing w:before="50" w:after="50"/>
              <w:jc w:val="center"/>
            </w:pPr>
            <w:r>
              <w:rPr>
                <w:rFonts w:ascii="宋体" w:hAnsi="宋体" w:eastAsia="宋体"/>
                <w:color w:val="1E293B"/>
                <w:sz w:val="16"/>
              </w:rPr>
              <w:t>14.30%</w:t>
            </w:r>
          </w:p>
        </w:tc>
        <w:tc>
          <w:tcPr>
            <w:tcW w:type="dxa" w:w="864"/>
            <w:shd w:fill="F8FAFC"/>
            <w:vAlign w:val="center"/>
          </w:tcPr>
          <w:p>
            <w:pPr>
              <w:spacing w:before="50" w:after="50"/>
              <w:jc w:val="center"/>
            </w:pPr>
            <w:r>
              <w:rPr>
                <w:rFonts w:ascii="宋体" w:hAnsi="宋体" w:eastAsia="宋体"/>
                <w:color w:val="1E293B"/>
                <w:sz w:val="16"/>
              </w:rPr>
              <w:t>-55.80%</w:t>
            </w:r>
          </w:p>
        </w:tc>
        <w:tc>
          <w:tcPr>
            <w:tcW w:type="dxa" w:w="864"/>
            <w:shd w:fill="F8FAFC"/>
            <w:vAlign w:val="center"/>
          </w:tcPr>
          <w:p>
            <w:pPr>
              <w:spacing w:before="50" w:after="50"/>
              <w:jc w:val="center"/>
            </w:pPr>
            <w:r>
              <w:rPr>
                <w:rFonts w:ascii="宋体" w:hAnsi="宋体" w:eastAsia="宋体"/>
                <w:color w:val="1E293B"/>
                <w:sz w:val="16"/>
              </w:rPr>
              <w:t>+2.30%</w:t>
            </w:r>
          </w:p>
        </w:tc>
      </w:tr>
      <w:tr>
        <w:tc>
          <w:tcPr>
            <w:tcW w:type="dxa" w:w="1152"/>
            <w:shd w:fill="FFFFFF"/>
            <w:vAlign w:val="center"/>
          </w:tcPr>
          <w:p>
            <w:pPr>
              <w:spacing w:before="50" w:after="50"/>
              <w:jc w:val="center"/>
            </w:pPr>
            <w:r>
              <w:rPr>
                <w:rFonts w:ascii="宋体" w:hAnsi="宋体" w:eastAsia="宋体"/>
                <w:color w:val="1E293B"/>
                <w:sz w:val="16"/>
              </w:rPr>
              <w:t>巴菲特</w:t>
            </w:r>
          </w:p>
        </w:tc>
        <w:tc>
          <w:tcPr>
            <w:tcW w:type="dxa" w:w="1872"/>
            <w:shd w:fill="FFFFFF"/>
            <w:vAlign w:val="center"/>
          </w:tcPr>
          <w:p>
            <w:pPr>
              <w:spacing w:before="50" w:after="50"/>
              <w:jc w:val="left"/>
            </w:pPr>
            <w:r>
              <w:rPr>
                <w:rFonts w:ascii="宋体" w:hAnsi="宋体" w:eastAsia="宋体"/>
                <w:color w:val="1E293B"/>
                <w:sz w:val="16"/>
              </w:rPr>
              <w:t>伯克希尔·哈撒韦 (BRK.A)</w:t>
            </w:r>
          </w:p>
        </w:tc>
        <w:tc>
          <w:tcPr>
            <w:tcW w:type="dxa" w:w="1728"/>
            <w:shd w:fill="FFFFFF"/>
            <w:vAlign w:val="center"/>
          </w:tcPr>
          <w:p>
            <w:pPr>
              <w:spacing w:before="50" w:after="50"/>
              <w:jc w:val="left"/>
            </w:pPr>
            <w:r>
              <w:rPr>
                <w:rFonts w:ascii="宋体" w:hAnsi="宋体" w:eastAsia="宋体"/>
                <w:color w:val="1E293B"/>
                <w:sz w:val="16"/>
              </w:rPr>
              <w:t>价值集中·超长持有型（文献标杆）</w:t>
            </w:r>
          </w:p>
        </w:tc>
        <w:tc>
          <w:tcPr>
            <w:tcW w:type="dxa" w:w="1008"/>
            <w:shd w:fill="FFFFFF"/>
            <w:vAlign w:val="center"/>
          </w:tcPr>
          <w:p>
            <w:pPr>
              <w:spacing w:before="50" w:after="50"/>
              <w:jc w:val="left"/>
            </w:pPr>
            <w:r>
              <w:rPr>
                <w:rFonts w:ascii="宋体" w:hAnsi="宋体" w:eastAsia="宋体"/>
                <w:color w:val="1E293B"/>
                <w:sz w:val="16"/>
              </w:rPr>
              <w:t>85.5%</w:t>
            </w:r>
          </w:p>
        </w:tc>
        <w:tc>
          <w:tcPr>
            <w:tcW w:type="dxa" w:w="1008"/>
            <w:shd w:fill="FFFFFF"/>
            <w:vAlign w:val="center"/>
          </w:tcPr>
          <w:p>
            <w:pPr>
              <w:spacing w:before="50" w:after="50"/>
              <w:jc w:val="left"/>
            </w:pPr>
            <w:r>
              <w:rPr>
                <w:rFonts w:ascii="宋体" w:hAnsi="宋体" w:eastAsia="宋体"/>
                <w:color w:val="1E293B"/>
                <w:sz w:val="16"/>
              </w:rPr>
              <w:t>0.5%</w:t>
            </w:r>
          </w:p>
        </w:tc>
        <w:tc>
          <w:tcPr>
            <w:tcW w:type="dxa" w:w="864"/>
            <w:shd w:fill="FFFFFF"/>
            <w:vAlign w:val="center"/>
          </w:tcPr>
          <w:p>
            <w:pPr>
              <w:spacing w:before="50" w:after="50"/>
              <w:jc w:val="center"/>
            </w:pPr>
            <w:r>
              <w:rPr>
                <w:rFonts w:ascii="宋体" w:hAnsi="宋体" w:eastAsia="宋体"/>
                <w:color w:val="1E293B"/>
                <w:sz w:val="16"/>
              </w:rPr>
              <w:t>+85.0%</w:t>
            </w:r>
          </w:p>
        </w:tc>
        <w:tc>
          <w:tcPr>
            <w:tcW w:type="dxa" w:w="864"/>
            <w:shd w:fill="FFFFFF"/>
            <w:vAlign w:val="center"/>
          </w:tcPr>
          <w:p>
            <w:pPr>
              <w:spacing w:before="50" w:after="50"/>
              <w:jc w:val="center"/>
            </w:pPr>
            <w:r>
              <w:rPr>
                <w:rFonts w:ascii="宋体" w:hAnsi="宋体" w:eastAsia="宋体"/>
                <w:color w:val="1E293B"/>
                <w:sz w:val="16"/>
              </w:rPr>
              <w:t>19.80%</w:t>
            </w:r>
          </w:p>
        </w:tc>
        <w:tc>
          <w:tcPr>
            <w:tcW w:type="dxa" w:w="864"/>
            <w:shd w:fill="FFFFFF"/>
            <w:vAlign w:val="center"/>
          </w:tcPr>
          <w:p>
            <w:pPr>
              <w:spacing w:before="50" w:after="50"/>
              <w:jc w:val="center"/>
            </w:pPr>
            <w:r>
              <w:rPr>
                <w:rFonts w:ascii="宋体" w:hAnsi="宋体" w:eastAsia="宋体"/>
                <w:color w:val="1E293B"/>
                <w:sz w:val="16"/>
              </w:rPr>
              <w:t>-50.70%</w:t>
            </w:r>
          </w:p>
        </w:tc>
        <w:tc>
          <w:tcPr>
            <w:tcW w:type="dxa" w:w="864"/>
            <w:shd w:fill="FFFFFF"/>
            <w:vAlign w:val="center"/>
          </w:tcPr>
          <w:p>
            <w:pPr>
              <w:spacing w:before="50" w:after="50"/>
              <w:jc w:val="center"/>
            </w:pPr>
            <w:r>
              <w:rPr>
                <w:rFonts w:ascii="宋体" w:hAnsi="宋体" w:eastAsia="宋体"/>
                <w:color w:val="1E293B"/>
                <w:sz w:val="16"/>
              </w:rPr>
              <w:t>+4.50%</w:t>
            </w:r>
          </w:p>
        </w:tc>
      </w:tr>
      <w:tr>
        <w:tc>
          <w:tcPr>
            <w:tcW w:type="dxa" w:w="1152"/>
            <w:shd w:fill="F8FAFC"/>
            <w:vAlign w:val="center"/>
          </w:tcPr>
          <w:p>
            <w:pPr>
              <w:spacing w:before="50" w:after="50"/>
              <w:jc w:val="center"/>
            </w:pPr>
            <w:r>
              <w:rPr>
                <w:rFonts w:ascii="宋体" w:hAnsi="宋体" w:eastAsia="宋体"/>
                <w:color w:val="1E293B"/>
                <w:sz w:val="16"/>
              </w:rPr>
              <w:t>彼得·林奇</w:t>
            </w:r>
          </w:p>
        </w:tc>
        <w:tc>
          <w:tcPr>
            <w:tcW w:type="dxa" w:w="1872"/>
            <w:shd w:fill="F8FAFC"/>
            <w:vAlign w:val="center"/>
          </w:tcPr>
          <w:p>
            <w:pPr>
              <w:spacing w:before="50" w:after="50"/>
              <w:jc w:val="left"/>
            </w:pPr>
            <w:r>
              <w:rPr>
                <w:rFonts w:ascii="宋体" w:hAnsi="宋体" w:eastAsia="宋体"/>
                <w:color w:val="1E293B"/>
                <w:sz w:val="16"/>
              </w:rPr>
              <w:t>富达麦哲伦基金 (FMAGX)</w:t>
            </w:r>
          </w:p>
        </w:tc>
        <w:tc>
          <w:tcPr>
            <w:tcW w:type="dxa" w:w="1728"/>
            <w:shd w:fill="F8FAFC"/>
            <w:vAlign w:val="center"/>
          </w:tcPr>
          <w:p>
            <w:pPr>
              <w:spacing w:before="50" w:after="50"/>
              <w:jc w:val="left"/>
            </w:pPr>
            <w:r>
              <w:rPr>
                <w:rFonts w:ascii="宋体" w:hAnsi="宋体" w:eastAsia="宋体"/>
                <w:color w:val="1E293B"/>
                <w:sz w:val="16"/>
              </w:rPr>
              <w:t>分散灵活·多策略成长型（文献标杆）</w:t>
            </w:r>
          </w:p>
        </w:tc>
        <w:tc>
          <w:tcPr>
            <w:tcW w:type="dxa" w:w="1008"/>
            <w:shd w:fill="F8FAFC"/>
            <w:vAlign w:val="center"/>
          </w:tcPr>
          <w:p>
            <w:pPr>
              <w:spacing w:before="50" w:after="50"/>
              <w:jc w:val="left"/>
            </w:pPr>
            <w:r>
              <w:rPr>
                <w:rFonts w:ascii="宋体" w:hAnsi="宋体" w:eastAsia="宋体"/>
                <w:color w:val="1E293B"/>
                <w:sz w:val="16"/>
              </w:rPr>
              <w:t>62.7%</w:t>
            </w:r>
          </w:p>
        </w:tc>
        <w:tc>
          <w:tcPr>
            <w:tcW w:type="dxa" w:w="1008"/>
            <w:shd w:fill="F8FAFC"/>
            <w:vAlign w:val="center"/>
          </w:tcPr>
          <w:p>
            <w:pPr>
              <w:spacing w:before="50" w:after="50"/>
              <w:jc w:val="left"/>
            </w:pPr>
            <w:r>
              <w:rPr>
                <w:rFonts w:ascii="宋体" w:hAnsi="宋体" w:eastAsia="宋体"/>
                <w:color w:val="1E293B"/>
                <w:sz w:val="16"/>
              </w:rPr>
              <w:t>8.0%</w:t>
            </w:r>
          </w:p>
        </w:tc>
        <w:tc>
          <w:tcPr>
            <w:tcW w:type="dxa" w:w="864"/>
            <w:shd w:fill="F8FAFC"/>
            <w:vAlign w:val="center"/>
          </w:tcPr>
          <w:p>
            <w:pPr>
              <w:spacing w:before="50" w:after="50"/>
              <w:jc w:val="center"/>
            </w:pPr>
            <w:r>
              <w:rPr>
                <w:rFonts w:ascii="宋体" w:hAnsi="宋体" w:eastAsia="宋体"/>
                <w:color w:val="1E293B"/>
                <w:sz w:val="16"/>
              </w:rPr>
              <w:t>+54.7%</w:t>
            </w:r>
          </w:p>
        </w:tc>
        <w:tc>
          <w:tcPr>
            <w:tcW w:type="dxa" w:w="864"/>
            <w:shd w:fill="F8FAFC"/>
            <w:vAlign w:val="center"/>
          </w:tcPr>
          <w:p>
            <w:pPr>
              <w:spacing w:before="50" w:after="50"/>
              <w:jc w:val="center"/>
            </w:pPr>
            <w:r>
              <w:rPr>
                <w:rFonts w:ascii="宋体" w:hAnsi="宋体" w:eastAsia="宋体"/>
                <w:color w:val="1E293B"/>
                <w:sz w:val="16"/>
              </w:rPr>
              <w:t>29.20%</w:t>
            </w:r>
          </w:p>
        </w:tc>
        <w:tc>
          <w:tcPr>
            <w:tcW w:type="dxa" w:w="864"/>
            <w:shd w:fill="F8FAFC"/>
            <w:vAlign w:val="center"/>
          </w:tcPr>
          <w:p>
            <w:pPr>
              <w:spacing w:before="50" w:after="50"/>
              <w:jc w:val="center"/>
            </w:pPr>
            <w:r>
              <w:rPr>
                <w:rFonts w:ascii="宋体" w:hAnsi="宋体" w:eastAsia="宋体"/>
                <w:color w:val="1E293B"/>
                <w:sz w:val="16"/>
              </w:rPr>
              <w:t>-31.40%</w:t>
            </w:r>
          </w:p>
        </w:tc>
        <w:tc>
          <w:tcPr>
            <w:tcW w:type="dxa" w:w="864"/>
            <w:shd w:fill="F8FAFC"/>
            <w:vAlign w:val="center"/>
          </w:tcPr>
          <w:p>
            <w:pPr>
              <w:spacing w:before="50" w:after="50"/>
              <w:jc w:val="center"/>
            </w:pPr>
            <w:r>
              <w:rPr>
                <w:rFonts w:ascii="宋体" w:hAnsi="宋体" w:eastAsia="宋体"/>
                <w:color w:val="1E293B"/>
                <w:sz w:val="16"/>
              </w:rPr>
              <w:t>+6.80%</w:t>
            </w:r>
          </w:p>
        </w:tc>
      </w:tr>
      <w:tr>
        <w:tc>
          <w:tcPr>
            <w:tcW w:type="dxa" w:w="1152"/>
            <w:shd w:fill="FFFFFF"/>
            <w:vAlign w:val="center"/>
          </w:tcPr>
          <w:p>
            <w:pPr>
              <w:spacing w:before="50" w:after="50"/>
              <w:jc w:val="center"/>
            </w:pPr>
            <w:r>
              <w:rPr>
                <w:rFonts w:ascii="宋体" w:hAnsi="宋体" w:eastAsia="宋体"/>
                <w:color w:val="1E293B"/>
                <w:sz w:val="16"/>
              </w:rPr>
              <w:t>段永平</w:t>
            </w:r>
          </w:p>
        </w:tc>
        <w:tc>
          <w:tcPr>
            <w:tcW w:type="dxa" w:w="1872"/>
            <w:shd w:fill="FFFFFF"/>
            <w:vAlign w:val="center"/>
          </w:tcPr>
          <w:p>
            <w:pPr>
              <w:spacing w:before="50" w:after="50"/>
              <w:jc w:val="left"/>
            </w:pPr>
            <w:r>
              <w:rPr>
                <w:rFonts w:ascii="宋体" w:hAnsi="宋体" w:eastAsia="宋体"/>
                <w:color w:val="1E293B"/>
                <w:sz w:val="16"/>
              </w:rPr>
              <w:t>大道核心资产组合 (H&amp;H) (HH_INTL)</w:t>
            </w:r>
          </w:p>
        </w:tc>
        <w:tc>
          <w:tcPr>
            <w:tcW w:type="dxa" w:w="1728"/>
            <w:shd w:fill="FFFFFF"/>
            <w:vAlign w:val="center"/>
          </w:tcPr>
          <w:p>
            <w:pPr>
              <w:spacing w:before="50" w:after="50"/>
              <w:jc w:val="left"/>
            </w:pPr>
            <w:r>
              <w:rPr>
                <w:rFonts w:ascii="宋体" w:hAnsi="宋体" w:eastAsia="宋体"/>
                <w:color w:val="1E293B"/>
                <w:sz w:val="16"/>
              </w:rPr>
              <w:t>商业洞察 · 终极集中型（商业领袖价值典范）</w:t>
            </w:r>
          </w:p>
        </w:tc>
        <w:tc>
          <w:tcPr>
            <w:tcW w:type="dxa" w:w="1008"/>
            <w:shd w:fill="FFFFFF"/>
            <w:vAlign w:val="center"/>
          </w:tcPr>
          <w:p>
            <w:pPr>
              <w:spacing w:before="50" w:after="50"/>
              <w:jc w:val="left"/>
            </w:pPr>
            <w:r>
              <w:rPr>
                <w:rFonts w:ascii="宋体" w:hAnsi="宋体" w:eastAsia="宋体"/>
                <w:color w:val="1E293B"/>
                <w:sz w:val="16"/>
              </w:rPr>
              <w:t>96.4%</w:t>
            </w:r>
          </w:p>
        </w:tc>
        <w:tc>
          <w:tcPr>
            <w:tcW w:type="dxa" w:w="1008"/>
            <w:shd w:fill="FFFFFF"/>
            <w:vAlign w:val="center"/>
          </w:tcPr>
          <w:p>
            <w:pPr>
              <w:spacing w:before="50" w:after="50"/>
              <w:jc w:val="left"/>
            </w:pPr>
            <w:r>
              <w:rPr>
                <w:rFonts w:ascii="宋体" w:hAnsi="宋体" w:eastAsia="宋体"/>
                <w:color w:val="1E293B"/>
                <w:sz w:val="16"/>
              </w:rPr>
              <w:t>18.2%</w:t>
            </w:r>
          </w:p>
        </w:tc>
        <w:tc>
          <w:tcPr>
            <w:tcW w:type="dxa" w:w="864"/>
            <w:shd w:fill="FFFFFF"/>
            <w:vAlign w:val="center"/>
          </w:tcPr>
          <w:p>
            <w:pPr>
              <w:spacing w:before="50" w:after="50"/>
              <w:jc w:val="center"/>
            </w:pPr>
            <w:r>
              <w:rPr>
                <w:rFonts w:ascii="宋体" w:hAnsi="宋体" w:eastAsia="宋体"/>
                <w:color w:val="1E293B"/>
                <w:sz w:val="16"/>
              </w:rPr>
              <w:t>+78.2%</w:t>
            </w:r>
          </w:p>
        </w:tc>
        <w:tc>
          <w:tcPr>
            <w:tcW w:type="dxa" w:w="864"/>
            <w:shd w:fill="FFFFFF"/>
            <w:vAlign w:val="center"/>
          </w:tcPr>
          <w:p>
            <w:pPr>
              <w:spacing w:before="50" w:after="50"/>
              <w:jc w:val="center"/>
            </w:pPr>
            <w:r>
              <w:rPr>
                <w:rFonts w:ascii="宋体" w:hAnsi="宋体" w:eastAsia="宋体"/>
                <w:color w:val="1E293B"/>
                <w:sz w:val="16"/>
              </w:rPr>
              <w:t>22.80%</w:t>
            </w:r>
          </w:p>
        </w:tc>
        <w:tc>
          <w:tcPr>
            <w:tcW w:type="dxa" w:w="864"/>
            <w:shd w:fill="FFFFFF"/>
            <w:vAlign w:val="center"/>
          </w:tcPr>
          <w:p>
            <w:pPr>
              <w:spacing w:before="50" w:after="50"/>
              <w:jc w:val="center"/>
            </w:pPr>
            <w:r>
              <w:rPr>
                <w:rFonts w:ascii="宋体" w:hAnsi="宋体" w:eastAsia="宋体"/>
                <w:color w:val="1E293B"/>
                <w:sz w:val="16"/>
              </w:rPr>
              <w:t>-46.80%</w:t>
            </w:r>
          </w:p>
        </w:tc>
        <w:tc>
          <w:tcPr>
            <w:tcW w:type="dxa" w:w="864"/>
            <w:shd w:fill="FFFFFF"/>
            <w:vAlign w:val="center"/>
          </w:tcPr>
          <w:p>
            <w:pPr>
              <w:spacing w:before="50" w:after="50"/>
              <w:jc w:val="center"/>
            </w:pPr>
            <w:r>
              <w:rPr>
                <w:rFonts w:ascii="宋体" w:hAnsi="宋体" w:eastAsia="宋体"/>
                <w:color w:val="1E293B"/>
                <w:sz w:val="16"/>
              </w:rPr>
              <w:t>+5.20%</w:t>
            </w:r>
          </w:p>
        </w:tc>
      </w:tr>
    </w:tbl>
    <w:p>
      <w:pPr>
        <w:spacing w:after="120"/>
      </w:pPr>
    </w:p>
    <w:p>
      <w:pPr>
        <w:spacing w:before="200" w:after="80"/>
      </w:pPr>
      <w:r>
        <w:rPr>
          <w:rFonts w:ascii="黑体" w:hAnsi="黑体" w:eastAsia="黑体"/>
          <w:b/>
          <w:color w:val="1E40AF"/>
          <w:sz w:val="24"/>
        </w:rPr>
        <w:t>图 1：顶流公募基金经理六维雷达对比矩阵</w:t>
      </w:r>
    </w:p>
    <w:p>
      <w:pPr>
        <w:spacing w:before="160" w:after="40"/>
        <w:jc w:val="center"/>
      </w:pPr>
      <w:r>
        <w:drawing>
          <wp:inline xmlns:a="http://schemas.openxmlformats.org/drawingml/2006/main" xmlns:pic="http://schemas.openxmlformats.org/drawingml/2006/picture">
            <wp:extent cx="5852160" cy="4196768"/>
            <wp:docPr id="1" name="Picture 1"/>
            <wp:cNvGraphicFramePr>
              <a:graphicFrameLocks noChangeAspect="1"/>
            </wp:cNvGraphicFramePr>
            <a:graphic>
              <a:graphicData uri="http://schemas.openxmlformats.org/drawingml/2006/picture">
                <pic:pic>
                  <pic:nvPicPr>
                    <pic:cNvPr id="0" name="画像合辑_典型经理六维雷达对比矩阵.png"/>
                    <pic:cNvPicPr/>
                  </pic:nvPicPr>
                  <pic:blipFill>
                    <a:blip r:embed="rId9"/>
                    <a:stretch>
                      <a:fillRect/>
                    </a:stretch>
                  </pic:blipFill>
                  <pic:spPr>
                    <a:xfrm>
                      <a:off x="0" y="0"/>
                      <a:ext cx="5852160" cy="4196768"/>
                    </a:xfrm>
                    <a:prstGeom prst="rect"/>
                  </pic:spPr>
                </pic:pic>
              </a:graphicData>
            </a:graphic>
          </wp:inline>
        </w:drawing>
      </w:r>
    </w:p>
    <w:p>
      <w:pPr>
        <w:spacing w:after="160"/>
        <w:jc w:val="center"/>
      </w:pPr>
      <w:r>
        <w:rPr>
          <w:rFonts w:ascii="楷体" w:hAnsi="楷体" w:eastAsia="楷体"/>
          <w:color w:val="64748B"/>
          <w:sz w:val="18"/>
        </w:rPr>
        <w:t>图 1  顶流基金经理最新六维能力雷达对比矩阵（统一基准分位数刻度）</w:t>
      </w:r>
    </w:p>
    <w:p>
      <w:pPr>
        <w:spacing w:before="200" w:after="80"/>
      </w:pPr>
      <w:r>
        <w:rPr>
          <w:rFonts w:ascii="黑体" w:hAnsi="黑体" w:eastAsia="黑体"/>
          <w:b/>
          <w:color w:val="1E40AF"/>
          <w:sz w:val="24"/>
        </w:rPr>
        <w:t>图 2：经理行为多维透视与分型图（全景热力图与平行坐标行为线）</w:t>
      </w:r>
    </w:p>
    <w:p>
      <w:pPr>
        <w:spacing w:before="160" w:after="40"/>
        <w:jc w:val="center"/>
      </w:pPr>
      <w:r>
        <w:drawing>
          <wp:inline xmlns:a="http://schemas.openxmlformats.org/drawingml/2006/main" xmlns:pic="http://schemas.openxmlformats.org/drawingml/2006/picture">
            <wp:extent cx="5852160" cy="2314818"/>
            <wp:docPr id="2" name="Picture 2"/>
            <wp:cNvGraphicFramePr>
              <a:graphicFrameLocks noChangeAspect="1"/>
            </wp:cNvGraphicFramePr>
            <a:graphic>
              <a:graphicData uri="http://schemas.openxmlformats.org/drawingml/2006/picture">
                <pic:pic>
                  <pic:nvPicPr>
                    <pic:cNvPr id="0" name="画像合辑_经理行为多维透视与分型图.png"/>
                    <pic:cNvPicPr/>
                  </pic:nvPicPr>
                  <pic:blipFill>
                    <a:blip r:embed="rId10"/>
                    <a:stretch>
                      <a:fillRect/>
                    </a:stretch>
                  </pic:blipFill>
                  <pic:spPr>
                    <a:xfrm>
                      <a:off x="0" y="0"/>
                      <a:ext cx="5852160" cy="2314818"/>
                    </a:xfrm>
                    <a:prstGeom prst="rect"/>
                  </pic:spPr>
                </pic:pic>
              </a:graphicData>
            </a:graphic>
          </wp:inline>
        </w:drawing>
      </w:r>
    </w:p>
    <w:p>
      <w:pPr>
        <w:spacing w:after="160"/>
        <w:jc w:val="center"/>
      </w:pPr>
      <w:r>
        <w:rPr>
          <w:rFonts w:ascii="楷体" w:hAnsi="楷体" w:eastAsia="楷体"/>
          <w:color w:val="64748B"/>
          <w:sz w:val="18"/>
        </w:rPr>
        <w:t>图 2  行为特征多维透视：全景行为热力图（左）与平行坐标分型线（右）</w:t>
      </w:r>
    </w:p>
    <w:p>
      <w:pPr>
        <w:spacing w:before="280" w:after="120"/>
      </w:pPr>
      <w:r>
        <w:rPr>
          <w:rFonts w:ascii="黑体" w:hAnsi="黑体" w:eastAsia="黑体"/>
          <w:b/>
          <w:color w:val="0F172A"/>
          <w:sz w:val="28"/>
        </w:rPr>
        <w:t>三、公募顶流基金经理与海外大师独立画像剖析</w:t>
      </w:r>
    </w:p>
    <w:p>
      <w:pPr>
        <w:spacing w:before="200" w:after="80"/>
      </w:pPr>
      <w:r>
        <w:rPr>
          <w:rFonts w:ascii="黑体" w:hAnsi="黑体" w:eastAsia="黑体"/>
          <w:b/>
          <w:color w:val="1E40AF"/>
          <w:sz w:val="24"/>
        </w:rPr>
        <w:t>3.1 张坤 · 易方达蓝筹精选 (005827)</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行为风格标签：深度价值 · 蓝筹集中型</w:t>
      </w:r>
    </w:p>
    <w:p>
      <w:pPr>
        <w:spacing w:before="160" w:after="40"/>
        <w:jc w:val="center"/>
      </w:pPr>
      <w:r>
        <w:drawing>
          <wp:inline xmlns:a="http://schemas.openxmlformats.org/drawingml/2006/main" xmlns:pic="http://schemas.openxmlformats.org/drawingml/2006/picture">
            <wp:extent cx="5303520" cy="2651760"/>
            <wp:docPr id="3" name="Picture 3"/>
            <wp:cNvGraphicFramePr>
              <a:graphicFrameLocks noChangeAspect="1"/>
            </wp:cNvGraphicFramePr>
            <a:graphic>
              <a:graphicData uri="http://schemas.openxmlformats.org/drawingml/2006/picture">
                <pic:pic>
                  <pic:nvPicPr>
                    <pic:cNvPr id="0" name="画像图_01_张坤_易方达蓝筹精选.png"/>
                    <pic:cNvPicPr/>
                  </pic:nvPicPr>
                  <pic:blipFill>
                    <a:blip r:embed="rId11"/>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3.1  张坤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张坤配置能力达 91.4% 分位，ICI 集中度 0.582（全市场 75 分位数仅 0.301）。在白酒、互联网与高端消费龙头上的超高信念度重仓，为其带来 64.4% 的风险转化效率分位与 +2.15% 的超额 Alpha。但因管理资金达数百亿，L1 背景条件物理约束受严厉惩罚（3.9% 分位），导致规模压制差达 +26.1%。</w:t>
      </w:r>
    </w:p>
    <w:p>
      <w:pPr>
        <w:spacing w:before="200" w:after="80"/>
      </w:pPr>
      <w:r>
        <w:rPr>
          <w:rFonts w:ascii="黑体" w:hAnsi="黑体" w:eastAsia="黑体"/>
          <w:b/>
          <w:color w:val="1E40AF"/>
          <w:sz w:val="24"/>
        </w:rPr>
        <w:t>3.2 朱少醒 · 富国天惠成长混合A (161005)</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行为风格标签：长期均衡 · 自下而上选股型</w:t>
      </w:r>
    </w:p>
    <w:p>
      <w:pPr>
        <w:spacing w:before="160" w:after="40"/>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画像图_02_朱少醒_富国天惠成长.png"/>
                    <pic:cNvPicPr/>
                  </pic:nvPicPr>
                  <pic:blipFill>
                    <a:blip r:embed="rId12"/>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3.2  朱少醒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朱少醒是 A 股唯一的‘单只产品掌舵超 20 年’常青树。纯行为五维分位达 52.5%，在风险转化效率（68.2%）、操作质量（63.3%）与配置能力（61.9%）三大支柱上全面处于市场前列。其 20 年年化回报高达 15.60%，超额 Alpha 达 +2.85%。因超长任期在 L1 背景条件层受扣分，规模压制差达 +49.7%，是典型的‘行为极其优秀、规模施加制度性压制’的优质底仓代表。</w:t>
      </w:r>
    </w:p>
    <w:p>
      <w:pPr>
        <w:spacing w:before="200" w:after="80"/>
      </w:pPr>
      <w:r>
        <w:rPr>
          <w:rFonts w:ascii="黑体" w:hAnsi="黑体" w:eastAsia="黑体"/>
          <w:b/>
          <w:color w:val="1E40AF"/>
          <w:sz w:val="24"/>
        </w:rPr>
        <w:t>3.3 葛兰 · 中欧医疗健康混合A (003095)</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行为风格标签：赛道深耕 · 高信念高波动型</w:t>
      </w:r>
    </w:p>
    <w:p>
      <w:pPr>
        <w:spacing w:before="160" w:after="40"/>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画像图_03_葛兰_中欧医疗健康.png"/>
                    <pic:cNvPicPr/>
                  </pic:nvPicPr>
                  <pic:blipFill>
                    <a:blip r:embed="rId13"/>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3.3  葛兰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葛兰呈现极致的配置能力突刺（96.7% 分位，ICI = 0.625），在医药产业链深度重仓。在顺周期创造惊人收益，但面对 2021 年后医药估值深度调整，其处置效应（de = -0.198）表现出较强持仓粘性，认知质量分位仅 9.7%，最大回撤达 -58.85%。</w:t>
      </w:r>
    </w:p>
    <w:p>
      <w:pPr>
        <w:spacing w:before="200" w:after="80"/>
      </w:pPr>
      <w:r>
        <w:rPr>
          <w:rFonts w:ascii="黑体" w:hAnsi="黑体" w:eastAsia="黑体"/>
          <w:b/>
          <w:color w:val="1E40AF"/>
          <w:sz w:val="24"/>
        </w:rPr>
        <w:t>3.4 蔡嵩松 · 诺安成长混合 (320007)</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行为风格标签：极致集中 · 科技成长轮动型</w:t>
      </w:r>
    </w:p>
    <w:p>
      <w:pPr>
        <w:spacing w:before="160" w:after="40"/>
        <w:jc w:val="center"/>
      </w:pPr>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画像图_04_蔡嵩松_诺安成长.png"/>
                    <pic:cNvPicPr/>
                  </pic:nvPicPr>
                  <pic:blipFill>
                    <a:blip r:embed="rId14"/>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3.4  蔡嵩松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配置能力达 98.3% 的全市场极端突起（半导体单一赛道占比常年接近 80%），年化波动率 36.80%。但在操作防守与认知质量层处于后 15%，是典型的高锐度工具化进攻贝塔锐器。</w:t>
      </w:r>
    </w:p>
    <w:p>
      <w:pPr>
        <w:spacing w:before="200" w:after="80"/>
      </w:pPr>
      <w:r>
        <w:rPr>
          <w:rFonts w:ascii="黑体" w:hAnsi="黑体" w:eastAsia="黑体"/>
          <w:b/>
          <w:color w:val="1E40AF"/>
          <w:sz w:val="24"/>
        </w:rPr>
        <w:t>3.5 谢治宇 · 兴全合润混合A (163406)</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行为风格标签：均衡配置 · GARP性价比型</w:t>
      </w:r>
    </w:p>
    <w:p>
      <w:pPr>
        <w:spacing w:before="160" w:after="40"/>
        <w:jc w:val="center"/>
      </w:pPr>
      <w:r>
        <w:drawing>
          <wp:inline xmlns:a="http://schemas.openxmlformats.org/drawingml/2006/main" xmlns:pic="http://schemas.openxmlformats.org/drawingml/2006/picture">
            <wp:extent cx="5303520" cy="2651760"/>
            <wp:docPr id="7" name="Picture 7"/>
            <wp:cNvGraphicFramePr>
              <a:graphicFrameLocks noChangeAspect="1"/>
            </wp:cNvGraphicFramePr>
            <a:graphic>
              <a:graphicData uri="http://schemas.openxmlformats.org/drawingml/2006/picture">
                <pic:pic>
                  <pic:nvPicPr>
                    <pic:cNvPr id="0" name="画像图_05_谢治宇_兴全合润.png"/>
                    <pic:cNvPicPr/>
                  </pic:nvPicPr>
                  <pic:blipFill>
                    <a:blip r:embed="rId15"/>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3.5  谢治宇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谢治宇年化收益率达 19.22%，超额 Alpha 达 +3.12%，最大回撤仅 -38.60%，在顶流经理中下行保护极佳。其配置注重性价比与均衡，不押注单一赛道。</w:t>
      </w:r>
    </w:p>
    <w:p>
      <w:pPr>
        <w:spacing w:before="200" w:after="80"/>
      </w:pPr>
      <w:r>
        <w:rPr>
          <w:rFonts w:ascii="黑体" w:hAnsi="黑体" w:eastAsia="黑体"/>
          <w:b/>
          <w:color w:val="1E40AF"/>
          <w:sz w:val="24"/>
        </w:rPr>
        <w:t>3.6 刘彦春 · 景顺长城新兴成长混合 (260108)</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行为风格标签：消费龙头 · 高集中逆向重仓型</w:t>
      </w:r>
    </w:p>
    <w:p>
      <w:pPr>
        <w:spacing w:before="160" w:after="40"/>
        <w:jc w:val="center"/>
      </w:pPr>
      <w:r>
        <w:drawing>
          <wp:inline xmlns:a="http://schemas.openxmlformats.org/drawingml/2006/main" xmlns:pic="http://schemas.openxmlformats.org/drawingml/2006/picture">
            <wp:extent cx="5303520" cy="2651760"/>
            <wp:docPr id="8" name="Picture 8"/>
            <wp:cNvGraphicFramePr>
              <a:graphicFrameLocks noChangeAspect="1"/>
            </wp:cNvGraphicFramePr>
            <a:graphic>
              <a:graphicData uri="http://schemas.openxmlformats.org/drawingml/2006/picture">
                <pic:pic>
                  <pic:nvPicPr>
                    <pic:cNvPr id="0" name="画像图_06_刘彦春_景顺长城新兴成长.png"/>
                    <pic:cNvPicPr/>
                  </pic:nvPicPr>
                  <pic:blipFill>
                    <a:blip r:embed="rId16"/>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3.6  刘彦春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自下而上重仓消费龙头，配置能力达 95.0% 分位。纯行为五维分位达 68.8%，长期年化回报达 14.30%，在 2017-2020 年创造了巨大的超额复利。</w:t>
      </w:r>
    </w:p>
    <w:p>
      <w:pPr>
        <w:spacing w:before="200" w:after="80"/>
      </w:pPr>
      <w:r>
        <w:rPr>
          <w:rFonts w:ascii="黑体" w:hAnsi="黑体" w:eastAsia="黑体"/>
          <w:b/>
          <w:color w:val="1E40AF"/>
          <w:sz w:val="24"/>
        </w:rPr>
        <w:t>3.7 巴菲特 · 伯克希尔·哈撒韦 (BRK.A)</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行为风格标签：价值集中 · 超长持有（文献标杆）</w:t>
      </w:r>
    </w:p>
    <w:p>
      <w:pPr>
        <w:spacing w:before="160" w:after="40"/>
        <w:jc w:val="center"/>
      </w:pPr>
      <w:r>
        <w:drawing>
          <wp:inline xmlns:a="http://schemas.openxmlformats.org/drawingml/2006/main" xmlns:pic="http://schemas.openxmlformats.org/drawingml/2006/picture">
            <wp:extent cx="5303520" cy="2651760"/>
            <wp:docPr id="9" name="Picture 9"/>
            <wp:cNvGraphicFramePr>
              <a:graphicFrameLocks noChangeAspect="1"/>
            </wp:cNvGraphicFramePr>
            <a:graphic>
              <a:graphicData uri="http://schemas.openxmlformats.org/drawingml/2006/picture">
                <pic:pic>
                  <pic:nvPicPr>
                    <pic:cNvPr id="0" name="画像图_07_巴菲特_伯克希尔·哈撒韦.png"/>
                    <pic:cNvPicPr/>
                  </pic:nvPicPr>
                  <pic:blipFill>
                    <a:blip r:embed="rId17"/>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3.7  巴菲特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全球价值投资学术标杆。认知质量 95.6%（近无过度自信与处置效应偏差）、配置能力 97.5%、风险转化效率 93.6%，纯行为五维分位达 85.5%，全历史年化回报高达 19.90%（复合增长 55,023 倍 vs 标普 391 倍）。其执掌 60 年全套底层数据（日频交易、季度收益时序、60年年度业绩对照表、13F核心持仓明细）已全部归档入库。</w:t>
      </w:r>
    </w:p>
    <w:p>
      <w:pPr>
        <w:spacing w:after="80" w:line="300" w:lineRule="auto"/>
      </w:pPr>
      <w:r>
        <w:rPr>
          <w:rFonts w:ascii="宋体" w:hAnsi="宋体" w:eastAsia="宋体"/>
          <w:b/>
          <w:color w:val="0F172A"/>
          <w:sz w:val="21"/>
        </w:rPr>
        <w:t>【巴菲特核心数据资产与持仓透视】</w:t>
      </w:r>
      <w:r>
        <w:rPr>
          <w:rFonts w:ascii="宋体" w:hAnsi="宋体" w:eastAsia="宋体"/>
          <w:color w:val="334155"/>
          <w:sz w:val="21"/>
        </w:rPr>
        <w:t>以下列示伯克希尔 13F 前五大重仓股（占投资组合超 70%）与核心投资逻辑：</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1E3A8A"/>
            <w:vAlign w:val="center"/>
          </w:tcPr>
          <w:p>
            <w:pPr>
              <w:spacing w:before="60" w:after="60"/>
              <w:jc w:val="center"/>
            </w:pPr>
            <w:r>
              <w:rPr>
                <w:rFonts w:ascii="黑体" w:hAnsi="黑体" w:eastAsia="黑体"/>
                <w:b/>
                <w:color w:val="FFFFFF"/>
                <w:sz w:val="17"/>
              </w:rPr>
              <w:t>公司名称</w:t>
            </w:r>
          </w:p>
        </w:tc>
        <w:tc>
          <w:tcPr>
            <w:tcW w:type="dxa" w:w="1008"/>
            <w:shd w:fill="1E3A8A"/>
            <w:vAlign w:val="center"/>
          </w:tcPr>
          <w:p>
            <w:pPr>
              <w:spacing w:before="60" w:after="60"/>
              <w:jc w:val="center"/>
            </w:pPr>
            <w:r>
              <w:rPr>
                <w:rFonts w:ascii="黑体" w:hAnsi="黑体" w:eastAsia="黑体"/>
                <w:b/>
                <w:color w:val="FFFFFF"/>
                <w:sz w:val="17"/>
              </w:rPr>
              <w:t>股票代码</w:t>
            </w:r>
          </w:p>
        </w:tc>
        <w:tc>
          <w:tcPr>
            <w:tcW w:type="dxa" w:w="1152"/>
            <w:shd w:fill="1E3A8A"/>
            <w:vAlign w:val="center"/>
          </w:tcPr>
          <w:p>
            <w:pPr>
              <w:spacing w:before="60" w:after="60"/>
              <w:jc w:val="center"/>
            </w:pPr>
            <w:r>
              <w:rPr>
                <w:rFonts w:ascii="黑体" w:hAnsi="黑体" w:eastAsia="黑体"/>
                <w:b/>
                <w:color w:val="FFFFFF"/>
                <w:sz w:val="17"/>
              </w:rPr>
              <w:t>持股权重(%)</w:t>
            </w:r>
          </w:p>
        </w:tc>
        <w:tc>
          <w:tcPr>
            <w:tcW w:type="dxa" w:w="1008"/>
            <w:shd w:fill="1E3A8A"/>
            <w:vAlign w:val="center"/>
          </w:tcPr>
          <w:p>
            <w:pPr>
              <w:spacing w:before="60" w:after="60"/>
              <w:jc w:val="center"/>
            </w:pPr>
            <w:r>
              <w:rPr>
                <w:rFonts w:ascii="黑体" w:hAnsi="黑体" w:eastAsia="黑体"/>
                <w:b/>
                <w:color w:val="FFFFFF"/>
                <w:sz w:val="17"/>
              </w:rPr>
              <w:t>持有年限(年)</w:t>
            </w:r>
          </w:p>
        </w:tc>
        <w:tc>
          <w:tcPr>
            <w:tcW w:type="dxa" w:w="4032"/>
            <w:shd w:fill="1E3A8A"/>
            <w:vAlign w:val="center"/>
          </w:tcPr>
          <w:p>
            <w:pPr>
              <w:spacing w:before="60" w:after="60"/>
              <w:jc w:val="center"/>
            </w:pPr>
            <w:r>
              <w:rPr>
                <w:rFonts w:ascii="黑体" w:hAnsi="黑体" w:eastAsia="黑体"/>
                <w:b/>
                <w:color w:val="FFFFFF"/>
                <w:sz w:val="17"/>
              </w:rPr>
              <w:t>投资逻辑与行为特征</w:t>
            </w:r>
          </w:p>
        </w:tc>
      </w:tr>
      <w:tr>
        <w:tc>
          <w:tcPr>
            <w:tcW w:type="dxa" w:w="2160"/>
            <w:shd w:fill="FFFFFF"/>
            <w:vAlign w:val="center"/>
          </w:tcPr>
          <w:p>
            <w:pPr>
              <w:spacing w:before="50" w:after="50"/>
              <w:jc w:val="center"/>
            </w:pPr>
            <w:r>
              <w:rPr>
                <w:rFonts w:ascii="宋体" w:hAnsi="宋体" w:eastAsia="宋体"/>
                <w:color w:val="1E293B"/>
                <w:sz w:val="16"/>
              </w:rPr>
              <w:t>苹果公司 (Apple Inc.)</w:t>
            </w:r>
          </w:p>
        </w:tc>
        <w:tc>
          <w:tcPr>
            <w:tcW w:type="dxa" w:w="1008"/>
            <w:shd w:fill="FFFFFF"/>
            <w:vAlign w:val="center"/>
          </w:tcPr>
          <w:p>
            <w:pPr>
              <w:spacing w:before="50" w:after="50"/>
              <w:jc w:val="left"/>
            </w:pPr>
            <w:r>
              <w:rPr>
                <w:rFonts w:ascii="宋体" w:hAnsi="宋体" w:eastAsia="宋体"/>
                <w:color w:val="1E293B"/>
                <w:sz w:val="16"/>
              </w:rPr>
              <w:t>AAPL</w:t>
            </w:r>
          </w:p>
        </w:tc>
        <w:tc>
          <w:tcPr>
            <w:tcW w:type="dxa" w:w="1152"/>
            <w:shd w:fill="FFFFFF"/>
            <w:vAlign w:val="center"/>
          </w:tcPr>
          <w:p>
            <w:pPr>
              <w:spacing w:before="50" w:after="50"/>
              <w:jc w:val="center"/>
            </w:pPr>
            <w:r>
              <w:rPr>
                <w:rFonts w:ascii="宋体" w:hAnsi="宋体" w:eastAsia="宋体"/>
                <w:color w:val="1E293B"/>
                <w:sz w:val="16"/>
              </w:rPr>
              <w:t>28.50%</w:t>
            </w:r>
          </w:p>
        </w:tc>
        <w:tc>
          <w:tcPr>
            <w:tcW w:type="dxa" w:w="1008"/>
            <w:shd w:fill="FFFFFF"/>
            <w:vAlign w:val="center"/>
          </w:tcPr>
          <w:p>
            <w:pPr>
              <w:spacing w:before="50" w:after="50"/>
              <w:jc w:val="center"/>
            </w:pPr>
            <w:r>
              <w:rPr>
                <w:rFonts w:ascii="宋体" w:hAnsi="宋体" w:eastAsia="宋体"/>
                <w:color w:val="1E293B"/>
                <w:sz w:val="16"/>
              </w:rPr>
              <w:t>9</w:t>
            </w:r>
          </w:p>
        </w:tc>
        <w:tc>
          <w:tcPr>
            <w:tcW w:type="dxa" w:w="4032"/>
            <w:shd w:fill="FFFFFF"/>
            <w:vAlign w:val="center"/>
          </w:tcPr>
          <w:p>
            <w:pPr>
              <w:spacing w:before="50" w:after="50"/>
              <w:jc w:val="left"/>
            </w:pPr>
            <w:r>
              <w:rPr>
                <w:rFonts w:ascii="宋体" w:hAnsi="宋体" w:eastAsia="宋体"/>
                <w:color w:val="1E293B"/>
                <w:sz w:val="16"/>
              </w:rPr>
              <w:t>护城河极宽、强品牌忠诚度、极高自由现金流与巨额股票回购</w:t>
            </w:r>
          </w:p>
        </w:tc>
      </w:tr>
      <w:tr>
        <w:tc>
          <w:tcPr>
            <w:tcW w:type="dxa" w:w="2160"/>
            <w:shd w:fill="F8FAFC"/>
            <w:vAlign w:val="center"/>
          </w:tcPr>
          <w:p>
            <w:pPr>
              <w:spacing w:before="50" w:after="50"/>
              <w:jc w:val="center"/>
            </w:pPr>
            <w:r>
              <w:rPr>
                <w:rFonts w:ascii="宋体" w:hAnsi="宋体" w:eastAsia="宋体"/>
                <w:color w:val="1E293B"/>
                <w:sz w:val="16"/>
              </w:rPr>
              <w:t>美国运通 (American Express)</w:t>
            </w:r>
          </w:p>
        </w:tc>
        <w:tc>
          <w:tcPr>
            <w:tcW w:type="dxa" w:w="1008"/>
            <w:shd w:fill="F8FAFC"/>
            <w:vAlign w:val="center"/>
          </w:tcPr>
          <w:p>
            <w:pPr>
              <w:spacing w:before="50" w:after="50"/>
              <w:jc w:val="left"/>
            </w:pPr>
            <w:r>
              <w:rPr>
                <w:rFonts w:ascii="宋体" w:hAnsi="宋体" w:eastAsia="宋体"/>
                <w:color w:val="1E293B"/>
                <w:sz w:val="16"/>
              </w:rPr>
              <w:t>AXP</w:t>
            </w:r>
          </w:p>
        </w:tc>
        <w:tc>
          <w:tcPr>
            <w:tcW w:type="dxa" w:w="1152"/>
            <w:shd w:fill="F8FAFC"/>
            <w:vAlign w:val="center"/>
          </w:tcPr>
          <w:p>
            <w:pPr>
              <w:spacing w:before="50" w:after="50"/>
              <w:jc w:val="center"/>
            </w:pPr>
            <w:r>
              <w:rPr>
                <w:rFonts w:ascii="宋体" w:hAnsi="宋体" w:eastAsia="宋体"/>
                <w:color w:val="1E293B"/>
                <w:sz w:val="16"/>
              </w:rPr>
              <w:t>14.80%</w:t>
            </w:r>
          </w:p>
        </w:tc>
        <w:tc>
          <w:tcPr>
            <w:tcW w:type="dxa" w:w="1008"/>
            <w:shd w:fill="F8FAFC"/>
            <w:vAlign w:val="center"/>
          </w:tcPr>
          <w:p>
            <w:pPr>
              <w:spacing w:before="50" w:after="50"/>
              <w:jc w:val="center"/>
            </w:pPr>
            <w:r>
              <w:rPr>
                <w:rFonts w:ascii="宋体" w:hAnsi="宋体" w:eastAsia="宋体"/>
                <w:color w:val="1E293B"/>
                <w:sz w:val="16"/>
              </w:rPr>
              <w:t>32</w:t>
            </w:r>
          </w:p>
        </w:tc>
        <w:tc>
          <w:tcPr>
            <w:tcW w:type="dxa" w:w="4032"/>
            <w:shd w:fill="F8FAFC"/>
            <w:vAlign w:val="center"/>
          </w:tcPr>
          <w:p>
            <w:pPr>
              <w:spacing w:before="50" w:after="50"/>
              <w:jc w:val="left"/>
            </w:pPr>
            <w:r>
              <w:rPr>
                <w:rFonts w:ascii="宋体" w:hAnsi="宋体" w:eastAsia="宋体"/>
                <w:color w:val="1E293B"/>
                <w:sz w:val="16"/>
              </w:rPr>
              <w:t>超长持有、封闭网络高端客群、逆向危机入局（沙拉油丑闻/90年代转型）</w:t>
            </w:r>
          </w:p>
        </w:tc>
      </w:tr>
      <w:tr>
        <w:tc>
          <w:tcPr>
            <w:tcW w:type="dxa" w:w="2160"/>
            <w:shd w:fill="FFFFFF"/>
            <w:vAlign w:val="center"/>
          </w:tcPr>
          <w:p>
            <w:pPr>
              <w:spacing w:before="50" w:after="50"/>
              <w:jc w:val="center"/>
            </w:pPr>
            <w:r>
              <w:rPr>
                <w:rFonts w:ascii="宋体" w:hAnsi="宋体" w:eastAsia="宋体"/>
                <w:color w:val="1E293B"/>
                <w:sz w:val="16"/>
              </w:rPr>
              <w:t>美国银行 (Bank of America)</w:t>
            </w:r>
          </w:p>
        </w:tc>
        <w:tc>
          <w:tcPr>
            <w:tcW w:type="dxa" w:w="1008"/>
            <w:shd w:fill="FFFFFF"/>
            <w:vAlign w:val="center"/>
          </w:tcPr>
          <w:p>
            <w:pPr>
              <w:spacing w:before="50" w:after="50"/>
              <w:jc w:val="left"/>
            </w:pPr>
            <w:r>
              <w:rPr>
                <w:rFonts w:ascii="宋体" w:hAnsi="宋体" w:eastAsia="宋体"/>
                <w:color w:val="1E293B"/>
                <w:sz w:val="16"/>
              </w:rPr>
              <w:t>BAC</w:t>
            </w:r>
          </w:p>
        </w:tc>
        <w:tc>
          <w:tcPr>
            <w:tcW w:type="dxa" w:w="1152"/>
            <w:shd w:fill="FFFFFF"/>
            <w:vAlign w:val="center"/>
          </w:tcPr>
          <w:p>
            <w:pPr>
              <w:spacing w:before="50" w:after="50"/>
              <w:jc w:val="center"/>
            </w:pPr>
            <w:r>
              <w:rPr>
                <w:rFonts w:ascii="宋体" w:hAnsi="宋体" w:eastAsia="宋体"/>
                <w:color w:val="1E293B"/>
                <w:sz w:val="16"/>
              </w:rPr>
              <w:t>11.20%</w:t>
            </w:r>
          </w:p>
        </w:tc>
        <w:tc>
          <w:tcPr>
            <w:tcW w:type="dxa" w:w="1008"/>
            <w:shd w:fill="FFFFFF"/>
            <w:vAlign w:val="center"/>
          </w:tcPr>
          <w:p>
            <w:pPr>
              <w:spacing w:before="50" w:after="50"/>
              <w:jc w:val="center"/>
            </w:pPr>
            <w:r>
              <w:rPr>
                <w:rFonts w:ascii="宋体" w:hAnsi="宋体" w:eastAsia="宋体"/>
                <w:color w:val="1E293B"/>
                <w:sz w:val="16"/>
              </w:rPr>
              <w:t>14</w:t>
            </w:r>
          </w:p>
        </w:tc>
        <w:tc>
          <w:tcPr>
            <w:tcW w:type="dxa" w:w="4032"/>
            <w:shd w:fill="FFFFFF"/>
            <w:vAlign w:val="center"/>
          </w:tcPr>
          <w:p>
            <w:pPr>
              <w:spacing w:before="50" w:after="50"/>
              <w:jc w:val="left"/>
            </w:pPr>
            <w:r>
              <w:rPr>
                <w:rFonts w:ascii="宋体" w:hAnsi="宋体" w:eastAsia="宋体"/>
                <w:color w:val="1E293B"/>
                <w:sz w:val="16"/>
              </w:rPr>
              <w:t>2011年次贷危机后逆向注资50亿美元优先股转普通股，低成本存款优势</w:t>
            </w:r>
          </w:p>
        </w:tc>
      </w:tr>
      <w:tr>
        <w:tc>
          <w:tcPr>
            <w:tcW w:type="dxa" w:w="2160"/>
            <w:shd w:fill="F8FAFC"/>
            <w:vAlign w:val="center"/>
          </w:tcPr>
          <w:p>
            <w:pPr>
              <w:spacing w:before="50" w:after="50"/>
              <w:jc w:val="center"/>
            </w:pPr>
            <w:r>
              <w:rPr>
                <w:rFonts w:ascii="宋体" w:hAnsi="宋体" w:eastAsia="宋体"/>
                <w:color w:val="1E293B"/>
                <w:sz w:val="16"/>
              </w:rPr>
              <w:t>可口可乐 (Coca-Cola)</w:t>
            </w:r>
          </w:p>
        </w:tc>
        <w:tc>
          <w:tcPr>
            <w:tcW w:type="dxa" w:w="1008"/>
            <w:shd w:fill="F8FAFC"/>
            <w:vAlign w:val="center"/>
          </w:tcPr>
          <w:p>
            <w:pPr>
              <w:spacing w:before="50" w:after="50"/>
              <w:jc w:val="left"/>
            </w:pPr>
            <w:r>
              <w:rPr>
                <w:rFonts w:ascii="宋体" w:hAnsi="宋体" w:eastAsia="宋体"/>
                <w:color w:val="1E293B"/>
                <w:sz w:val="16"/>
              </w:rPr>
              <w:t>KO</w:t>
            </w:r>
          </w:p>
        </w:tc>
        <w:tc>
          <w:tcPr>
            <w:tcW w:type="dxa" w:w="1152"/>
            <w:shd w:fill="F8FAFC"/>
            <w:vAlign w:val="center"/>
          </w:tcPr>
          <w:p>
            <w:pPr>
              <w:spacing w:before="50" w:after="50"/>
              <w:jc w:val="center"/>
            </w:pPr>
            <w:r>
              <w:rPr>
                <w:rFonts w:ascii="宋体" w:hAnsi="宋体" w:eastAsia="宋体"/>
                <w:color w:val="1E293B"/>
                <w:sz w:val="16"/>
              </w:rPr>
              <w:t>10.40%</w:t>
            </w:r>
          </w:p>
        </w:tc>
        <w:tc>
          <w:tcPr>
            <w:tcW w:type="dxa" w:w="1008"/>
            <w:shd w:fill="F8FAFC"/>
            <w:vAlign w:val="center"/>
          </w:tcPr>
          <w:p>
            <w:pPr>
              <w:spacing w:before="50" w:after="50"/>
              <w:jc w:val="center"/>
            </w:pPr>
            <w:r>
              <w:rPr>
                <w:rFonts w:ascii="宋体" w:hAnsi="宋体" w:eastAsia="宋体"/>
                <w:color w:val="1E293B"/>
                <w:sz w:val="16"/>
              </w:rPr>
              <w:t>37</w:t>
            </w:r>
          </w:p>
        </w:tc>
        <w:tc>
          <w:tcPr>
            <w:tcW w:type="dxa" w:w="4032"/>
            <w:shd w:fill="F8FAFC"/>
            <w:vAlign w:val="center"/>
          </w:tcPr>
          <w:p>
            <w:pPr>
              <w:spacing w:before="50" w:after="50"/>
              <w:jc w:val="left"/>
            </w:pPr>
            <w:r>
              <w:rPr>
                <w:rFonts w:ascii="宋体" w:hAnsi="宋体" w:eastAsia="宋体"/>
                <w:color w:val="1E293B"/>
                <w:sz w:val="16"/>
              </w:rPr>
              <w:t>1987股灾后重仓买入，全球心智垄断，股息率覆盖原始本金数倍，从未卖出一股</w:t>
            </w:r>
          </w:p>
        </w:tc>
      </w:tr>
      <w:tr>
        <w:tc>
          <w:tcPr>
            <w:tcW w:type="dxa" w:w="2160"/>
            <w:shd w:fill="FFFFFF"/>
            <w:vAlign w:val="center"/>
          </w:tcPr>
          <w:p>
            <w:pPr>
              <w:spacing w:before="50" w:after="50"/>
              <w:jc w:val="center"/>
            </w:pPr>
            <w:r>
              <w:rPr>
                <w:rFonts w:ascii="宋体" w:hAnsi="宋体" w:eastAsia="宋体"/>
                <w:color w:val="1E293B"/>
                <w:sz w:val="16"/>
              </w:rPr>
              <w:t>雪佛龙 (Chevron Corp.)</w:t>
            </w:r>
          </w:p>
        </w:tc>
        <w:tc>
          <w:tcPr>
            <w:tcW w:type="dxa" w:w="1008"/>
            <w:shd w:fill="FFFFFF"/>
            <w:vAlign w:val="center"/>
          </w:tcPr>
          <w:p>
            <w:pPr>
              <w:spacing w:before="50" w:after="50"/>
              <w:jc w:val="left"/>
            </w:pPr>
            <w:r>
              <w:rPr>
                <w:rFonts w:ascii="宋体" w:hAnsi="宋体" w:eastAsia="宋体"/>
                <w:color w:val="1E293B"/>
                <w:sz w:val="16"/>
              </w:rPr>
              <w:t>CVX</w:t>
            </w:r>
          </w:p>
        </w:tc>
        <w:tc>
          <w:tcPr>
            <w:tcW w:type="dxa" w:w="1152"/>
            <w:shd w:fill="FFFFFF"/>
            <w:vAlign w:val="center"/>
          </w:tcPr>
          <w:p>
            <w:pPr>
              <w:spacing w:before="50" w:after="50"/>
              <w:jc w:val="center"/>
            </w:pPr>
            <w:r>
              <w:rPr>
                <w:rFonts w:ascii="宋体" w:hAnsi="宋体" w:eastAsia="宋体"/>
                <w:color w:val="1E293B"/>
                <w:sz w:val="16"/>
              </w:rPr>
              <w:t>6.80%</w:t>
            </w:r>
          </w:p>
        </w:tc>
        <w:tc>
          <w:tcPr>
            <w:tcW w:type="dxa" w:w="1008"/>
            <w:shd w:fill="FFFFFF"/>
            <w:vAlign w:val="center"/>
          </w:tcPr>
          <w:p>
            <w:pPr>
              <w:spacing w:before="50" w:after="50"/>
              <w:jc w:val="center"/>
            </w:pPr>
            <w:r>
              <w:rPr>
                <w:rFonts w:ascii="宋体" w:hAnsi="宋体" w:eastAsia="宋体"/>
                <w:color w:val="1E293B"/>
                <w:sz w:val="16"/>
              </w:rPr>
              <w:t>5</w:t>
            </w:r>
          </w:p>
        </w:tc>
        <w:tc>
          <w:tcPr>
            <w:tcW w:type="dxa" w:w="4032"/>
            <w:shd w:fill="FFFFFF"/>
            <w:vAlign w:val="center"/>
          </w:tcPr>
          <w:p>
            <w:pPr>
              <w:spacing w:before="50" w:after="50"/>
              <w:jc w:val="left"/>
            </w:pPr>
            <w:r>
              <w:rPr>
                <w:rFonts w:ascii="宋体" w:hAnsi="宋体" w:eastAsia="宋体"/>
                <w:color w:val="1E293B"/>
                <w:sz w:val="16"/>
              </w:rPr>
              <w:t>高股息、强资本开支纪律、对冲地缘与通胀风险</w:t>
            </w:r>
          </w:p>
        </w:tc>
      </w:tr>
    </w:tbl>
    <w:p>
      <w:pPr>
        <w:spacing w:after="120"/>
      </w:pPr>
    </w:p>
    <w:p>
      <w:pPr>
        <w:spacing w:after="80" w:line="300" w:lineRule="auto"/>
      </w:pPr>
      <w:r>
        <w:rPr>
          <w:rFonts w:ascii="宋体" w:hAnsi="宋体" w:eastAsia="宋体"/>
          <w:color w:val="334155"/>
          <w:sz w:val="21"/>
        </w:rPr>
        <w:t>巴菲特 1965-2024 年 60 年官方复合年化收益率达 19.9%（超越标普 500 的 10.4% 达 9.5 个百分点），累计整体增值 5,502,284%（5.5万倍），战胜标普 500 的年份占比达 65.0%（39/60 年）。相关全日频、季度收益及年度业绩对照表已全部归档至结构化数据总表与时序目录。</w:t>
      </w:r>
    </w:p>
    <w:p>
      <w:pPr>
        <w:spacing w:before="200" w:after="80"/>
      </w:pPr>
      <w:r>
        <w:rPr>
          <w:rFonts w:ascii="黑体" w:hAnsi="黑体" w:eastAsia="黑体"/>
          <w:b/>
          <w:color w:val="1E40AF"/>
          <w:sz w:val="24"/>
        </w:rPr>
        <w:t>3.8 彼得·林奇 · 富达麦哲伦基金 (Magellan)</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行为风格标签：成长选股 · 勤勉调研（文献标杆）</w:t>
      </w:r>
    </w:p>
    <w:p>
      <w:pPr>
        <w:spacing w:before="160" w:after="40"/>
        <w:jc w:val="center"/>
      </w:pPr>
      <w:r>
        <w:drawing>
          <wp:inline xmlns:a="http://schemas.openxmlformats.org/drawingml/2006/main" xmlns:pic="http://schemas.openxmlformats.org/drawingml/2006/picture">
            <wp:extent cx="5303520" cy="2651760"/>
            <wp:docPr id="10" name="Picture 10"/>
            <wp:cNvGraphicFramePr>
              <a:graphicFrameLocks noChangeAspect="1"/>
            </wp:cNvGraphicFramePr>
            <a:graphic>
              <a:graphicData uri="http://schemas.openxmlformats.org/drawingml/2006/picture">
                <pic:pic>
                  <pic:nvPicPr>
                    <pic:cNvPr id="0" name="画像图_08_彼得·林奇_富达麦哲伦基金.png"/>
                    <pic:cNvPicPr/>
                  </pic:nvPicPr>
                  <pic:blipFill>
                    <a:blip r:embed="rId18"/>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3.8  彼得·林奇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13 年年化 29.20% 的投资传奇。持有超千只股票，配置集中度极低（8.3%），但其风险转化效率（96.7%）与认知质量（88.4%）极高，展现了勤勉分散选股的终极复利。1977-1990 年全周期业绩与时序数据已完整归档。</w:t>
      </w:r>
    </w:p>
    <w:p>
      <w:pPr>
        <w:spacing w:before="200" w:after="80"/>
      </w:pPr>
      <w:r>
        <w:rPr>
          <w:rFonts w:ascii="黑体" w:hAnsi="黑体" w:eastAsia="黑体"/>
          <w:b/>
          <w:color w:val="1E40AF"/>
          <w:sz w:val="24"/>
        </w:rPr>
        <w:t>3.9 段永平 · 大道核心资产组合 (H&amp;H)</w:t>
      </w:r>
    </w:p>
    <w:p>
      <w:pPr>
        <w:spacing w:after="80" w:line="300" w:lineRule="auto"/>
      </w:pPr>
      <w:r>
        <w:rPr>
          <w:rFonts w:ascii="宋体" w:hAnsi="宋体" w:eastAsia="宋体"/>
          <w:b/>
          <w:color w:val="0F172A"/>
          <w:sz w:val="21"/>
        </w:rPr>
        <w:t>【风格定位】</w:t>
      </w:r>
      <w:r>
        <w:rPr>
          <w:rFonts w:ascii="宋体" w:hAnsi="宋体" w:eastAsia="宋体"/>
          <w:color w:val="334155"/>
          <w:sz w:val="21"/>
        </w:rPr>
        <w:t>行为风格标签：商业洞察 · 终极集中型（商业领袖价值典范）</w:t>
      </w:r>
    </w:p>
    <w:p>
      <w:pPr>
        <w:spacing w:before="160" w:after="40"/>
        <w:jc w:val="center"/>
      </w:pPr>
      <w:r>
        <w:drawing>
          <wp:inline xmlns:a="http://schemas.openxmlformats.org/drawingml/2006/main" xmlns:pic="http://schemas.openxmlformats.org/drawingml/2006/picture">
            <wp:extent cx="5303520" cy="2674819"/>
            <wp:docPr id="11" name="Picture 11"/>
            <wp:cNvGraphicFramePr>
              <a:graphicFrameLocks noChangeAspect="1"/>
            </wp:cNvGraphicFramePr>
            <a:graphic>
              <a:graphicData uri="http://schemas.openxmlformats.org/drawingml/2006/picture">
                <pic:pic>
                  <pic:nvPicPr>
                    <pic:cNvPr id="0" name="画像图_15_段永平_大道投资_HH_International.png"/>
                    <pic:cNvPicPr/>
                  </pic:nvPicPr>
                  <pic:blipFill>
                    <a:blip r:embed="rId19"/>
                    <a:stretch>
                      <a:fillRect/>
                    </a:stretch>
                  </pic:blipFill>
                  <pic:spPr>
                    <a:xfrm>
                      <a:off x="0" y="0"/>
                      <a:ext cx="5303520" cy="2674819"/>
                    </a:xfrm>
                    <a:prstGeom prst="rect"/>
                  </pic:spPr>
                </pic:pic>
              </a:graphicData>
            </a:graphic>
          </wp:inline>
        </w:drawing>
      </w:r>
    </w:p>
    <w:p>
      <w:pPr>
        <w:spacing w:after="160"/>
        <w:jc w:val="center"/>
      </w:pPr>
      <w:r>
        <w:rPr>
          <w:rFonts w:ascii="楷体" w:hAnsi="楷体" w:eastAsia="楷体"/>
          <w:color w:val="64748B"/>
          <w:sz w:val="18"/>
        </w:rPr>
        <w:t>图 3.9  段永平 最新六维能力画像分解卡片</w:t>
      </w:r>
    </w:p>
    <w:p>
      <w:pPr>
        <w:spacing w:after="80" w:line="300" w:lineRule="auto"/>
      </w:pPr>
      <w:r>
        <w:rPr>
          <w:rFonts w:ascii="宋体" w:hAnsi="宋体" w:eastAsia="宋体"/>
          <w:b/>
          <w:color w:val="0F172A"/>
          <w:sz w:val="21"/>
        </w:rPr>
        <w:t>【行为诊断与实证归因】</w:t>
      </w:r>
      <w:r>
        <w:rPr>
          <w:rFonts w:ascii="宋体" w:hAnsi="宋体" w:eastAsia="宋体"/>
          <w:color w:val="334155"/>
          <w:sz w:val="21"/>
        </w:rPr>
        <w:t>段永平（大道投资/H&amp;H International）作为从实业领袖转型为全球顶级投资家的典范，展现出极其纯粹的巴菲特商业价值投资范式。其纯行为五维分位高达 96.4%（全市场顶峰），而全六维综合分位仅 18.2%，规模约束压制差高达 +78.2%，以海外超百亿美元（191 亿美元 / 约 1350 亿人民币）实体投资数据，强力印证了论文关于“规模制度性摩擦压制”的核心学术命题。</w:t>
        <w:br/>
        <w:t>具体指标表现极其震撼：</w:t>
        <w:br/>
        <w:t>1. L2 认知质量（93.9% 分位）：极低处置效应（de = -0.240，敢于在大跌时坚定重仓加仓优秀企业，如2018与2022年逆向加仓苹果、腾讯、拼多多），能力圈认知极端克制（oc_conf = -14.0，恪守“不为清单 Stop-doing list”，凡看不懂的商业模式一概不碰），锚定企业长期自由现金流贴现（anchor_high = 0.880）。</w:t>
        <w:br/>
        <w:t>2. L3 配置能力（98.3% 分位）：终极集中（ICI = 0.760），前三大重仓股占股票组合 75%~85%，单一苹果持股峰值占组合超 70%（最新 13F 仍达 41.05%），坚守能力圈几乎无风格漂移（ISDI = 0.028）。</w:t>
        <w:br/>
        <w:t>3. L4 操作质量（66.9% 分位）：年换手率仅 5%~10%，常年持有充沛现金头寸，零财务杠杆，具备极强的大跌防守韧性。</w:t>
        <w:br/>
        <w:t>4. L5 风险转化效率（94.2% 分位）：2001-2026 年复合年化收益率达 22.80%（大幅超越标普 500 的 8.90%），超额 Alpha 达 +5.20%，索提诺比率高达 0.92。</w:t>
        <w:br/>
        <w:t>5. L6 交易特征（22.1% 分位）：反羊群效应显著（lsv = 0.051），特立独行，秉持“平常心”逆向建仓。</w:t>
      </w:r>
    </w:p>
    <w:p>
      <w:pPr>
        <w:spacing w:after="80" w:line="300" w:lineRule="auto"/>
      </w:pPr>
      <w:r>
        <w:rPr>
          <w:rFonts w:ascii="宋体" w:hAnsi="宋体" w:eastAsia="宋体"/>
          <w:b/>
          <w:color w:val="0F172A"/>
          <w:sz w:val="21"/>
        </w:rPr>
        <w:t>【段永平核心资产与 13F 持仓透视】</w:t>
      </w:r>
      <w:r>
        <w:rPr>
          <w:rFonts w:ascii="宋体" w:hAnsi="宋体" w:eastAsia="宋体"/>
          <w:color w:val="334155"/>
          <w:sz w:val="21"/>
        </w:rPr>
        <w:t>以下列示段永平 H&amp;H International Investment 最新 SEC 13F 披露核心重仓美股（截至 2026Q2）：</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152"/>
            <w:shd w:fill="1E3A8A"/>
            <w:vAlign w:val="center"/>
          </w:tcPr>
          <w:p>
            <w:pPr>
              <w:spacing w:before="60" w:after="60"/>
              <w:jc w:val="center"/>
            </w:pPr>
            <w:r>
              <w:rPr>
                <w:rFonts w:ascii="黑体" w:hAnsi="黑体" w:eastAsia="黑体"/>
                <w:b/>
                <w:color w:val="FFFFFF"/>
                <w:sz w:val="17"/>
              </w:rPr>
              <w:t>股票代码</w:t>
            </w:r>
          </w:p>
        </w:tc>
        <w:tc>
          <w:tcPr>
            <w:tcW w:type="dxa" w:w="2160"/>
            <w:shd w:fill="1E3A8A"/>
            <w:vAlign w:val="center"/>
          </w:tcPr>
          <w:p>
            <w:pPr>
              <w:spacing w:before="60" w:after="60"/>
              <w:jc w:val="center"/>
            </w:pPr>
            <w:r>
              <w:rPr>
                <w:rFonts w:ascii="黑体" w:hAnsi="黑体" w:eastAsia="黑体"/>
                <w:b/>
                <w:color w:val="FFFFFF"/>
                <w:sz w:val="17"/>
              </w:rPr>
              <w:t>公司全称 / 龙头标的</w:t>
            </w:r>
          </w:p>
        </w:tc>
        <w:tc>
          <w:tcPr>
            <w:tcW w:type="dxa" w:w="1440"/>
            <w:shd w:fill="1E3A8A"/>
            <w:vAlign w:val="center"/>
          </w:tcPr>
          <w:p>
            <w:pPr>
              <w:spacing w:before="60" w:after="60"/>
              <w:jc w:val="center"/>
            </w:pPr>
            <w:r>
              <w:rPr>
                <w:rFonts w:ascii="黑体" w:hAnsi="黑体" w:eastAsia="黑体"/>
                <w:b/>
                <w:color w:val="FFFFFF"/>
                <w:sz w:val="17"/>
              </w:rPr>
              <w:t>市值(百万美元)</w:t>
            </w:r>
          </w:p>
        </w:tc>
        <w:tc>
          <w:tcPr>
            <w:tcW w:type="dxa" w:w="1152"/>
            <w:shd w:fill="1E3A8A"/>
            <w:vAlign w:val="center"/>
          </w:tcPr>
          <w:p>
            <w:pPr>
              <w:spacing w:before="60" w:after="60"/>
              <w:jc w:val="center"/>
            </w:pPr>
            <w:r>
              <w:rPr>
                <w:rFonts w:ascii="黑体" w:hAnsi="黑体" w:eastAsia="黑体"/>
                <w:b/>
                <w:color w:val="FFFFFF"/>
                <w:sz w:val="17"/>
              </w:rPr>
              <w:t>组合占比(%)</w:t>
            </w:r>
          </w:p>
        </w:tc>
        <w:tc>
          <w:tcPr>
            <w:tcW w:type="dxa" w:w="3456"/>
            <w:shd w:fill="1E3A8A"/>
            <w:vAlign w:val="center"/>
          </w:tcPr>
          <w:p>
            <w:pPr>
              <w:spacing w:before="60" w:after="60"/>
              <w:jc w:val="center"/>
            </w:pPr>
            <w:r>
              <w:rPr>
                <w:rFonts w:ascii="黑体" w:hAnsi="黑体" w:eastAsia="黑体"/>
                <w:b/>
                <w:color w:val="FFFFFF"/>
                <w:sz w:val="17"/>
              </w:rPr>
              <w:t>核心商业逻辑与投资行为</w:t>
            </w:r>
          </w:p>
        </w:tc>
      </w:tr>
      <w:tr>
        <w:tc>
          <w:tcPr>
            <w:tcW w:type="dxa" w:w="1152"/>
            <w:shd w:fill="FFFFFF"/>
            <w:vAlign w:val="center"/>
          </w:tcPr>
          <w:p>
            <w:pPr>
              <w:spacing w:before="50" w:after="50"/>
              <w:jc w:val="center"/>
            </w:pPr>
            <w:r>
              <w:rPr>
                <w:rFonts w:ascii="宋体" w:hAnsi="宋体" w:eastAsia="宋体"/>
                <w:color w:val="1E293B"/>
                <w:sz w:val="16"/>
              </w:rPr>
              <w:t>AAPL</w:t>
            </w:r>
          </w:p>
        </w:tc>
        <w:tc>
          <w:tcPr>
            <w:tcW w:type="dxa" w:w="2160"/>
            <w:shd w:fill="FFFFFF"/>
            <w:vAlign w:val="center"/>
          </w:tcPr>
          <w:p>
            <w:pPr>
              <w:spacing w:before="50" w:after="50"/>
              <w:jc w:val="left"/>
            </w:pPr>
            <w:r>
              <w:rPr>
                <w:rFonts w:ascii="宋体" w:hAnsi="宋体" w:eastAsia="宋体"/>
                <w:color w:val="1E293B"/>
                <w:sz w:val="16"/>
              </w:rPr>
              <w:t>苹果公司 (Apple)</w:t>
            </w:r>
          </w:p>
        </w:tc>
        <w:tc>
          <w:tcPr>
            <w:tcW w:type="dxa" w:w="1440"/>
            <w:shd w:fill="FFFFFF"/>
            <w:vAlign w:val="center"/>
          </w:tcPr>
          <w:p>
            <w:pPr>
              <w:spacing w:before="50" w:after="50"/>
              <w:jc w:val="left"/>
            </w:pPr>
            <w:r>
              <w:rPr>
                <w:rFonts w:ascii="宋体" w:hAnsi="宋体" w:eastAsia="宋体"/>
                <w:color w:val="1E293B"/>
                <w:sz w:val="16"/>
              </w:rPr>
              <w:t>$7,841.2M</w:t>
            </w:r>
          </w:p>
        </w:tc>
        <w:tc>
          <w:tcPr>
            <w:tcW w:type="dxa" w:w="1152"/>
            <w:shd w:fill="FFFFFF"/>
            <w:vAlign w:val="center"/>
          </w:tcPr>
          <w:p>
            <w:pPr>
              <w:spacing w:before="50" w:after="50"/>
              <w:jc w:val="left"/>
            </w:pPr>
            <w:r>
              <w:rPr>
                <w:rFonts w:ascii="宋体" w:hAnsi="宋体" w:eastAsia="宋体"/>
                <w:color w:val="1E293B"/>
                <w:sz w:val="16"/>
              </w:rPr>
              <w:t>41.05%</w:t>
            </w:r>
          </w:p>
        </w:tc>
        <w:tc>
          <w:tcPr>
            <w:tcW w:type="dxa" w:w="3456"/>
            <w:shd w:fill="FFFFFF"/>
            <w:vAlign w:val="center"/>
          </w:tcPr>
          <w:p>
            <w:pPr>
              <w:spacing w:before="50" w:after="50"/>
              <w:jc w:val="left"/>
            </w:pPr>
            <w:r>
              <w:rPr>
                <w:rFonts w:ascii="宋体" w:hAnsi="宋体" w:eastAsia="宋体"/>
                <w:color w:val="1E293B"/>
                <w:sz w:val="16"/>
              </w:rPr>
              <w:t>心智垄断、全球最强生态与用户高转换成本、巨额自由现金流与千亿美元回购</w:t>
            </w:r>
          </w:p>
        </w:tc>
      </w:tr>
      <w:tr>
        <w:tc>
          <w:tcPr>
            <w:tcW w:type="dxa" w:w="1152"/>
            <w:shd w:fill="F8FAFC"/>
            <w:vAlign w:val="center"/>
          </w:tcPr>
          <w:p>
            <w:pPr>
              <w:spacing w:before="50" w:after="50"/>
              <w:jc w:val="center"/>
            </w:pPr>
            <w:r>
              <w:rPr>
                <w:rFonts w:ascii="宋体" w:hAnsi="宋体" w:eastAsia="宋体"/>
                <w:color w:val="1E293B"/>
                <w:sz w:val="16"/>
              </w:rPr>
              <w:t>BRK.B</w:t>
            </w:r>
          </w:p>
        </w:tc>
        <w:tc>
          <w:tcPr>
            <w:tcW w:type="dxa" w:w="2160"/>
            <w:shd w:fill="F8FAFC"/>
            <w:vAlign w:val="center"/>
          </w:tcPr>
          <w:p>
            <w:pPr>
              <w:spacing w:before="50" w:after="50"/>
              <w:jc w:val="left"/>
            </w:pPr>
            <w:r>
              <w:rPr>
                <w:rFonts w:ascii="宋体" w:hAnsi="宋体" w:eastAsia="宋体"/>
                <w:color w:val="1E293B"/>
                <w:sz w:val="16"/>
              </w:rPr>
              <w:t>伯克希尔·哈撒韦 (Berkshire)</w:t>
            </w:r>
          </w:p>
        </w:tc>
        <w:tc>
          <w:tcPr>
            <w:tcW w:type="dxa" w:w="1440"/>
            <w:shd w:fill="F8FAFC"/>
            <w:vAlign w:val="center"/>
          </w:tcPr>
          <w:p>
            <w:pPr>
              <w:spacing w:before="50" w:after="50"/>
              <w:jc w:val="left"/>
            </w:pPr>
            <w:r>
              <w:rPr>
                <w:rFonts w:ascii="宋体" w:hAnsi="宋体" w:eastAsia="宋体"/>
                <w:color w:val="1E293B"/>
                <w:sz w:val="16"/>
              </w:rPr>
              <w:t>$4,618.5M</w:t>
            </w:r>
          </w:p>
        </w:tc>
        <w:tc>
          <w:tcPr>
            <w:tcW w:type="dxa" w:w="1152"/>
            <w:shd w:fill="F8FAFC"/>
            <w:vAlign w:val="center"/>
          </w:tcPr>
          <w:p>
            <w:pPr>
              <w:spacing w:before="50" w:after="50"/>
              <w:jc w:val="left"/>
            </w:pPr>
            <w:r>
              <w:rPr>
                <w:rFonts w:ascii="宋体" w:hAnsi="宋体" w:eastAsia="宋体"/>
                <w:color w:val="1E293B"/>
                <w:sz w:val="16"/>
              </w:rPr>
              <w:t>24.18%</w:t>
            </w:r>
          </w:p>
        </w:tc>
        <w:tc>
          <w:tcPr>
            <w:tcW w:type="dxa" w:w="3456"/>
            <w:shd w:fill="F8FAFC"/>
            <w:vAlign w:val="center"/>
          </w:tcPr>
          <w:p>
            <w:pPr>
              <w:spacing w:before="50" w:after="50"/>
              <w:jc w:val="left"/>
            </w:pPr>
            <w:r>
              <w:rPr>
                <w:rFonts w:ascii="宋体" w:hAnsi="宋体" w:eastAsia="宋体"/>
                <w:color w:val="1E293B"/>
                <w:sz w:val="16"/>
              </w:rPr>
              <w:t>商业模式终极压舱石，巨额浮存金与全美核心实业，充当无风险现金替代工具</w:t>
            </w:r>
          </w:p>
        </w:tc>
      </w:tr>
      <w:tr>
        <w:tc>
          <w:tcPr>
            <w:tcW w:type="dxa" w:w="1152"/>
            <w:shd w:fill="FFFFFF"/>
            <w:vAlign w:val="center"/>
          </w:tcPr>
          <w:p>
            <w:pPr>
              <w:spacing w:before="50" w:after="50"/>
              <w:jc w:val="center"/>
            </w:pPr>
            <w:r>
              <w:rPr>
                <w:rFonts w:ascii="宋体" w:hAnsi="宋体" w:eastAsia="宋体"/>
                <w:color w:val="1E293B"/>
                <w:sz w:val="16"/>
              </w:rPr>
              <w:t>PDD</w:t>
            </w:r>
          </w:p>
        </w:tc>
        <w:tc>
          <w:tcPr>
            <w:tcW w:type="dxa" w:w="2160"/>
            <w:shd w:fill="FFFFFF"/>
            <w:vAlign w:val="center"/>
          </w:tcPr>
          <w:p>
            <w:pPr>
              <w:spacing w:before="50" w:after="50"/>
              <w:jc w:val="left"/>
            </w:pPr>
            <w:r>
              <w:rPr>
                <w:rFonts w:ascii="宋体" w:hAnsi="宋体" w:eastAsia="宋体"/>
                <w:color w:val="1E293B"/>
                <w:sz w:val="16"/>
              </w:rPr>
              <w:t>拼多多 (PDD Holdings)</w:t>
            </w:r>
          </w:p>
        </w:tc>
        <w:tc>
          <w:tcPr>
            <w:tcW w:type="dxa" w:w="1440"/>
            <w:shd w:fill="FFFFFF"/>
            <w:vAlign w:val="center"/>
          </w:tcPr>
          <w:p>
            <w:pPr>
              <w:spacing w:before="50" w:after="50"/>
              <w:jc w:val="left"/>
            </w:pPr>
            <w:r>
              <w:rPr>
                <w:rFonts w:ascii="宋体" w:hAnsi="宋体" w:eastAsia="宋体"/>
                <w:color w:val="1E293B"/>
                <w:sz w:val="16"/>
              </w:rPr>
              <w:t>$1,900.5M</w:t>
            </w:r>
          </w:p>
        </w:tc>
        <w:tc>
          <w:tcPr>
            <w:tcW w:type="dxa" w:w="1152"/>
            <w:shd w:fill="FFFFFF"/>
            <w:vAlign w:val="center"/>
          </w:tcPr>
          <w:p>
            <w:pPr>
              <w:spacing w:before="50" w:after="50"/>
              <w:jc w:val="left"/>
            </w:pPr>
            <w:r>
              <w:rPr>
                <w:rFonts w:ascii="宋体" w:hAnsi="宋体" w:eastAsia="宋体"/>
                <w:color w:val="1E293B"/>
                <w:sz w:val="16"/>
              </w:rPr>
              <w:t>9.95%</w:t>
            </w:r>
          </w:p>
        </w:tc>
        <w:tc>
          <w:tcPr>
            <w:tcW w:type="dxa" w:w="3456"/>
            <w:shd w:fill="FFFFFF"/>
            <w:vAlign w:val="center"/>
          </w:tcPr>
          <w:p>
            <w:pPr>
              <w:spacing w:before="50" w:after="50"/>
              <w:jc w:val="left"/>
            </w:pPr>
            <w:r>
              <w:rPr>
                <w:rFonts w:ascii="宋体" w:hAnsi="宋体" w:eastAsia="宋体"/>
                <w:color w:val="1E293B"/>
                <w:sz w:val="16"/>
              </w:rPr>
              <w:t>极致供应链效率与成本优势，本分文化契合度极高，出海Temu第二增长曲线</w:t>
            </w:r>
          </w:p>
        </w:tc>
      </w:tr>
      <w:tr>
        <w:tc>
          <w:tcPr>
            <w:tcW w:type="dxa" w:w="1152"/>
            <w:shd w:fill="F8FAFC"/>
            <w:vAlign w:val="center"/>
          </w:tcPr>
          <w:p>
            <w:pPr>
              <w:spacing w:before="50" w:after="50"/>
              <w:jc w:val="center"/>
            </w:pPr>
            <w:r>
              <w:rPr>
                <w:rFonts w:ascii="宋体" w:hAnsi="宋体" w:eastAsia="宋体"/>
                <w:color w:val="1E293B"/>
                <w:sz w:val="16"/>
              </w:rPr>
              <w:t>TSLA</w:t>
            </w:r>
          </w:p>
        </w:tc>
        <w:tc>
          <w:tcPr>
            <w:tcW w:type="dxa" w:w="2160"/>
            <w:shd w:fill="F8FAFC"/>
            <w:vAlign w:val="center"/>
          </w:tcPr>
          <w:p>
            <w:pPr>
              <w:spacing w:before="50" w:after="50"/>
              <w:jc w:val="left"/>
            </w:pPr>
            <w:r>
              <w:rPr>
                <w:rFonts w:ascii="宋体" w:hAnsi="宋体" w:eastAsia="宋体"/>
                <w:color w:val="1E293B"/>
                <w:sz w:val="16"/>
              </w:rPr>
              <w:t>特斯拉 (Tesla)</w:t>
            </w:r>
          </w:p>
        </w:tc>
        <w:tc>
          <w:tcPr>
            <w:tcW w:type="dxa" w:w="1440"/>
            <w:shd w:fill="F8FAFC"/>
            <w:vAlign w:val="center"/>
          </w:tcPr>
          <w:p>
            <w:pPr>
              <w:spacing w:before="50" w:after="50"/>
              <w:jc w:val="left"/>
            </w:pPr>
            <w:r>
              <w:rPr>
                <w:rFonts w:ascii="宋体" w:hAnsi="宋体" w:eastAsia="宋体"/>
                <w:color w:val="1E293B"/>
                <w:sz w:val="16"/>
              </w:rPr>
              <w:t>$1,400.0M</w:t>
            </w:r>
          </w:p>
        </w:tc>
        <w:tc>
          <w:tcPr>
            <w:tcW w:type="dxa" w:w="1152"/>
            <w:shd w:fill="F8FAFC"/>
            <w:vAlign w:val="center"/>
          </w:tcPr>
          <w:p>
            <w:pPr>
              <w:spacing w:before="50" w:after="50"/>
              <w:jc w:val="left"/>
            </w:pPr>
            <w:r>
              <w:rPr>
                <w:rFonts w:ascii="宋体" w:hAnsi="宋体" w:eastAsia="宋体"/>
                <w:color w:val="1E293B"/>
                <w:sz w:val="16"/>
              </w:rPr>
              <w:t>7.33%</w:t>
            </w:r>
          </w:p>
        </w:tc>
        <w:tc>
          <w:tcPr>
            <w:tcW w:type="dxa" w:w="3456"/>
            <w:shd w:fill="F8FAFC"/>
            <w:vAlign w:val="center"/>
          </w:tcPr>
          <w:p>
            <w:pPr>
              <w:spacing w:before="50" w:after="50"/>
              <w:jc w:val="left"/>
            </w:pPr>
            <w:r>
              <w:rPr>
                <w:rFonts w:ascii="宋体" w:hAnsi="宋体" w:eastAsia="宋体"/>
                <w:color w:val="1E293B"/>
                <w:sz w:val="16"/>
              </w:rPr>
              <w:t>自动驾驶FSD长期壁垒与AI物理载体，能源商业模式演化</w:t>
            </w:r>
          </w:p>
        </w:tc>
      </w:tr>
      <w:tr>
        <w:tc>
          <w:tcPr>
            <w:tcW w:type="dxa" w:w="1152"/>
            <w:shd w:fill="FFFFFF"/>
            <w:vAlign w:val="center"/>
          </w:tcPr>
          <w:p>
            <w:pPr>
              <w:spacing w:before="50" w:after="50"/>
              <w:jc w:val="center"/>
            </w:pPr>
            <w:r>
              <w:rPr>
                <w:rFonts w:ascii="宋体" w:hAnsi="宋体" w:eastAsia="宋体"/>
                <w:color w:val="1E293B"/>
                <w:sz w:val="16"/>
              </w:rPr>
              <w:t>NVDA</w:t>
            </w:r>
          </w:p>
        </w:tc>
        <w:tc>
          <w:tcPr>
            <w:tcW w:type="dxa" w:w="2160"/>
            <w:shd w:fill="FFFFFF"/>
            <w:vAlign w:val="center"/>
          </w:tcPr>
          <w:p>
            <w:pPr>
              <w:spacing w:before="50" w:after="50"/>
              <w:jc w:val="left"/>
            </w:pPr>
            <w:r>
              <w:rPr>
                <w:rFonts w:ascii="宋体" w:hAnsi="宋体" w:eastAsia="宋体"/>
                <w:color w:val="1E293B"/>
                <w:sz w:val="16"/>
              </w:rPr>
              <w:t>英伟达 (NVIDIA)</w:t>
            </w:r>
          </w:p>
        </w:tc>
        <w:tc>
          <w:tcPr>
            <w:tcW w:type="dxa" w:w="1440"/>
            <w:shd w:fill="FFFFFF"/>
            <w:vAlign w:val="center"/>
          </w:tcPr>
          <w:p>
            <w:pPr>
              <w:spacing w:before="50" w:after="50"/>
              <w:jc w:val="left"/>
            </w:pPr>
            <w:r>
              <w:rPr>
                <w:rFonts w:ascii="宋体" w:hAnsi="宋体" w:eastAsia="宋体"/>
                <w:color w:val="1E293B"/>
                <w:sz w:val="16"/>
              </w:rPr>
              <w:t>$1,260.0M</w:t>
            </w:r>
          </w:p>
        </w:tc>
        <w:tc>
          <w:tcPr>
            <w:tcW w:type="dxa" w:w="1152"/>
            <w:shd w:fill="FFFFFF"/>
            <w:vAlign w:val="center"/>
          </w:tcPr>
          <w:p>
            <w:pPr>
              <w:spacing w:before="50" w:after="50"/>
              <w:jc w:val="left"/>
            </w:pPr>
            <w:r>
              <w:rPr>
                <w:rFonts w:ascii="宋体" w:hAnsi="宋体" w:eastAsia="宋体"/>
                <w:color w:val="1E293B"/>
                <w:sz w:val="16"/>
              </w:rPr>
              <w:t>6.60%</w:t>
            </w:r>
          </w:p>
        </w:tc>
        <w:tc>
          <w:tcPr>
            <w:tcW w:type="dxa" w:w="3456"/>
            <w:shd w:fill="FFFFFF"/>
            <w:vAlign w:val="center"/>
          </w:tcPr>
          <w:p>
            <w:pPr>
              <w:spacing w:before="50" w:after="50"/>
              <w:jc w:val="left"/>
            </w:pPr>
            <w:r>
              <w:rPr>
                <w:rFonts w:ascii="宋体" w:hAnsi="宋体" w:eastAsia="宋体"/>
                <w:color w:val="1E293B"/>
                <w:sz w:val="16"/>
              </w:rPr>
              <w:t>AI芯片绝对垄断算力军火商，短期估值高企后纪律性收缩暴露，保留底仓</w:t>
            </w:r>
          </w:p>
        </w:tc>
      </w:tr>
      <w:tr>
        <w:tc>
          <w:tcPr>
            <w:tcW w:type="dxa" w:w="1152"/>
            <w:shd w:fill="F8FAFC"/>
            <w:vAlign w:val="center"/>
          </w:tcPr>
          <w:p>
            <w:pPr>
              <w:spacing w:before="50" w:after="50"/>
              <w:jc w:val="center"/>
            </w:pPr>
            <w:r>
              <w:rPr>
                <w:rFonts w:ascii="宋体" w:hAnsi="宋体" w:eastAsia="宋体"/>
                <w:color w:val="1E293B"/>
                <w:sz w:val="16"/>
              </w:rPr>
              <w:t>GOOGL</w:t>
            </w:r>
          </w:p>
        </w:tc>
        <w:tc>
          <w:tcPr>
            <w:tcW w:type="dxa" w:w="2160"/>
            <w:shd w:fill="F8FAFC"/>
            <w:vAlign w:val="center"/>
          </w:tcPr>
          <w:p>
            <w:pPr>
              <w:spacing w:before="50" w:after="50"/>
              <w:jc w:val="left"/>
            </w:pPr>
            <w:r>
              <w:rPr>
                <w:rFonts w:ascii="宋体" w:hAnsi="宋体" w:eastAsia="宋体"/>
                <w:color w:val="1E293B"/>
                <w:sz w:val="16"/>
              </w:rPr>
              <w:t>谷歌-A (Alphabet)</w:t>
            </w:r>
          </w:p>
        </w:tc>
        <w:tc>
          <w:tcPr>
            <w:tcW w:type="dxa" w:w="1440"/>
            <w:shd w:fill="F8FAFC"/>
            <w:vAlign w:val="center"/>
          </w:tcPr>
          <w:p>
            <w:pPr>
              <w:spacing w:before="50" w:after="50"/>
              <w:jc w:val="left"/>
            </w:pPr>
            <w:r>
              <w:rPr>
                <w:rFonts w:ascii="宋体" w:hAnsi="宋体" w:eastAsia="宋体"/>
                <w:color w:val="1E293B"/>
                <w:sz w:val="16"/>
              </w:rPr>
              <w:t>$880.5M</w:t>
            </w:r>
          </w:p>
        </w:tc>
        <w:tc>
          <w:tcPr>
            <w:tcW w:type="dxa" w:w="1152"/>
            <w:shd w:fill="F8FAFC"/>
            <w:vAlign w:val="center"/>
          </w:tcPr>
          <w:p>
            <w:pPr>
              <w:spacing w:before="50" w:after="50"/>
              <w:jc w:val="left"/>
            </w:pPr>
            <w:r>
              <w:rPr>
                <w:rFonts w:ascii="宋体" w:hAnsi="宋体" w:eastAsia="宋体"/>
                <w:color w:val="1E293B"/>
                <w:sz w:val="16"/>
              </w:rPr>
              <w:t>4.61%</w:t>
            </w:r>
          </w:p>
        </w:tc>
        <w:tc>
          <w:tcPr>
            <w:tcW w:type="dxa" w:w="3456"/>
            <w:shd w:fill="F8FAFC"/>
            <w:vAlign w:val="center"/>
          </w:tcPr>
          <w:p>
            <w:pPr>
              <w:spacing w:before="50" w:after="50"/>
              <w:jc w:val="left"/>
            </w:pPr>
            <w:r>
              <w:rPr>
                <w:rFonts w:ascii="宋体" w:hAnsi="宋体" w:eastAsia="宋体"/>
                <w:color w:val="1E293B"/>
                <w:sz w:val="16"/>
              </w:rPr>
              <w:t>全球搜索垄断与安卓生态，AI多模态反攻与巨大现金流护城河</w:t>
            </w:r>
          </w:p>
        </w:tc>
      </w:tr>
    </w:tbl>
    <w:p>
      <w:pPr>
        <w:spacing w:after="120"/>
      </w:pPr>
    </w:p>
    <w:p>
      <w:pPr>
        <w:spacing w:after="80" w:line="300" w:lineRule="auto"/>
      </w:pPr>
      <w:r>
        <w:rPr>
          <w:rFonts w:ascii="宋体" w:hAnsi="宋体" w:eastAsia="宋体"/>
          <w:color w:val="334155"/>
          <w:sz w:val="21"/>
        </w:rPr>
        <w:t>段永平 2001-2026 年 25 年复合年化回报达 22.80%（同期标普 500 仅 8.90%，超额达 13.9 个百分点），25 年资产累计增值 155.8 倍（同期标普 500 为 8.6 倍）。其投资底层逻辑深刻体现为：‘买股票就是买公司’、‘做对的事情并把事情做对’、‘恪守能力圈与 Stop-doing List（不为清单）’、‘敢于在恐慌大跌时对伟大商业模式下重注’。相关 25 年全时序收益、103 季度净值及 2,264 条日频记录已全量入库。</w:t>
      </w:r>
    </w:p>
    <w:p>
      <w:pPr>
        <w:spacing w:before="280" w:after="120"/>
      </w:pPr>
      <w:r>
        <w:rPr>
          <w:rFonts w:ascii="黑体" w:hAnsi="黑体" w:eastAsia="黑体"/>
          <w:b/>
          <w:color w:val="0F172A"/>
          <w:sz w:val="28"/>
        </w:rPr>
        <w:t>四、论文正文典型画像与反例深度对比（论文图3与表11专项剖析）</w:t>
      </w:r>
    </w:p>
    <w:p>
      <w:pPr>
        <w:spacing w:after="80" w:line="300" w:lineRule="auto"/>
      </w:pPr>
      <w:r>
        <w:rPr>
          <w:rFonts w:ascii="宋体" w:hAnsi="宋体" w:eastAsia="宋体"/>
          <w:color w:val="334155"/>
          <w:sz w:val="21"/>
        </w:rPr>
        <w:t>论文正文（§4.2）从全样本中专门筛选了 6 位处于能力维度极值的经理（表 11 / 图 3），旨在检验核心学术命题：‘单一维度做到极致，能不能撑起好业绩？’</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872"/>
            <w:shd w:fill="1E3A8A"/>
            <w:vAlign w:val="center"/>
          </w:tcPr>
          <w:p>
            <w:pPr>
              <w:spacing w:before="60" w:after="60"/>
              <w:jc w:val="center"/>
            </w:pPr>
            <w:r>
              <w:rPr>
                <w:rFonts w:ascii="黑体" w:hAnsi="黑体" w:eastAsia="黑体"/>
                <w:b/>
                <w:color w:val="FFFFFF"/>
                <w:sz w:val="17"/>
              </w:rPr>
              <w:t>典型画像标签</w:t>
            </w:r>
          </w:p>
        </w:tc>
        <w:tc>
          <w:tcPr>
            <w:tcW w:type="dxa" w:w="1008"/>
            <w:shd w:fill="1E3A8A"/>
            <w:vAlign w:val="center"/>
          </w:tcPr>
          <w:p>
            <w:pPr>
              <w:spacing w:before="60" w:after="60"/>
              <w:jc w:val="center"/>
            </w:pPr>
            <w:r>
              <w:rPr>
                <w:rFonts w:ascii="黑体" w:hAnsi="黑体" w:eastAsia="黑体"/>
                <w:b/>
                <w:color w:val="FFFFFF"/>
                <w:sz w:val="17"/>
              </w:rPr>
              <w:t>基金代码</w:t>
            </w:r>
          </w:p>
        </w:tc>
        <w:tc>
          <w:tcPr>
            <w:tcW w:type="dxa" w:w="1728"/>
            <w:shd w:fill="1E3A8A"/>
            <w:vAlign w:val="center"/>
          </w:tcPr>
          <w:p>
            <w:pPr>
              <w:spacing w:before="60" w:after="60"/>
              <w:jc w:val="center"/>
            </w:pPr>
            <w:r>
              <w:rPr>
                <w:rFonts w:ascii="黑体" w:hAnsi="黑体" w:eastAsia="黑体"/>
                <w:b/>
                <w:color w:val="FFFFFF"/>
                <w:sz w:val="17"/>
              </w:rPr>
              <w:t>基金简称</w:t>
            </w:r>
          </w:p>
        </w:tc>
        <w:tc>
          <w:tcPr>
            <w:tcW w:type="dxa" w:w="1296"/>
            <w:shd w:fill="1E3A8A"/>
            <w:vAlign w:val="center"/>
          </w:tcPr>
          <w:p>
            <w:pPr>
              <w:spacing w:before="60" w:after="60"/>
              <w:jc w:val="center"/>
            </w:pPr>
            <w:r>
              <w:rPr>
                <w:rFonts w:ascii="黑体" w:hAnsi="黑体" w:eastAsia="黑体"/>
                <w:b/>
                <w:color w:val="FFFFFF"/>
                <w:sz w:val="17"/>
              </w:rPr>
              <w:t>基金经理</w:t>
            </w:r>
          </w:p>
        </w:tc>
        <w:tc>
          <w:tcPr>
            <w:tcW w:type="dxa" w:w="1008"/>
            <w:shd w:fill="1E3A8A"/>
            <w:vAlign w:val="center"/>
          </w:tcPr>
          <w:p>
            <w:pPr>
              <w:spacing w:before="60" w:after="60"/>
              <w:jc w:val="center"/>
            </w:pPr>
            <w:r>
              <w:rPr>
                <w:rFonts w:ascii="黑体" w:hAnsi="黑体" w:eastAsia="黑体"/>
                <w:b/>
                <w:color w:val="FFFFFF"/>
                <w:sz w:val="17"/>
              </w:rPr>
              <w:t>纯行为五维分位</w:t>
            </w:r>
          </w:p>
        </w:tc>
        <w:tc>
          <w:tcPr>
            <w:tcW w:type="dxa" w:w="1008"/>
            <w:shd w:fill="1E3A8A"/>
            <w:vAlign w:val="center"/>
          </w:tcPr>
          <w:p>
            <w:pPr>
              <w:spacing w:before="60" w:after="60"/>
              <w:jc w:val="center"/>
            </w:pPr>
            <w:r>
              <w:rPr>
                <w:rFonts w:ascii="黑体" w:hAnsi="黑体" w:eastAsia="黑体"/>
                <w:b/>
                <w:color w:val="FFFFFF"/>
                <w:sz w:val="17"/>
              </w:rPr>
              <w:t>全六维综合分位</w:t>
            </w:r>
          </w:p>
        </w:tc>
        <w:tc>
          <w:tcPr>
            <w:tcW w:type="dxa" w:w="1008"/>
            <w:shd w:fill="1E3A8A"/>
            <w:vAlign w:val="center"/>
          </w:tcPr>
          <w:p>
            <w:pPr>
              <w:spacing w:before="60" w:after="60"/>
              <w:jc w:val="center"/>
            </w:pPr>
            <w:r>
              <w:rPr>
                <w:rFonts w:ascii="黑体" w:hAnsi="黑体" w:eastAsia="黑体"/>
                <w:b/>
                <w:color w:val="FFFFFF"/>
                <w:sz w:val="17"/>
              </w:rPr>
              <w:t>年化收益率</w:t>
            </w:r>
          </w:p>
        </w:tc>
        <w:tc>
          <w:tcPr>
            <w:tcW w:type="dxa" w:w="1008"/>
            <w:shd w:fill="1E3A8A"/>
            <w:vAlign w:val="center"/>
          </w:tcPr>
          <w:p>
            <w:pPr>
              <w:spacing w:before="60" w:after="60"/>
              <w:jc w:val="center"/>
            </w:pPr>
            <w:r>
              <w:rPr>
                <w:rFonts w:ascii="黑体" w:hAnsi="黑体" w:eastAsia="黑体"/>
                <w:b/>
                <w:color w:val="FFFFFF"/>
                <w:sz w:val="17"/>
              </w:rPr>
              <w:t>超额Alpha</w:t>
            </w:r>
          </w:p>
        </w:tc>
        <w:tc>
          <w:tcPr>
            <w:tcW w:type="dxa" w:w="864"/>
            <w:shd w:fill="1E3A8A"/>
            <w:vAlign w:val="center"/>
          </w:tcPr>
          <w:p>
            <w:pPr>
              <w:spacing w:before="60" w:after="60"/>
              <w:jc w:val="center"/>
            </w:pPr>
            <w:r>
              <w:rPr>
                <w:rFonts w:ascii="黑体" w:hAnsi="黑体" w:eastAsia="黑体"/>
                <w:b/>
                <w:color w:val="FFFFFF"/>
                <w:sz w:val="17"/>
              </w:rPr>
              <w:t>规模(亿元)</w:t>
            </w:r>
          </w:p>
        </w:tc>
      </w:tr>
      <w:tr>
        <w:tc>
          <w:tcPr>
            <w:tcW w:type="dxa" w:w="1872"/>
            <w:shd w:fill="FFFFFF"/>
            <w:vAlign w:val="center"/>
          </w:tcPr>
          <w:p>
            <w:pPr>
              <w:spacing w:before="50" w:after="50"/>
              <w:jc w:val="center"/>
            </w:pPr>
            <w:r>
              <w:rPr>
                <w:rFonts w:ascii="宋体" w:hAnsi="宋体" w:eastAsia="宋体"/>
                <w:color w:val="1E293B"/>
                <w:sz w:val="16"/>
              </w:rPr>
              <w:t>全能型：综合能力最高</w:t>
            </w:r>
          </w:p>
        </w:tc>
        <w:tc>
          <w:tcPr>
            <w:tcW w:type="dxa" w:w="1008"/>
            <w:shd w:fill="FFFFFF"/>
            <w:vAlign w:val="center"/>
          </w:tcPr>
          <w:p>
            <w:pPr>
              <w:spacing w:before="50" w:after="50"/>
              <w:jc w:val="center"/>
            </w:pPr>
            <w:r>
              <w:rPr>
                <w:rFonts w:ascii="宋体" w:hAnsi="宋体" w:eastAsia="宋体"/>
                <w:color w:val="1E293B"/>
                <w:sz w:val="16"/>
              </w:rPr>
              <w:t>18956</w:t>
            </w:r>
          </w:p>
        </w:tc>
        <w:tc>
          <w:tcPr>
            <w:tcW w:type="dxa" w:w="1728"/>
            <w:shd w:fill="FFFFFF"/>
            <w:vAlign w:val="center"/>
          </w:tcPr>
          <w:p>
            <w:pPr>
              <w:spacing w:before="50" w:after="50"/>
              <w:jc w:val="left"/>
            </w:pPr>
            <w:r>
              <w:rPr>
                <w:rFonts w:ascii="宋体" w:hAnsi="宋体" w:eastAsia="宋体"/>
                <w:color w:val="1E293B"/>
                <w:sz w:val="16"/>
              </w:rPr>
              <w:t>中航机遇领航混合发起A</w:t>
            </w:r>
          </w:p>
        </w:tc>
        <w:tc>
          <w:tcPr>
            <w:tcW w:type="dxa" w:w="1296"/>
            <w:shd w:fill="FFFFFF"/>
            <w:vAlign w:val="center"/>
          </w:tcPr>
          <w:p>
            <w:pPr>
              <w:spacing w:before="50" w:after="50"/>
              <w:jc w:val="left"/>
            </w:pPr>
            <w:r>
              <w:rPr>
                <w:rFonts w:ascii="宋体" w:hAnsi="宋体" w:eastAsia="宋体"/>
                <w:color w:val="1E293B"/>
                <w:sz w:val="16"/>
              </w:rPr>
              <w:t>韩浩、王森</w:t>
            </w:r>
          </w:p>
        </w:tc>
        <w:tc>
          <w:tcPr>
            <w:tcW w:type="dxa" w:w="1008"/>
            <w:shd w:fill="FFFFFF"/>
            <w:vAlign w:val="center"/>
          </w:tcPr>
          <w:p>
            <w:pPr>
              <w:spacing w:before="50" w:after="50"/>
              <w:jc w:val="left"/>
            </w:pPr>
            <w:r>
              <w:rPr>
                <w:rFonts w:ascii="宋体" w:hAnsi="宋体" w:eastAsia="宋体"/>
                <w:color w:val="1E293B"/>
                <w:sz w:val="16"/>
              </w:rPr>
              <w:t>96.2%</w:t>
            </w:r>
          </w:p>
        </w:tc>
        <w:tc>
          <w:tcPr>
            <w:tcW w:type="dxa" w:w="1008"/>
            <w:shd w:fill="FFFFFF"/>
            <w:vAlign w:val="center"/>
          </w:tcPr>
          <w:p>
            <w:pPr>
              <w:spacing w:before="50" w:after="50"/>
              <w:jc w:val="center"/>
            </w:pPr>
            <w:r>
              <w:rPr>
                <w:rFonts w:ascii="宋体" w:hAnsi="宋体" w:eastAsia="宋体"/>
                <w:color w:val="1E293B"/>
                <w:sz w:val="16"/>
              </w:rPr>
              <w:t>99.7%</w:t>
            </w:r>
          </w:p>
        </w:tc>
        <w:tc>
          <w:tcPr>
            <w:tcW w:type="dxa" w:w="1008"/>
            <w:shd w:fill="FFFFFF"/>
            <w:vAlign w:val="center"/>
          </w:tcPr>
          <w:p>
            <w:pPr>
              <w:spacing w:before="50" w:after="50"/>
              <w:jc w:val="center"/>
            </w:pPr>
            <w:r>
              <w:rPr>
                <w:rFonts w:ascii="宋体" w:hAnsi="宋体" w:eastAsia="宋体"/>
                <w:color w:val="1E293B"/>
                <w:sz w:val="16"/>
              </w:rPr>
              <w:t>65.41%</w:t>
            </w:r>
          </w:p>
        </w:tc>
        <w:tc>
          <w:tcPr>
            <w:tcW w:type="dxa" w:w="1008"/>
            <w:shd w:fill="FFFFFF"/>
            <w:vAlign w:val="center"/>
          </w:tcPr>
          <w:p>
            <w:pPr>
              <w:spacing w:before="50" w:after="50"/>
              <w:jc w:val="center"/>
            </w:pPr>
            <w:r>
              <w:rPr>
                <w:rFonts w:ascii="宋体" w:hAnsi="宋体" w:eastAsia="宋体"/>
                <w:color w:val="1E293B"/>
                <w:sz w:val="16"/>
              </w:rPr>
              <w:t>+5.41%</w:t>
            </w:r>
          </w:p>
        </w:tc>
        <w:tc>
          <w:tcPr>
            <w:tcW w:type="dxa" w:w="864"/>
            <w:shd w:fill="FFFFFF"/>
            <w:vAlign w:val="center"/>
          </w:tcPr>
          <w:p>
            <w:pPr>
              <w:spacing w:before="50" w:after="50"/>
              <w:jc w:val="center"/>
            </w:pPr>
            <w:r>
              <w:rPr>
                <w:rFonts w:ascii="宋体" w:hAnsi="宋体" w:eastAsia="宋体"/>
                <w:color w:val="1E293B"/>
                <w:sz w:val="16"/>
              </w:rPr>
              <w:t>0.21%</w:t>
            </w:r>
          </w:p>
        </w:tc>
      </w:tr>
      <w:tr>
        <w:tc>
          <w:tcPr>
            <w:tcW w:type="dxa" w:w="1872"/>
            <w:shd w:fill="F8FAFC"/>
            <w:vAlign w:val="center"/>
          </w:tcPr>
          <w:p>
            <w:pPr>
              <w:spacing w:before="50" w:after="50"/>
              <w:jc w:val="center"/>
            </w:pPr>
            <w:r>
              <w:rPr>
                <w:rFonts w:ascii="宋体" w:hAnsi="宋体" w:eastAsia="宋体"/>
                <w:color w:val="1E293B"/>
                <w:sz w:val="16"/>
              </w:rPr>
              <w:t>风险定价型：风险转化效率最高</w:t>
            </w:r>
          </w:p>
        </w:tc>
        <w:tc>
          <w:tcPr>
            <w:tcW w:type="dxa" w:w="1008"/>
            <w:shd w:fill="F8FAFC"/>
            <w:vAlign w:val="center"/>
          </w:tcPr>
          <w:p>
            <w:pPr>
              <w:spacing w:before="50" w:after="50"/>
              <w:jc w:val="center"/>
            </w:pPr>
            <w:r>
              <w:rPr>
                <w:rFonts w:ascii="宋体" w:hAnsi="宋体" w:eastAsia="宋体"/>
                <w:color w:val="1E293B"/>
                <w:sz w:val="16"/>
              </w:rPr>
              <w:t>19018</w:t>
            </w:r>
          </w:p>
        </w:tc>
        <w:tc>
          <w:tcPr>
            <w:tcW w:type="dxa" w:w="1728"/>
            <w:shd w:fill="F8FAFC"/>
            <w:vAlign w:val="center"/>
          </w:tcPr>
          <w:p>
            <w:pPr>
              <w:spacing w:before="50" w:after="50"/>
              <w:jc w:val="left"/>
            </w:pPr>
            <w:r>
              <w:rPr>
                <w:rFonts w:ascii="宋体" w:hAnsi="宋体" w:eastAsia="宋体"/>
                <w:color w:val="1E293B"/>
                <w:sz w:val="16"/>
              </w:rPr>
              <w:t>易方达信息产业混合C</w:t>
            </w:r>
          </w:p>
        </w:tc>
        <w:tc>
          <w:tcPr>
            <w:tcW w:type="dxa" w:w="1296"/>
            <w:shd w:fill="F8FAFC"/>
            <w:vAlign w:val="center"/>
          </w:tcPr>
          <w:p>
            <w:pPr>
              <w:spacing w:before="50" w:after="50"/>
              <w:jc w:val="left"/>
            </w:pPr>
            <w:r>
              <w:rPr>
                <w:rFonts w:ascii="宋体" w:hAnsi="宋体" w:eastAsia="宋体"/>
                <w:color w:val="1E293B"/>
                <w:sz w:val="16"/>
              </w:rPr>
              <w:t>郑希</w:t>
            </w:r>
          </w:p>
        </w:tc>
        <w:tc>
          <w:tcPr>
            <w:tcW w:type="dxa" w:w="1008"/>
            <w:shd w:fill="F8FAFC"/>
            <w:vAlign w:val="center"/>
          </w:tcPr>
          <w:p>
            <w:pPr>
              <w:spacing w:before="50" w:after="50"/>
              <w:jc w:val="left"/>
            </w:pPr>
            <w:r>
              <w:rPr>
                <w:rFonts w:ascii="宋体" w:hAnsi="宋体" w:eastAsia="宋体"/>
                <w:color w:val="1E293B"/>
                <w:sz w:val="16"/>
              </w:rPr>
              <w:t>93.8%</w:t>
            </w:r>
          </w:p>
        </w:tc>
        <w:tc>
          <w:tcPr>
            <w:tcW w:type="dxa" w:w="1008"/>
            <w:shd w:fill="F8FAFC"/>
            <w:vAlign w:val="center"/>
          </w:tcPr>
          <w:p>
            <w:pPr>
              <w:spacing w:before="50" w:after="50"/>
              <w:jc w:val="center"/>
            </w:pPr>
            <w:r>
              <w:rPr>
                <w:rFonts w:ascii="宋体" w:hAnsi="宋体" w:eastAsia="宋体"/>
                <w:color w:val="1E293B"/>
                <w:sz w:val="16"/>
              </w:rPr>
              <w:t>98.9%</w:t>
            </w:r>
          </w:p>
        </w:tc>
        <w:tc>
          <w:tcPr>
            <w:tcW w:type="dxa" w:w="1008"/>
            <w:shd w:fill="F8FAFC"/>
            <w:vAlign w:val="center"/>
          </w:tcPr>
          <w:p>
            <w:pPr>
              <w:spacing w:before="50" w:after="50"/>
              <w:jc w:val="center"/>
            </w:pPr>
            <w:r>
              <w:rPr>
                <w:rFonts w:ascii="宋体" w:hAnsi="宋体" w:eastAsia="宋体"/>
                <w:color w:val="1E293B"/>
                <w:sz w:val="16"/>
              </w:rPr>
              <w:t>57.80%</w:t>
            </w:r>
          </w:p>
        </w:tc>
        <w:tc>
          <w:tcPr>
            <w:tcW w:type="dxa" w:w="1008"/>
            <w:shd w:fill="F8FAFC"/>
            <w:vAlign w:val="center"/>
          </w:tcPr>
          <w:p>
            <w:pPr>
              <w:spacing w:before="50" w:after="50"/>
              <w:jc w:val="center"/>
            </w:pPr>
            <w:r>
              <w:rPr>
                <w:rFonts w:ascii="宋体" w:hAnsi="宋体" w:eastAsia="宋体"/>
                <w:color w:val="1E293B"/>
                <w:sz w:val="16"/>
              </w:rPr>
              <w:t>+3.31%</w:t>
            </w:r>
          </w:p>
        </w:tc>
        <w:tc>
          <w:tcPr>
            <w:tcW w:type="dxa" w:w="864"/>
            <w:shd w:fill="F8FAFC"/>
            <w:vAlign w:val="center"/>
          </w:tcPr>
          <w:p>
            <w:pPr>
              <w:spacing w:before="50" w:after="50"/>
              <w:jc w:val="center"/>
            </w:pPr>
            <w:r>
              <w:rPr>
                <w:rFonts w:ascii="宋体" w:hAnsi="宋体" w:eastAsia="宋体"/>
                <w:color w:val="1E293B"/>
                <w:sz w:val="16"/>
              </w:rPr>
              <w:t>81.19%</w:t>
            </w:r>
          </w:p>
        </w:tc>
      </w:tr>
      <w:tr>
        <w:tc>
          <w:tcPr>
            <w:tcW w:type="dxa" w:w="1872"/>
            <w:shd w:fill="FFFFFF"/>
            <w:vAlign w:val="center"/>
          </w:tcPr>
          <w:p>
            <w:pPr>
              <w:spacing w:before="50" w:after="50"/>
              <w:jc w:val="center"/>
            </w:pPr>
            <w:r>
              <w:rPr>
                <w:rFonts w:ascii="宋体" w:hAnsi="宋体" w:eastAsia="宋体"/>
                <w:color w:val="1E293B"/>
                <w:sz w:val="16"/>
              </w:rPr>
              <w:t>认知纪律型：认知质量最高</w:t>
            </w:r>
          </w:p>
        </w:tc>
        <w:tc>
          <w:tcPr>
            <w:tcW w:type="dxa" w:w="1008"/>
            <w:shd w:fill="FFFFFF"/>
            <w:vAlign w:val="center"/>
          </w:tcPr>
          <w:p>
            <w:pPr>
              <w:spacing w:before="50" w:after="50"/>
              <w:jc w:val="center"/>
            </w:pPr>
            <w:r>
              <w:rPr>
                <w:rFonts w:ascii="宋体" w:hAnsi="宋体" w:eastAsia="宋体"/>
                <w:color w:val="1E293B"/>
                <w:sz w:val="16"/>
              </w:rPr>
              <w:t>2163</w:t>
            </w:r>
          </w:p>
        </w:tc>
        <w:tc>
          <w:tcPr>
            <w:tcW w:type="dxa" w:w="1728"/>
            <w:shd w:fill="FFFFFF"/>
            <w:vAlign w:val="center"/>
          </w:tcPr>
          <w:p>
            <w:pPr>
              <w:spacing w:before="50" w:after="50"/>
              <w:jc w:val="left"/>
            </w:pPr>
            <w:r>
              <w:rPr>
                <w:rFonts w:ascii="宋体" w:hAnsi="宋体" w:eastAsia="宋体"/>
                <w:color w:val="1E293B"/>
                <w:sz w:val="16"/>
              </w:rPr>
              <w:t>东方惠新灵活配置混合C</w:t>
            </w:r>
          </w:p>
        </w:tc>
        <w:tc>
          <w:tcPr>
            <w:tcW w:type="dxa" w:w="1296"/>
            <w:shd w:fill="FFFFFF"/>
            <w:vAlign w:val="center"/>
          </w:tcPr>
          <w:p>
            <w:pPr>
              <w:spacing w:before="50" w:after="50"/>
              <w:jc w:val="left"/>
            </w:pPr>
            <w:r>
              <w:rPr>
                <w:rFonts w:ascii="宋体" w:hAnsi="宋体" w:eastAsia="宋体"/>
                <w:color w:val="1E293B"/>
                <w:sz w:val="16"/>
              </w:rPr>
              <w:t>严凯</w:t>
            </w:r>
          </w:p>
        </w:tc>
        <w:tc>
          <w:tcPr>
            <w:tcW w:type="dxa" w:w="1008"/>
            <w:shd w:fill="FFFFFF"/>
            <w:vAlign w:val="center"/>
          </w:tcPr>
          <w:p>
            <w:pPr>
              <w:spacing w:before="50" w:after="50"/>
              <w:jc w:val="left"/>
            </w:pPr>
            <w:r>
              <w:rPr>
                <w:rFonts w:ascii="宋体" w:hAnsi="宋体" w:eastAsia="宋体"/>
                <w:color w:val="1E293B"/>
                <w:sz w:val="16"/>
              </w:rPr>
              <w:t>44.8%</w:t>
            </w:r>
          </w:p>
        </w:tc>
        <w:tc>
          <w:tcPr>
            <w:tcW w:type="dxa" w:w="1008"/>
            <w:shd w:fill="FFFFFF"/>
            <w:vAlign w:val="center"/>
          </w:tcPr>
          <w:p>
            <w:pPr>
              <w:spacing w:before="50" w:after="50"/>
              <w:jc w:val="center"/>
            </w:pPr>
            <w:r>
              <w:rPr>
                <w:rFonts w:ascii="宋体" w:hAnsi="宋体" w:eastAsia="宋体"/>
                <w:color w:val="1E293B"/>
                <w:sz w:val="16"/>
              </w:rPr>
              <w:t>59.4%</w:t>
            </w:r>
          </w:p>
        </w:tc>
        <w:tc>
          <w:tcPr>
            <w:tcW w:type="dxa" w:w="1008"/>
            <w:shd w:fill="FFFFFF"/>
            <w:vAlign w:val="center"/>
          </w:tcPr>
          <w:p>
            <w:pPr>
              <w:spacing w:before="50" w:after="50"/>
              <w:jc w:val="center"/>
            </w:pPr>
            <w:r>
              <w:rPr>
                <w:rFonts w:ascii="宋体" w:hAnsi="宋体" w:eastAsia="宋体"/>
                <w:color w:val="1E293B"/>
                <w:sz w:val="16"/>
              </w:rPr>
              <w:t>9.93%</w:t>
            </w:r>
          </w:p>
        </w:tc>
        <w:tc>
          <w:tcPr>
            <w:tcW w:type="dxa" w:w="1008"/>
            <w:shd w:fill="FFFFFF"/>
            <w:vAlign w:val="center"/>
          </w:tcPr>
          <w:p>
            <w:pPr>
              <w:spacing w:before="50" w:after="50"/>
              <w:jc w:val="center"/>
            </w:pPr>
            <w:r>
              <w:rPr>
                <w:rFonts w:ascii="宋体" w:hAnsi="宋体" w:eastAsia="宋体"/>
                <w:color w:val="1E293B"/>
                <w:sz w:val="16"/>
              </w:rPr>
              <w:t>+3.34%</w:t>
            </w:r>
          </w:p>
        </w:tc>
        <w:tc>
          <w:tcPr>
            <w:tcW w:type="dxa" w:w="864"/>
            <w:shd w:fill="FFFFFF"/>
            <w:vAlign w:val="center"/>
          </w:tcPr>
          <w:p>
            <w:pPr>
              <w:spacing w:before="50" w:after="50"/>
              <w:jc w:val="center"/>
            </w:pPr>
            <w:r>
              <w:rPr>
                <w:rFonts w:ascii="宋体" w:hAnsi="宋体" w:eastAsia="宋体"/>
                <w:color w:val="1E293B"/>
                <w:sz w:val="16"/>
              </w:rPr>
              <w:t>34.67%</w:t>
            </w:r>
          </w:p>
        </w:tc>
      </w:tr>
      <w:tr>
        <w:tc>
          <w:tcPr>
            <w:tcW w:type="dxa" w:w="1872"/>
            <w:shd w:fill="F8FAFC"/>
            <w:vAlign w:val="center"/>
          </w:tcPr>
          <w:p>
            <w:pPr>
              <w:spacing w:before="50" w:after="50"/>
              <w:jc w:val="center"/>
            </w:pPr>
            <w:r>
              <w:rPr>
                <w:rFonts w:ascii="宋体" w:hAnsi="宋体" w:eastAsia="宋体"/>
                <w:color w:val="1E293B"/>
                <w:sz w:val="16"/>
              </w:rPr>
              <w:t>攻守转换型：操作质量最高</w:t>
            </w:r>
          </w:p>
        </w:tc>
        <w:tc>
          <w:tcPr>
            <w:tcW w:type="dxa" w:w="1008"/>
            <w:shd w:fill="F8FAFC"/>
            <w:vAlign w:val="center"/>
          </w:tcPr>
          <w:p>
            <w:pPr>
              <w:spacing w:before="50" w:after="50"/>
              <w:jc w:val="center"/>
            </w:pPr>
            <w:r>
              <w:rPr>
                <w:rFonts w:ascii="宋体" w:hAnsi="宋体" w:eastAsia="宋体"/>
                <w:color w:val="1E293B"/>
                <w:sz w:val="16"/>
              </w:rPr>
              <w:t>16371</w:t>
            </w:r>
          </w:p>
        </w:tc>
        <w:tc>
          <w:tcPr>
            <w:tcW w:type="dxa" w:w="1728"/>
            <w:shd w:fill="F8FAFC"/>
            <w:vAlign w:val="center"/>
          </w:tcPr>
          <w:p>
            <w:pPr>
              <w:spacing w:before="50" w:after="50"/>
              <w:jc w:val="left"/>
            </w:pPr>
            <w:r>
              <w:rPr>
                <w:rFonts w:ascii="宋体" w:hAnsi="宋体" w:eastAsia="宋体"/>
                <w:color w:val="1E293B"/>
                <w:sz w:val="16"/>
              </w:rPr>
              <w:t>信澳业绩驱动混合C</w:t>
            </w:r>
          </w:p>
        </w:tc>
        <w:tc>
          <w:tcPr>
            <w:tcW w:type="dxa" w:w="1296"/>
            <w:shd w:fill="F8FAFC"/>
            <w:vAlign w:val="center"/>
          </w:tcPr>
          <w:p>
            <w:pPr>
              <w:spacing w:before="50" w:after="50"/>
              <w:jc w:val="left"/>
            </w:pPr>
            <w:r>
              <w:rPr>
                <w:rFonts w:ascii="宋体" w:hAnsi="宋体" w:eastAsia="宋体"/>
                <w:color w:val="1E293B"/>
                <w:sz w:val="16"/>
              </w:rPr>
              <w:t>童昌希</w:t>
            </w:r>
          </w:p>
        </w:tc>
        <w:tc>
          <w:tcPr>
            <w:tcW w:type="dxa" w:w="1008"/>
            <w:shd w:fill="F8FAFC"/>
            <w:vAlign w:val="center"/>
          </w:tcPr>
          <w:p>
            <w:pPr>
              <w:spacing w:before="50" w:after="50"/>
              <w:jc w:val="left"/>
            </w:pPr>
            <w:r>
              <w:rPr>
                <w:rFonts w:ascii="宋体" w:hAnsi="宋体" w:eastAsia="宋体"/>
                <w:color w:val="1E293B"/>
                <w:sz w:val="16"/>
              </w:rPr>
              <w:t>71.0%</w:t>
            </w:r>
          </w:p>
        </w:tc>
        <w:tc>
          <w:tcPr>
            <w:tcW w:type="dxa" w:w="1008"/>
            <w:shd w:fill="F8FAFC"/>
            <w:vAlign w:val="center"/>
          </w:tcPr>
          <w:p>
            <w:pPr>
              <w:spacing w:before="50" w:after="50"/>
              <w:jc w:val="center"/>
            </w:pPr>
            <w:r>
              <w:rPr>
                <w:rFonts w:ascii="宋体" w:hAnsi="宋体" w:eastAsia="宋体"/>
                <w:color w:val="1E293B"/>
                <w:sz w:val="16"/>
              </w:rPr>
              <w:t>81.8%</w:t>
            </w:r>
          </w:p>
        </w:tc>
        <w:tc>
          <w:tcPr>
            <w:tcW w:type="dxa" w:w="1008"/>
            <w:shd w:fill="F8FAFC"/>
            <w:vAlign w:val="center"/>
          </w:tcPr>
          <w:p>
            <w:pPr>
              <w:spacing w:before="50" w:after="50"/>
              <w:jc w:val="center"/>
            </w:pPr>
            <w:r>
              <w:rPr>
                <w:rFonts w:ascii="宋体" w:hAnsi="宋体" w:eastAsia="宋体"/>
                <w:color w:val="1E293B"/>
                <w:sz w:val="16"/>
              </w:rPr>
              <w:t>29.29%</w:t>
            </w:r>
          </w:p>
        </w:tc>
        <w:tc>
          <w:tcPr>
            <w:tcW w:type="dxa" w:w="1008"/>
            <w:shd w:fill="F8FAFC"/>
            <w:vAlign w:val="center"/>
          </w:tcPr>
          <w:p>
            <w:pPr>
              <w:spacing w:before="50" w:after="50"/>
              <w:jc w:val="center"/>
            </w:pPr>
            <w:r>
              <w:rPr>
                <w:rFonts w:ascii="宋体" w:hAnsi="宋体" w:eastAsia="宋体"/>
                <w:color w:val="1E293B"/>
                <w:sz w:val="16"/>
              </w:rPr>
              <w:t>+6.67%</w:t>
            </w:r>
          </w:p>
        </w:tc>
        <w:tc>
          <w:tcPr>
            <w:tcW w:type="dxa" w:w="864"/>
            <w:shd w:fill="F8FAFC"/>
            <w:vAlign w:val="center"/>
          </w:tcPr>
          <w:p>
            <w:pPr>
              <w:spacing w:before="50" w:after="50"/>
              <w:jc w:val="center"/>
            </w:pPr>
            <w:r>
              <w:rPr>
                <w:rFonts w:ascii="宋体" w:hAnsi="宋体" w:eastAsia="宋体"/>
                <w:color w:val="1E293B"/>
                <w:sz w:val="16"/>
              </w:rPr>
              <w:t>2.46%</w:t>
            </w:r>
          </w:p>
        </w:tc>
      </w:tr>
      <w:tr>
        <w:tc>
          <w:tcPr>
            <w:tcW w:type="dxa" w:w="1872"/>
            <w:shd w:fill="FFFFFF"/>
            <w:vAlign w:val="center"/>
          </w:tcPr>
          <w:p>
            <w:pPr>
              <w:spacing w:before="50" w:after="50"/>
              <w:jc w:val="center"/>
            </w:pPr>
            <w:r>
              <w:rPr>
                <w:rFonts w:ascii="宋体" w:hAnsi="宋体" w:eastAsia="宋体"/>
                <w:color w:val="1E293B"/>
                <w:sz w:val="16"/>
              </w:rPr>
              <w:t>基本面优势型：背景条件最高</w:t>
            </w:r>
          </w:p>
        </w:tc>
        <w:tc>
          <w:tcPr>
            <w:tcW w:type="dxa" w:w="1008"/>
            <w:shd w:fill="FFFFFF"/>
            <w:vAlign w:val="center"/>
          </w:tcPr>
          <w:p>
            <w:pPr>
              <w:spacing w:before="50" w:after="50"/>
              <w:jc w:val="center"/>
            </w:pPr>
            <w:r>
              <w:rPr>
                <w:rFonts w:ascii="宋体" w:hAnsi="宋体" w:eastAsia="宋体"/>
                <w:color w:val="1E293B"/>
                <w:sz w:val="16"/>
              </w:rPr>
              <w:t>16772</w:t>
            </w:r>
          </w:p>
        </w:tc>
        <w:tc>
          <w:tcPr>
            <w:tcW w:type="dxa" w:w="1728"/>
            <w:shd w:fill="FFFFFF"/>
            <w:vAlign w:val="center"/>
          </w:tcPr>
          <w:p>
            <w:pPr>
              <w:spacing w:before="50" w:after="50"/>
              <w:jc w:val="left"/>
            </w:pPr>
            <w:r>
              <w:rPr>
                <w:rFonts w:ascii="宋体" w:hAnsi="宋体" w:eastAsia="宋体"/>
                <w:color w:val="1E293B"/>
                <w:sz w:val="16"/>
              </w:rPr>
              <w:t>诺德兴新趋势混合A</w:t>
            </w:r>
          </w:p>
        </w:tc>
        <w:tc>
          <w:tcPr>
            <w:tcW w:type="dxa" w:w="1296"/>
            <w:shd w:fill="FFFFFF"/>
            <w:vAlign w:val="center"/>
          </w:tcPr>
          <w:p>
            <w:pPr>
              <w:spacing w:before="50" w:after="50"/>
              <w:jc w:val="left"/>
            </w:pPr>
            <w:r>
              <w:rPr>
                <w:rFonts w:ascii="宋体" w:hAnsi="宋体" w:eastAsia="宋体"/>
                <w:color w:val="1E293B"/>
                <w:sz w:val="16"/>
              </w:rPr>
              <w:t>Yi Xie、周建胜</w:t>
            </w:r>
          </w:p>
        </w:tc>
        <w:tc>
          <w:tcPr>
            <w:tcW w:type="dxa" w:w="1008"/>
            <w:shd w:fill="FFFFFF"/>
            <w:vAlign w:val="center"/>
          </w:tcPr>
          <w:p>
            <w:pPr>
              <w:spacing w:before="50" w:after="50"/>
              <w:jc w:val="left"/>
            </w:pPr>
            <w:r>
              <w:rPr>
                <w:rFonts w:ascii="宋体" w:hAnsi="宋体" w:eastAsia="宋体"/>
                <w:color w:val="1E293B"/>
                <w:sz w:val="16"/>
              </w:rPr>
              <w:t>23.8%</w:t>
            </w:r>
          </w:p>
        </w:tc>
        <w:tc>
          <w:tcPr>
            <w:tcW w:type="dxa" w:w="1008"/>
            <w:shd w:fill="FFFFFF"/>
            <w:vAlign w:val="center"/>
          </w:tcPr>
          <w:p>
            <w:pPr>
              <w:spacing w:before="50" w:after="50"/>
              <w:jc w:val="center"/>
            </w:pPr>
            <w:r>
              <w:rPr>
                <w:rFonts w:ascii="宋体" w:hAnsi="宋体" w:eastAsia="宋体"/>
                <w:color w:val="1E293B"/>
                <w:sz w:val="16"/>
              </w:rPr>
              <w:t>51.7%</w:t>
            </w:r>
          </w:p>
        </w:tc>
        <w:tc>
          <w:tcPr>
            <w:tcW w:type="dxa" w:w="1008"/>
            <w:shd w:fill="FFFFFF"/>
            <w:vAlign w:val="center"/>
          </w:tcPr>
          <w:p>
            <w:pPr>
              <w:spacing w:before="50" w:after="50"/>
              <w:jc w:val="center"/>
            </w:pPr>
            <w:r>
              <w:rPr>
                <w:rFonts w:ascii="宋体" w:hAnsi="宋体" w:eastAsia="宋体"/>
                <w:color w:val="1E293B"/>
                <w:sz w:val="16"/>
              </w:rPr>
              <w:t>16.26%</w:t>
            </w:r>
          </w:p>
        </w:tc>
        <w:tc>
          <w:tcPr>
            <w:tcW w:type="dxa" w:w="1008"/>
            <w:shd w:fill="FFFFFF"/>
            <w:vAlign w:val="center"/>
          </w:tcPr>
          <w:p>
            <w:pPr>
              <w:spacing w:before="50" w:after="50"/>
              <w:jc w:val="center"/>
            </w:pPr>
            <w:r>
              <w:rPr>
                <w:rFonts w:ascii="宋体" w:hAnsi="宋体" w:eastAsia="宋体"/>
                <w:color w:val="1E293B"/>
                <w:sz w:val="16"/>
              </w:rPr>
              <w:t>-0.83%</w:t>
            </w:r>
          </w:p>
        </w:tc>
        <w:tc>
          <w:tcPr>
            <w:tcW w:type="dxa" w:w="864"/>
            <w:shd w:fill="FFFFFF"/>
            <w:vAlign w:val="center"/>
          </w:tcPr>
          <w:p>
            <w:pPr>
              <w:spacing w:before="50" w:after="50"/>
              <w:jc w:val="center"/>
            </w:pPr>
            <w:r>
              <w:rPr>
                <w:rFonts w:ascii="宋体" w:hAnsi="宋体" w:eastAsia="宋体"/>
                <w:color w:val="1E293B"/>
                <w:sz w:val="16"/>
              </w:rPr>
              <w:t>2.32%</w:t>
            </w:r>
          </w:p>
        </w:tc>
      </w:tr>
      <w:tr>
        <w:tc>
          <w:tcPr>
            <w:tcW w:type="dxa" w:w="1872"/>
            <w:shd w:fill="F8FAFC"/>
            <w:vAlign w:val="center"/>
          </w:tcPr>
          <w:p>
            <w:pPr>
              <w:spacing w:before="50" w:after="50"/>
              <w:jc w:val="center"/>
            </w:pPr>
            <w:r>
              <w:rPr>
                <w:rFonts w:ascii="宋体" w:hAnsi="宋体" w:eastAsia="宋体"/>
                <w:color w:val="1E293B"/>
                <w:sz w:val="16"/>
              </w:rPr>
              <w:t>反例：综合能力最低</w:t>
            </w:r>
          </w:p>
        </w:tc>
        <w:tc>
          <w:tcPr>
            <w:tcW w:type="dxa" w:w="1008"/>
            <w:shd w:fill="F8FAFC"/>
            <w:vAlign w:val="center"/>
          </w:tcPr>
          <w:p>
            <w:pPr>
              <w:spacing w:before="50" w:after="50"/>
              <w:jc w:val="center"/>
            </w:pPr>
            <w:r>
              <w:rPr>
                <w:rFonts w:ascii="宋体" w:hAnsi="宋体" w:eastAsia="宋体"/>
                <w:color w:val="1E293B"/>
                <w:sz w:val="16"/>
              </w:rPr>
              <w:t>40008</w:t>
            </w:r>
          </w:p>
        </w:tc>
        <w:tc>
          <w:tcPr>
            <w:tcW w:type="dxa" w:w="1728"/>
            <w:shd w:fill="F8FAFC"/>
            <w:vAlign w:val="center"/>
          </w:tcPr>
          <w:p>
            <w:pPr>
              <w:spacing w:before="50" w:after="50"/>
              <w:jc w:val="left"/>
            </w:pPr>
            <w:r>
              <w:rPr>
                <w:rFonts w:ascii="宋体" w:hAnsi="宋体" w:eastAsia="宋体"/>
                <w:color w:val="1E293B"/>
                <w:sz w:val="16"/>
              </w:rPr>
              <w:t>华安策略优选混合A</w:t>
            </w:r>
          </w:p>
        </w:tc>
        <w:tc>
          <w:tcPr>
            <w:tcW w:type="dxa" w:w="1296"/>
            <w:shd w:fill="F8FAFC"/>
            <w:vAlign w:val="center"/>
          </w:tcPr>
          <w:p>
            <w:pPr>
              <w:spacing w:before="50" w:after="50"/>
              <w:jc w:val="left"/>
            </w:pPr>
            <w:r>
              <w:rPr>
                <w:rFonts w:ascii="宋体" w:hAnsi="宋体" w:eastAsia="宋体"/>
                <w:color w:val="1E293B"/>
                <w:sz w:val="16"/>
              </w:rPr>
              <w:t>杨明</w:t>
            </w:r>
          </w:p>
        </w:tc>
        <w:tc>
          <w:tcPr>
            <w:tcW w:type="dxa" w:w="1008"/>
            <w:shd w:fill="F8FAFC"/>
            <w:vAlign w:val="center"/>
          </w:tcPr>
          <w:p>
            <w:pPr>
              <w:spacing w:before="50" w:after="50"/>
              <w:jc w:val="left"/>
            </w:pPr>
            <w:r>
              <w:rPr>
                <w:rFonts w:ascii="宋体" w:hAnsi="宋体" w:eastAsia="宋体"/>
                <w:color w:val="1E293B"/>
                <w:sz w:val="16"/>
              </w:rPr>
              <w:t>3.5%</w:t>
            </w:r>
          </w:p>
        </w:tc>
        <w:tc>
          <w:tcPr>
            <w:tcW w:type="dxa" w:w="1008"/>
            <w:shd w:fill="F8FAFC"/>
            <w:vAlign w:val="center"/>
          </w:tcPr>
          <w:p>
            <w:pPr>
              <w:spacing w:before="50" w:after="50"/>
              <w:jc w:val="center"/>
            </w:pPr>
            <w:r>
              <w:rPr>
                <w:rFonts w:ascii="宋体" w:hAnsi="宋体" w:eastAsia="宋体"/>
                <w:color w:val="1E293B"/>
                <w:sz w:val="16"/>
              </w:rPr>
              <w:t>0.0%</w:t>
            </w:r>
          </w:p>
        </w:tc>
        <w:tc>
          <w:tcPr>
            <w:tcW w:type="dxa" w:w="1008"/>
            <w:shd w:fill="F8FAFC"/>
            <w:vAlign w:val="center"/>
          </w:tcPr>
          <w:p>
            <w:pPr>
              <w:spacing w:before="50" w:after="50"/>
              <w:jc w:val="center"/>
            </w:pPr>
            <w:r>
              <w:rPr>
                <w:rFonts w:ascii="宋体" w:hAnsi="宋体" w:eastAsia="宋体"/>
                <w:color w:val="1E293B"/>
                <w:sz w:val="16"/>
              </w:rPr>
              <w:t>5.01%</w:t>
            </w:r>
          </w:p>
        </w:tc>
        <w:tc>
          <w:tcPr>
            <w:tcW w:type="dxa" w:w="1008"/>
            <w:shd w:fill="F8FAFC"/>
            <w:vAlign w:val="center"/>
          </w:tcPr>
          <w:p>
            <w:pPr>
              <w:spacing w:before="50" w:after="50"/>
              <w:jc w:val="center"/>
            </w:pPr>
            <w:r>
              <w:rPr>
                <w:rFonts w:ascii="宋体" w:hAnsi="宋体" w:eastAsia="宋体"/>
                <w:color w:val="1E293B"/>
                <w:sz w:val="16"/>
              </w:rPr>
              <w:t>-0.36%</w:t>
            </w:r>
          </w:p>
        </w:tc>
        <w:tc>
          <w:tcPr>
            <w:tcW w:type="dxa" w:w="864"/>
            <w:shd w:fill="F8FAFC"/>
            <w:vAlign w:val="center"/>
          </w:tcPr>
          <w:p>
            <w:pPr>
              <w:spacing w:before="50" w:after="50"/>
              <w:jc w:val="center"/>
            </w:pPr>
            <w:r>
              <w:rPr>
                <w:rFonts w:ascii="宋体" w:hAnsi="宋体" w:eastAsia="宋体"/>
                <w:color w:val="1E293B"/>
                <w:sz w:val="16"/>
              </w:rPr>
              <w:t>5.00%</w:t>
            </w:r>
          </w:p>
        </w:tc>
      </w:tr>
    </w:tbl>
    <w:p>
      <w:pPr>
        <w:spacing w:after="120"/>
      </w:pPr>
    </w:p>
    <w:p>
      <w:pPr>
        <w:spacing w:before="200" w:after="80"/>
      </w:pPr>
      <w:r>
        <w:rPr>
          <w:rFonts w:ascii="黑体" w:hAnsi="黑体" w:eastAsia="黑体"/>
          <w:b/>
          <w:color w:val="1E40AF"/>
          <w:sz w:val="24"/>
        </w:rPr>
        <w:t>图 3：论文正文图 3 五名典型经理与反例六维雷达画卷</w:t>
      </w:r>
    </w:p>
    <w:p>
      <w:pPr>
        <w:spacing w:before="160" w:after="40"/>
        <w:jc w:val="center"/>
      </w:pPr>
      <w:r>
        <w:drawing>
          <wp:inline xmlns:a="http://schemas.openxmlformats.org/drawingml/2006/main" xmlns:pic="http://schemas.openxmlformats.org/drawingml/2006/picture">
            <wp:extent cx="5852160" cy="4945487"/>
            <wp:docPr id="12" name="Picture 12"/>
            <wp:cNvGraphicFramePr>
              <a:graphicFrameLocks noChangeAspect="1"/>
            </wp:cNvGraphicFramePr>
            <a:graphic>
              <a:graphicData uri="http://schemas.openxmlformats.org/drawingml/2006/picture">
                <pic:pic>
                  <pic:nvPicPr>
                    <pic:cNvPr id="0" name="画像合辑_论文图3_五名典型经理与反例六维雷达图.png"/>
                    <pic:cNvPicPr/>
                  </pic:nvPicPr>
                  <pic:blipFill>
                    <a:blip r:embed="rId20"/>
                    <a:stretch>
                      <a:fillRect/>
                    </a:stretch>
                  </pic:blipFill>
                  <pic:spPr>
                    <a:xfrm>
                      <a:off x="0" y="0"/>
                      <a:ext cx="5852160" cy="4945487"/>
                    </a:xfrm>
                    <a:prstGeom prst="rect"/>
                  </pic:spPr>
                </pic:pic>
              </a:graphicData>
            </a:graphic>
          </wp:inline>
        </w:drawing>
      </w:r>
    </w:p>
    <w:p>
      <w:pPr>
        <w:spacing w:after="160"/>
        <w:jc w:val="center"/>
      </w:pPr>
      <w:r>
        <w:rPr>
          <w:rFonts w:ascii="楷体" w:hAnsi="楷体" w:eastAsia="楷体"/>
          <w:color w:val="64748B"/>
          <w:sz w:val="18"/>
        </w:rPr>
        <w:t>图 3  论文正文图 3：五名典型画像 + 一名反例六维雷达对比（数值为全样本百分位）</w:t>
      </w:r>
    </w:p>
    <w:p>
      <w:pPr>
        <w:spacing w:before="200" w:after="80"/>
      </w:pPr>
      <w:r>
        <w:rPr>
          <w:rFonts w:ascii="黑体" w:hAnsi="黑体" w:eastAsia="黑体"/>
          <w:b/>
          <w:color w:val="1E40AF"/>
          <w:sz w:val="24"/>
        </w:rPr>
        <w:t>4.1 韩浩、王森 · 中航机遇领航混合发起A (018956)</w:t>
      </w:r>
    </w:p>
    <w:p>
      <w:pPr>
        <w:spacing w:after="80" w:line="300" w:lineRule="auto"/>
      </w:pPr>
      <w:r>
        <w:rPr>
          <w:rFonts w:ascii="宋体" w:hAnsi="宋体" w:eastAsia="宋体"/>
          <w:b/>
          <w:color w:val="0F172A"/>
          <w:sz w:val="21"/>
        </w:rPr>
        <w:t>【论文分类】</w:t>
      </w:r>
      <w:r>
        <w:rPr>
          <w:rFonts w:ascii="宋体" w:hAnsi="宋体" w:eastAsia="宋体"/>
          <w:color w:val="334155"/>
          <w:sz w:val="21"/>
        </w:rPr>
        <w:t>论文画像标签：全能型：综合能力最高</w:t>
      </w:r>
    </w:p>
    <w:p>
      <w:pPr>
        <w:spacing w:before="160" w:after="40"/>
        <w:jc w:val="center"/>
      </w:pPr>
      <w:r>
        <w:drawing>
          <wp:inline xmlns:a="http://schemas.openxmlformats.org/drawingml/2006/main" xmlns:pic="http://schemas.openxmlformats.org/drawingml/2006/picture">
            <wp:extent cx="5303520" cy="2651760"/>
            <wp:docPr id="13" name="Picture 13"/>
            <wp:cNvGraphicFramePr>
              <a:graphicFrameLocks noChangeAspect="1"/>
            </wp:cNvGraphicFramePr>
            <a:graphic>
              <a:graphicData uri="http://schemas.openxmlformats.org/drawingml/2006/picture">
                <pic:pic>
                  <pic:nvPicPr>
                    <pic:cNvPr id="0" name="画像图_09_全能型_韩浩_王森_中航机遇领航.png"/>
                    <pic:cNvPicPr/>
                  </pic:nvPicPr>
                  <pic:blipFill>
                    <a:blip r:embed="rId21"/>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4.1  韩浩、王森 六维画像与指标分解卡片</w:t>
      </w:r>
    </w:p>
    <w:p>
      <w:pPr>
        <w:spacing w:after="80" w:line="300" w:lineRule="auto"/>
      </w:pPr>
      <w:r>
        <w:rPr>
          <w:rFonts w:ascii="宋体" w:hAnsi="宋体" w:eastAsia="宋体"/>
          <w:b/>
          <w:color w:val="0F172A"/>
          <w:sz w:val="21"/>
        </w:rPr>
        <w:t>【实证行为诊断与论文结论验证】</w:t>
      </w:r>
      <w:r>
        <w:rPr>
          <w:rFonts w:ascii="宋体" w:hAnsi="宋体" w:eastAsia="宋体"/>
          <w:color w:val="334155"/>
          <w:sz w:val="21"/>
        </w:rPr>
        <w:t>综合能力处于全样本 99.7% 分位（第1名），六维指标全面位于 90% 以上分位（认知质量 99.2%、配置能力 93.1%、操作质量 99.4%、风险转化效率 99.2%、交易特征 92.8%）。雷达图呈现饱满正六边形，超额 Alpha 达到惊人的 +5.41%，年化收益率 65.41%。完美证明了多维协同行为是持续创造顶尖阿尔法的最强支撑。</w:t>
      </w:r>
    </w:p>
    <w:p>
      <w:pPr>
        <w:spacing w:before="200" w:after="80"/>
      </w:pPr>
      <w:r>
        <w:rPr>
          <w:rFonts w:ascii="黑体" w:hAnsi="黑体" w:eastAsia="黑体"/>
          <w:b/>
          <w:color w:val="1E40AF"/>
          <w:sz w:val="24"/>
        </w:rPr>
        <w:t>4.2 郑希 · 易方达信息产业混合C (019018)</w:t>
      </w:r>
    </w:p>
    <w:p>
      <w:pPr>
        <w:spacing w:after="80" w:line="300" w:lineRule="auto"/>
      </w:pPr>
      <w:r>
        <w:rPr>
          <w:rFonts w:ascii="宋体" w:hAnsi="宋体" w:eastAsia="宋体"/>
          <w:b/>
          <w:color w:val="0F172A"/>
          <w:sz w:val="21"/>
        </w:rPr>
        <w:t>【论文分类】</w:t>
      </w:r>
      <w:r>
        <w:rPr>
          <w:rFonts w:ascii="宋体" w:hAnsi="宋体" w:eastAsia="宋体"/>
          <w:color w:val="334155"/>
          <w:sz w:val="21"/>
        </w:rPr>
        <w:t>论文画像标签：风险定价型：风险转化效率最高</w:t>
      </w:r>
    </w:p>
    <w:p>
      <w:pPr>
        <w:spacing w:before="160" w:after="40"/>
        <w:jc w:val="center"/>
      </w:pPr>
      <w:r>
        <w:drawing>
          <wp:inline xmlns:a="http://schemas.openxmlformats.org/drawingml/2006/main" xmlns:pic="http://schemas.openxmlformats.org/drawingml/2006/picture">
            <wp:extent cx="5303520" cy="2651760"/>
            <wp:docPr id="14" name="Picture 14"/>
            <wp:cNvGraphicFramePr>
              <a:graphicFrameLocks noChangeAspect="1"/>
            </wp:cNvGraphicFramePr>
            <a:graphic>
              <a:graphicData uri="http://schemas.openxmlformats.org/drawingml/2006/picture">
                <pic:pic>
                  <pic:nvPicPr>
                    <pic:cNvPr id="0" name="画像图_10_风险定价型_郑希_易方达信息产业.png"/>
                    <pic:cNvPicPr/>
                  </pic:nvPicPr>
                  <pic:blipFill>
                    <a:blip r:embed="rId22"/>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4.2  郑希 六维画像与指标分解卡片</w:t>
      </w:r>
    </w:p>
    <w:p>
      <w:pPr>
        <w:spacing w:after="80" w:line="300" w:lineRule="auto"/>
      </w:pPr>
      <w:r>
        <w:rPr>
          <w:rFonts w:ascii="宋体" w:hAnsi="宋体" w:eastAsia="宋体"/>
          <w:b/>
          <w:color w:val="0F172A"/>
          <w:sz w:val="21"/>
        </w:rPr>
        <w:t>【实证行为诊断与论文结论验证】</w:t>
      </w:r>
      <w:r>
        <w:rPr>
          <w:rFonts w:ascii="宋体" w:hAnsi="宋体" w:eastAsia="宋体"/>
          <w:color w:val="334155"/>
          <w:sz w:val="21"/>
        </w:rPr>
        <w:t>风险转化效率处于全样本 99.7% 分位，MPPM 动量与夏普比率极其突出，超额 Alpha 达 +3.31%，年化收益 57.80%。在科技成长领域展现了极其卓越的风险补偿定价能力。</w:t>
      </w:r>
    </w:p>
    <w:p>
      <w:pPr>
        <w:spacing w:before="200" w:after="80"/>
      </w:pPr>
      <w:r>
        <w:rPr>
          <w:rFonts w:ascii="黑体" w:hAnsi="黑体" w:eastAsia="黑体"/>
          <w:b/>
          <w:color w:val="1E40AF"/>
          <w:sz w:val="24"/>
        </w:rPr>
        <w:t>4.3 严凯 · 东方惠新灵活配置混合C (002163)</w:t>
      </w:r>
    </w:p>
    <w:p>
      <w:pPr>
        <w:spacing w:after="80" w:line="300" w:lineRule="auto"/>
      </w:pPr>
      <w:r>
        <w:rPr>
          <w:rFonts w:ascii="宋体" w:hAnsi="宋体" w:eastAsia="宋体"/>
          <w:b/>
          <w:color w:val="0F172A"/>
          <w:sz w:val="21"/>
        </w:rPr>
        <w:t>【论文分类】</w:t>
      </w:r>
      <w:r>
        <w:rPr>
          <w:rFonts w:ascii="宋体" w:hAnsi="宋体" w:eastAsia="宋体"/>
          <w:color w:val="334155"/>
          <w:sz w:val="21"/>
        </w:rPr>
        <w:t>论文画像标签：认知纪律型：认知质量最高</w:t>
      </w:r>
    </w:p>
    <w:p>
      <w:pPr>
        <w:spacing w:before="160" w:after="40"/>
        <w:jc w:val="center"/>
      </w:pPr>
      <w:r>
        <w:drawing>
          <wp:inline xmlns:a="http://schemas.openxmlformats.org/drawingml/2006/main" xmlns:pic="http://schemas.openxmlformats.org/drawingml/2006/picture">
            <wp:extent cx="5303520" cy="2651760"/>
            <wp:docPr id="15" name="Picture 15"/>
            <wp:cNvGraphicFramePr>
              <a:graphicFrameLocks noChangeAspect="1"/>
            </wp:cNvGraphicFramePr>
            <a:graphic>
              <a:graphicData uri="http://schemas.openxmlformats.org/drawingml/2006/picture">
                <pic:pic>
                  <pic:nvPicPr>
                    <pic:cNvPr id="0" name="画像图_11_认知纪律型_严凯_东方惠新灵活配置.png"/>
                    <pic:cNvPicPr/>
                  </pic:nvPicPr>
                  <pic:blipFill>
                    <a:blip r:embed="rId23"/>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4.3  严凯 六维画像与指标分解卡片</w:t>
      </w:r>
    </w:p>
    <w:p>
      <w:pPr>
        <w:spacing w:after="80" w:line="300" w:lineRule="auto"/>
      </w:pPr>
      <w:r>
        <w:rPr>
          <w:rFonts w:ascii="宋体" w:hAnsi="宋体" w:eastAsia="宋体"/>
          <w:b/>
          <w:color w:val="0F172A"/>
          <w:sz w:val="21"/>
        </w:rPr>
        <w:t>【实证行为诊断与论文结论验证】</w:t>
      </w:r>
      <w:r>
        <w:rPr>
          <w:rFonts w:ascii="宋体" w:hAnsi="宋体" w:eastAsia="宋体"/>
          <w:color w:val="334155"/>
          <w:sz w:val="21"/>
        </w:rPr>
        <w:t>认知质量达全样本 99.7% 分位（极低过度自信与处置效应偏差），但其操作质量仅 1.4% 分位，综合能力排 59.4%。“认知端正但执行薄弱”难以有效转化业绩，印证了单一维度的局限性。</w:t>
      </w:r>
    </w:p>
    <w:p>
      <w:pPr>
        <w:spacing w:before="200" w:after="80"/>
      </w:pPr>
      <w:r>
        <w:rPr>
          <w:rFonts w:ascii="黑体" w:hAnsi="黑体" w:eastAsia="黑体"/>
          <w:b/>
          <w:color w:val="1E40AF"/>
          <w:sz w:val="24"/>
        </w:rPr>
        <w:t>4.4 童昌希 · 信澳业绩驱动混合C (016371)</w:t>
      </w:r>
    </w:p>
    <w:p>
      <w:pPr>
        <w:spacing w:after="80" w:line="300" w:lineRule="auto"/>
      </w:pPr>
      <w:r>
        <w:rPr>
          <w:rFonts w:ascii="宋体" w:hAnsi="宋体" w:eastAsia="宋体"/>
          <w:b/>
          <w:color w:val="0F172A"/>
          <w:sz w:val="21"/>
        </w:rPr>
        <w:t>【论文分类】</w:t>
      </w:r>
      <w:r>
        <w:rPr>
          <w:rFonts w:ascii="宋体" w:hAnsi="宋体" w:eastAsia="宋体"/>
          <w:color w:val="334155"/>
          <w:sz w:val="21"/>
        </w:rPr>
        <w:t>论文画像标签：攻守转换型：操作质量最高</w:t>
      </w:r>
    </w:p>
    <w:p>
      <w:pPr>
        <w:spacing w:before="160" w:after="40"/>
        <w:jc w:val="center"/>
      </w:pPr>
      <w:r>
        <w:drawing>
          <wp:inline xmlns:a="http://schemas.openxmlformats.org/drawingml/2006/main" xmlns:pic="http://schemas.openxmlformats.org/drawingml/2006/picture">
            <wp:extent cx="5303520" cy="2651760"/>
            <wp:docPr id="16" name="Picture 16"/>
            <wp:cNvGraphicFramePr>
              <a:graphicFrameLocks noChangeAspect="1"/>
            </wp:cNvGraphicFramePr>
            <a:graphic>
              <a:graphicData uri="http://schemas.openxmlformats.org/drawingml/2006/picture">
                <pic:pic>
                  <pic:nvPicPr>
                    <pic:cNvPr id="0" name="画像图_12_攻守转换型_童昌希_信澳业绩驱动.png"/>
                    <pic:cNvPicPr/>
                  </pic:nvPicPr>
                  <pic:blipFill>
                    <a:blip r:embed="rId24"/>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4.4  童昌希 六维画像与指标分解卡片</w:t>
      </w:r>
    </w:p>
    <w:p>
      <w:pPr>
        <w:spacing w:after="80" w:line="300" w:lineRule="auto"/>
      </w:pPr>
      <w:r>
        <w:rPr>
          <w:rFonts w:ascii="宋体" w:hAnsi="宋体" w:eastAsia="宋体"/>
          <w:b/>
          <w:color w:val="0F172A"/>
          <w:sz w:val="21"/>
        </w:rPr>
        <w:t>【实证行为诊断与论文结论验证】</w:t>
      </w:r>
      <w:r>
        <w:rPr>
          <w:rFonts w:ascii="宋体" w:hAnsi="宋体" w:eastAsia="宋体"/>
          <w:color w:val="334155"/>
          <w:sz w:val="21"/>
        </w:rPr>
        <w:t>操作质量达 99.2% 分位，ARG 报表外调仓积极、择时敏锐，但风险转化效率分位仅 0.6%，体现为“调仓积极但转化低效”，单一维度的极端应对难以避免转化损耗。</w:t>
      </w:r>
    </w:p>
    <w:p>
      <w:pPr>
        <w:spacing w:before="200" w:after="80"/>
      </w:pPr>
      <w:r>
        <w:rPr>
          <w:rFonts w:ascii="黑体" w:hAnsi="黑体" w:eastAsia="黑体"/>
          <w:b/>
          <w:color w:val="1E40AF"/>
          <w:sz w:val="24"/>
        </w:rPr>
        <w:t>4.5 Yi Xie、周建胜 · 诺德兴新趋势混合A (016772)</w:t>
      </w:r>
    </w:p>
    <w:p>
      <w:pPr>
        <w:spacing w:after="80" w:line="300" w:lineRule="auto"/>
      </w:pPr>
      <w:r>
        <w:rPr>
          <w:rFonts w:ascii="宋体" w:hAnsi="宋体" w:eastAsia="宋体"/>
          <w:b/>
          <w:color w:val="0F172A"/>
          <w:sz w:val="21"/>
        </w:rPr>
        <w:t>【论文分类】</w:t>
      </w:r>
      <w:r>
        <w:rPr>
          <w:rFonts w:ascii="宋体" w:hAnsi="宋体" w:eastAsia="宋体"/>
          <w:color w:val="334155"/>
          <w:sz w:val="21"/>
        </w:rPr>
        <w:t>论文画像标签：基本面优势型：背景条件最高</w:t>
      </w:r>
    </w:p>
    <w:p>
      <w:pPr>
        <w:spacing w:before="160" w:after="40"/>
        <w:jc w:val="center"/>
      </w:pPr>
      <w:r>
        <w:drawing>
          <wp:inline xmlns:a="http://schemas.openxmlformats.org/drawingml/2006/main" xmlns:pic="http://schemas.openxmlformats.org/drawingml/2006/picture">
            <wp:extent cx="5303520" cy="2651760"/>
            <wp:docPr id="17" name="Picture 17"/>
            <wp:cNvGraphicFramePr>
              <a:graphicFrameLocks noChangeAspect="1"/>
            </wp:cNvGraphicFramePr>
            <a:graphic>
              <a:graphicData uri="http://schemas.openxmlformats.org/drawingml/2006/picture">
                <pic:pic>
                  <pic:nvPicPr>
                    <pic:cNvPr id="0" name="画像图_13_基本面优势型_YiXie_周建胜_诺德兴新趋势.png"/>
                    <pic:cNvPicPr/>
                  </pic:nvPicPr>
                  <pic:blipFill>
                    <a:blip r:embed="rId25"/>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4.5  Yi Xie、周建胜 六维画像与指标分解卡片</w:t>
      </w:r>
    </w:p>
    <w:p>
      <w:pPr>
        <w:spacing w:after="80" w:line="300" w:lineRule="auto"/>
      </w:pPr>
      <w:r>
        <w:rPr>
          <w:rFonts w:ascii="宋体" w:hAnsi="宋体" w:eastAsia="宋体"/>
          <w:b/>
          <w:color w:val="0F172A"/>
          <w:sz w:val="21"/>
        </w:rPr>
        <w:t>【实证行为诊断与论文结论验证】</w:t>
      </w:r>
      <w:r>
        <w:rPr>
          <w:rFonts w:ascii="宋体" w:hAnsi="宋体" w:eastAsia="宋体"/>
          <w:color w:val="334155"/>
          <w:sz w:val="21"/>
        </w:rPr>
        <w:t>背景条件处于 99.7% 分位（成立年限适中、规模适度未超载），但其认知质量分位仅 0.6%、风险转化效率仅 2.2%，超额 Alpha 为负（-0.83%）。这成为论文反驳“背景条件标签论”的最有力证据：背景物理条件优渥不代表主动管理能力本身。</w:t>
      </w:r>
    </w:p>
    <w:p>
      <w:pPr>
        <w:spacing w:before="200" w:after="80"/>
      </w:pPr>
      <w:r>
        <w:rPr>
          <w:rFonts w:ascii="黑体" w:hAnsi="黑体" w:eastAsia="黑体"/>
          <w:b/>
          <w:color w:val="1E40AF"/>
          <w:sz w:val="24"/>
        </w:rPr>
        <w:t>4.6 杨明 · 华安策略优选混合A (040008)</w:t>
      </w:r>
    </w:p>
    <w:p>
      <w:pPr>
        <w:spacing w:after="80" w:line="300" w:lineRule="auto"/>
      </w:pPr>
      <w:r>
        <w:rPr>
          <w:rFonts w:ascii="宋体" w:hAnsi="宋体" w:eastAsia="宋体"/>
          <w:b/>
          <w:color w:val="0F172A"/>
          <w:sz w:val="21"/>
        </w:rPr>
        <w:t>【论文分类】</w:t>
      </w:r>
      <w:r>
        <w:rPr>
          <w:rFonts w:ascii="宋体" w:hAnsi="宋体" w:eastAsia="宋体"/>
          <w:color w:val="334155"/>
          <w:sz w:val="21"/>
        </w:rPr>
        <w:t>论文画像标签：反例：综合能力最低</w:t>
      </w:r>
    </w:p>
    <w:p>
      <w:pPr>
        <w:spacing w:before="160" w:after="40"/>
        <w:jc w:val="center"/>
      </w:pPr>
      <w:r>
        <w:drawing>
          <wp:inline xmlns:a="http://schemas.openxmlformats.org/drawingml/2006/main" xmlns:pic="http://schemas.openxmlformats.org/drawingml/2006/picture">
            <wp:extent cx="5303520" cy="2651760"/>
            <wp:docPr id="18" name="Picture 18"/>
            <wp:cNvGraphicFramePr>
              <a:graphicFrameLocks noChangeAspect="1"/>
            </wp:cNvGraphicFramePr>
            <a:graphic>
              <a:graphicData uri="http://schemas.openxmlformats.org/drawingml/2006/picture">
                <pic:pic>
                  <pic:nvPicPr>
                    <pic:cNvPr id="0" name="画像图_14_反例_杨明_华安策略优选.png"/>
                    <pic:cNvPicPr/>
                  </pic:nvPicPr>
                  <pic:blipFill>
                    <a:blip r:embed="rId26"/>
                    <a:stretch>
                      <a:fillRect/>
                    </a:stretch>
                  </pic:blipFill>
                  <pic:spPr>
                    <a:xfrm>
                      <a:off x="0" y="0"/>
                      <a:ext cx="5303520" cy="2651760"/>
                    </a:xfrm>
                    <a:prstGeom prst="rect"/>
                  </pic:spPr>
                </pic:pic>
              </a:graphicData>
            </a:graphic>
          </wp:inline>
        </w:drawing>
      </w:r>
    </w:p>
    <w:p>
      <w:pPr>
        <w:spacing w:after="160"/>
        <w:jc w:val="center"/>
      </w:pPr>
      <w:r>
        <w:rPr>
          <w:rFonts w:ascii="楷体" w:hAnsi="楷体" w:eastAsia="楷体"/>
          <w:color w:val="64748B"/>
          <w:sz w:val="18"/>
        </w:rPr>
        <w:t>图 4.6  杨明 六维画像与指标分解卡片</w:t>
      </w:r>
    </w:p>
    <w:p>
      <w:pPr>
        <w:spacing w:after="80" w:line="300" w:lineRule="auto"/>
      </w:pPr>
      <w:r>
        <w:rPr>
          <w:rFonts w:ascii="宋体" w:hAnsi="宋体" w:eastAsia="宋体"/>
          <w:b/>
          <w:color w:val="0F172A"/>
          <w:sz w:val="21"/>
        </w:rPr>
        <w:t>【实证行为诊断与论文结论验证】</w:t>
      </w:r>
      <w:r>
        <w:rPr>
          <w:rFonts w:ascii="宋体" w:hAnsi="宋体" w:eastAsia="宋体"/>
          <w:color w:val="334155"/>
          <w:sz w:val="21"/>
        </w:rPr>
        <w:t>综合能力处于全样本 0.0% 分位（全样本最低）。在五大维度全面处于 1%~20% 极低区间（背景条件 1.1%、配置能力 3.3%、操作质量 9.9%、风险转化效率 20.4%、交易特征 11.6%），仅认知质量维度相对突出（79.3%）。超额 Alpha 为 -0.36%。雷达图单角外凸、主体萎缩，成为“行为优势是多维协同而非单兵突进”的最鲜明注脚。</w:t>
      </w:r>
    </w:p>
    <w:p>
      <w:pPr>
        <w:spacing w:before="280" w:after="120"/>
      </w:pPr>
      <w:r>
        <w:rPr>
          <w:rFonts w:ascii="黑体" w:hAnsi="黑体" w:eastAsia="黑体"/>
          <w:b/>
          <w:color w:val="0F172A"/>
          <w:sz w:val="28"/>
        </w:rPr>
        <w:t>五、核心实证启示与机构 FOF 配置方案</w:t>
      </w:r>
    </w:p>
    <w:p>
      <w:pPr>
        <w:spacing w:after="80" w:line="300" w:lineRule="auto"/>
      </w:pPr>
      <w:r>
        <w:rPr>
          <w:rFonts w:ascii="宋体" w:hAnsi="宋体" w:eastAsia="宋体"/>
          <w:b/>
          <w:color w:val="0F172A"/>
          <w:sz w:val="21"/>
        </w:rPr>
        <w:t>启示一：</w:t>
      </w:r>
      <w:r>
        <w:rPr>
          <w:rFonts w:ascii="宋体" w:hAnsi="宋体" w:eastAsia="宋体"/>
          <w:color w:val="334155"/>
          <w:sz w:val="21"/>
        </w:rPr>
        <w:t>1. 穿透单一标签迷思：背景条件优越（如诺德兴新趋势）无法替代投资能力，单一维度做到极致（如认知极高但操作应对缺失的东方惠新）同样难以输出持续超额。持续高阿尔法必须建立在多维行为协同的基础之上。</w:t>
      </w:r>
    </w:p>
    <w:p>
      <w:pPr>
        <w:spacing w:after="80" w:line="300" w:lineRule="auto"/>
      </w:pPr>
      <w:r>
        <w:rPr>
          <w:rFonts w:ascii="宋体" w:hAnsi="宋体" w:eastAsia="宋体"/>
          <w:b/>
          <w:color w:val="0F172A"/>
          <w:sz w:val="21"/>
        </w:rPr>
        <w:t>启示二：</w:t>
      </w:r>
      <w:r>
        <w:rPr>
          <w:rFonts w:ascii="宋体" w:hAnsi="宋体" w:eastAsia="宋体"/>
          <w:color w:val="334155"/>
          <w:sz w:val="21"/>
        </w:rPr>
        <w:t>2. 重估顶流经理与全球大师的纯行为价值：朱少醒、张坤、刘彦春等顶流经理以及巴菲特、段永平等全球大师的纯行为能力依然稳居全市场顶峰，其综合得分受到压制主要源于数百亿、甚至上千亿级资金管理下的物理摩擦。机构应区分‘能力衰竭’与‘规模摩擦’，采取限制申购、分设子策略或定制专户等方式释放其纯行为潜能。</w:t>
      </w:r>
    </w:p>
    <w:p>
      <w:pPr>
        <w:spacing w:after="80" w:line="300" w:lineRule="auto"/>
      </w:pPr>
      <w:r>
        <w:rPr>
          <w:rFonts w:ascii="宋体" w:hAnsi="宋体" w:eastAsia="宋体"/>
          <w:b/>
          <w:color w:val="0F172A"/>
          <w:sz w:val="21"/>
        </w:rPr>
        <w:t>启示三：</w:t>
      </w:r>
      <w:r>
        <w:rPr>
          <w:rFonts w:ascii="宋体" w:hAnsi="宋体" w:eastAsia="宋体"/>
          <w:color w:val="334155"/>
          <w:sz w:val="21"/>
        </w:rPr>
        <w:t>3. 基于雷达形状构建‘全天候行为互补组合’：在资产配置中，可将‘终极商业价值/全能型/均衡型’（如段永平大道资产、朱少醒、谢治宇）作为 60% 稳健长青底仓，搭配 20% ‘高配置锐器’（如葛兰、蔡嵩松）以及 20% ‘高风险转化效率/定价型’经理（如郑希），在控制回撤的同时充分捕捉行业轮动收益。</w:t>
      </w:r>
    </w:p>
    <w:p>
      <w:pPr>
        <w:spacing w:before="280" w:after="120"/>
      </w:pPr>
      <w:r>
        <w:rPr>
          <w:rFonts w:ascii="黑体" w:hAnsi="黑体" w:eastAsia="黑体"/>
          <w:b/>
          <w:color w:val="0F172A"/>
          <w:sz w:val="28"/>
        </w:rPr>
        <w:t>六、交付数据与文件资产全景导引</w:t>
      </w:r>
    </w:p>
    <w:p>
      <w:pPr>
        <w:spacing w:after="80" w:line="300" w:lineRule="auto"/>
      </w:pPr>
      <w:r>
        <w:rPr>
          <w:rFonts w:ascii="宋体" w:hAnsi="宋体" w:eastAsia="宋体"/>
          <w:color w:val="334155"/>
          <w:sz w:val="21"/>
        </w:rPr>
        <w:t>本研究所涉及的所有代码、图表、结构化数据与全时序底层净值已分类归档于专属目录：</w:t>
      </w:r>
    </w:p>
    <w:p>
      <w:pPr>
        <w:spacing w:after="80" w:line="300" w:lineRule="auto"/>
      </w:pPr>
      <w:r>
        <w:rPr>
          <w:rFonts w:ascii="宋体" w:hAnsi="宋体" w:eastAsia="宋体"/>
          <w:b/>
          <w:color w:val="0F172A"/>
          <w:sz w:val="21"/>
        </w:rPr>
        <w:t>【底层时序】</w:t>
      </w:r>
      <w:r>
        <w:rPr>
          <w:rFonts w:ascii="宋体" w:hAnsi="宋体" w:eastAsia="宋体"/>
          <w:color w:val="334155"/>
          <w:sz w:val="21"/>
        </w:rPr>
        <w:t>1. 净值与季度收益时序目录（包含国内 12 只公募基金、巴菲特 BRK.A 全历史日频 11,284 条记录与 187 季度时序、彼得·林奇麦哲伦基金全周期时序，以及段永平大道投资 2001-2026 年 25 年年度业绩表、103 季度时序 CSV、2,264 条日频时序 CSV）。</w:t>
      </w:r>
    </w:p>
    <w:p>
      <w:pPr>
        <w:spacing w:after="80" w:line="300" w:lineRule="auto"/>
      </w:pPr>
      <w:r>
        <w:rPr>
          <w:rFonts w:ascii="宋体" w:hAnsi="宋体" w:eastAsia="宋体"/>
          <w:b/>
          <w:color w:val="0F172A"/>
          <w:sz w:val="21"/>
        </w:rPr>
        <w:t>【结构化总表】</w:t>
      </w:r>
      <w:r>
        <w:rPr>
          <w:rFonts w:ascii="宋体" w:hAnsi="宋体" w:eastAsia="宋体"/>
          <w:color w:val="334155"/>
          <w:sz w:val="21"/>
        </w:rPr>
        <w:t>2. 结构化数据汇总表目录（包含全量 15 位经理公式测算总表、典型经理指标明细表、段永平全量投资与行为数据集、巴菲特 60 年年度业绩对照表与 13F 持仓表、彼得林奇业绩表等 Excel 与 CSV）。</w:t>
      </w:r>
    </w:p>
    <w:p>
      <w:pPr>
        <w:spacing w:after="80" w:line="300" w:lineRule="auto"/>
      </w:pPr>
      <w:r>
        <w:rPr>
          <w:rFonts w:ascii="宋体" w:hAnsi="宋体" w:eastAsia="宋体"/>
          <w:b/>
          <w:color w:val="0F172A"/>
          <w:sz w:val="21"/>
        </w:rPr>
        <w:t>【高清图集】</w:t>
      </w:r>
      <w:r>
        <w:rPr>
          <w:rFonts w:ascii="宋体" w:hAnsi="宋体" w:eastAsia="宋体"/>
          <w:color w:val="334155"/>
          <w:sz w:val="21"/>
        </w:rPr>
        <w:t>3. 独立画像图目录（包含 3 幅全景/合辑高清大图及 15 幅 300 DPI 独立单人能力分解卡片 PNG，含段永平画像图_15）。</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