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color w:val="1E3A8A"/>
          <w:sz w:val="40"/>
        </w:rPr>
        <w:t>基金经理行为画像体系：计算规则与取数方法技术指南</w:t>
      </w:r>
    </w:p>
    <w:p>
      <w:pPr>
        <w:spacing w:after="360"/>
        <w:jc w:val="center"/>
      </w:pPr>
      <w:r>
        <w:rPr>
          <w:rFonts w:ascii="楷体" w:hAnsi="楷体" w:eastAsia="楷体"/>
          <w:color w:val="64748B"/>
          <w:sz w:val="21"/>
        </w:rPr>
        <w:t>最新六维复合能力画像框架（L1 背景条件、L2 认知质量、L3 配置能力、L4 操作质量、L5 风险转化效率、L6 交易特征）· 16 项核心行为指标定义、362 只存续基准参数、取数管道与公式重算规范</w:t>
      </w:r>
    </w:p>
    <w:p>
      <w:pPr>
        <w:spacing w:before="280" w:after="120"/>
      </w:pPr>
      <w:r>
        <w:rPr>
          <w:rFonts w:ascii="黑体" w:hAnsi="黑体" w:eastAsia="黑体"/>
          <w:b/>
          <w:color w:val="0F172A"/>
          <w:sz w:val="28"/>
        </w:rPr>
        <w:t>一、理论架构与六维画像体系总览</w:t>
      </w:r>
    </w:p>
    <w:p>
      <w:pPr>
        <w:spacing w:after="80" w:line="300" w:lineRule="auto"/>
      </w:pPr>
      <w:r>
        <w:rPr>
          <w:rFonts w:ascii="宋体" w:hAnsi="宋体" w:eastAsia="宋体"/>
          <w:color w:val="334155"/>
          <w:sz w:val="21"/>
        </w:rPr>
        <w:t>本体系对接微观金融计量与行为金融学经典文献，将基金经理的主动投资行为结构化拆解为六个递进的能力层级（L1 背景条件、L2 认知质量、L3 配置能力、L4 操作质量、L5 风险转化效率、L6 交易特征）。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【层级定义】</w:t>
      </w:r>
      <w:r>
        <w:rPr>
          <w:rFonts w:ascii="宋体" w:hAnsi="宋体" w:eastAsia="宋体"/>
          <w:color w:val="334155"/>
          <w:sz w:val="21"/>
        </w:rPr>
        <w:t>1. L1 背景条件（物理边界）：度量管理年限、产品存续期与资产规模（AUM）。大资金规模引发流动性冲击与摩擦成本，构成外生物理约束（负向惩罚）。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【层级定义】</w:t>
      </w:r>
      <w:r>
        <w:rPr>
          <w:rFonts w:ascii="宋体" w:hAnsi="宋体" w:eastAsia="宋体"/>
          <w:color w:val="334155"/>
          <w:sz w:val="21"/>
        </w:rPr>
        <w:t>2. L2 认知质量（心理决策）：度量是否存在处置效应（DE）、过度自信（oc_conf）、高点动量选股（anchor_high）以及盈亏波动不对称（risk_asym）。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【层级定义】</w:t>
      </w:r>
      <w:r>
        <w:rPr>
          <w:rFonts w:ascii="宋体" w:hAnsi="宋体" w:eastAsia="宋体"/>
          <w:color w:val="334155"/>
          <w:sz w:val="21"/>
        </w:rPr>
        <w:t>3. L3 配置能力（资产配置）：度量行业集中押注纯度（ICI）与宏观风格稳定性（ISDI，低漂移）。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【层级定义】</w:t>
      </w:r>
      <w:r>
        <w:rPr>
          <w:rFonts w:ascii="宋体" w:hAnsi="宋体" w:eastAsia="宋体"/>
          <w:color w:val="334155"/>
          <w:sz w:val="21"/>
        </w:rPr>
        <w:t>4. L4 操作质量（过程应对）：度量定期报告之外的非公开调仓活跃度（ARG）以及暴跌期间的下行避险防守（timing）。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【层级定义】</w:t>
      </w:r>
      <w:r>
        <w:rPr>
          <w:rFonts w:ascii="宋体" w:hAnsi="宋体" w:eastAsia="宋体"/>
          <w:color w:val="334155"/>
          <w:sz w:val="21"/>
        </w:rPr>
        <w:t>5. L5 风险转化效率（产出效用）：度量单位风险创造超额效用的能力（Sharpe、Sortino、Goetzmann 抗操纵测度 MPPM）。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【层级定义】</w:t>
      </w:r>
      <w:r>
        <w:rPr>
          <w:rFonts w:ascii="宋体" w:hAnsi="宋体" w:eastAsia="宋体"/>
          <w:color w:val="334155"/>
          <w:sz w:val="21"/>
        </w:rPr>
        <w:t>6. L6 交易特征（策略执行）：度量投资理念的自洽稳定性（低 SDI 风格漂移）与逆向独立性（反羊群交易趋同 lsv）。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【创新解耦】</w:t>
      </w:r>
      <w:r>
        <w:rPr>
          <w:rFonts w:ascii="宋体" w:hAnsi="宋体" w:eastAsia="宋体"/>
          <w:color w:val="334155"/>
          <w:sz w:val="21"/>
        </w:rPr>
        <w:t>7. 解耦机制与规模约束压制差（Scale Drag）：创造性提出了‘纯行为五维分位（L2~L6）’与‘全六维综合分位’双轨评价，其差值 Scale Drag = Pct_5D - Pct_6D 揭示了顶流经理与全球大师（如巴菲特、段永平）纯行为阿尔法与物理规模不经济天花板之间的制度性张力。</w:t>
      </w:r>
    </w:p>
    <w:p>
      <w:pPr>
        <w:spacing w:before="280" w:after="120"/>
      </w:pPr>
      <w:r>
        <w:rPr>
          <w:rFonts w:ascii="黑体" w:hAnsi="黑体" w:eastAsia="黑体"/>
          <w:b/>
          <w:color w:val="0F172A"/>
          <w:sz w:val="28"/>
        </w:rPr>
        <w:t>二、全套底层取数方法与数据源规程</w:t>
      </w:r>
    </w:p>
    <w:p>
      <w:pPr>
        <w:spacing w:after="80" w:line="300" w:lineRule="auto"/>
      </w:pPr>
      <w:r>
        <w:rPr>
          <w:rFonts w:ascii="宋体" w:hAnsi="宋体" w:eastAsia="宋体"/>
          <w:color w:val="334155"/>
          <w:sz w:val="21"/>
        </w:rPr>
        <w:t>数据流水线采用离线清洗、多源校验、严格消除前瞻偏差的规程，底层数据源涵盖：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【数据源一】</w:t>
      </w:r>
      <w:r>
        <w:rPr>
          <w:rFonts w:ascii="宋体" w:hAnsi="宋体" w:eastAsia="宋体"/>
          <w:color w:val="334155"/>
          <w:sz w:val="21"/>
        </w:rPr>
        <w:t>1. Wind 资讯金融终端（万得 / Wind EDE）：提取基金全历史复权单位净值、基金经理任职变动史、季度规模（AUM）、单边年化换手率长表（双侧 1%/99% 缩尾）、申万一级 31 个行业分类标准。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【数据源二】</w:t>
      </w:r>
      <w:r>
        <w:rPr>
          <w:rFonts w:ascii="宋体" w:hAnsi="宋体" w:eastAsia="宋体"/>
          <w:color w:val="334155"/>
          <w:sz w:val="21"/>
        </w:rPr>
        <w:t>2. CSMAR（国泰安）与交易所法定披露：提取 A 股日频行情、个股基本面、无风险利率（Rf）、公募基金季度前十大重仓与半年度/年度 100% 全量持仓股票池。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【数据源三】</w:t>
      </w:r>
      <w:r>
        <w:rPr>
          <w:rFonts w:ascii="宋体" w:hAnsi="宋体" w:eastAsia="宋体"/>
          <w:color w:val="334155"/>
          <w:sz w:val="21"/>
        </w:rPr>
        <w:t>3. BetaPlus 因子研究库与基准资产：提取中国市场 Fama-French 五因子（MKT, SMB, HML, RMW, CMA）及动量因子（MOM），构建沪深 300 流通市值权重与中证 500 等权归一的全市场基准。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【数据源四】</w:t>
      </w:r>
      <w:r>
        <w:rPr>
          <w:rFonts w:ascii="宋体" w:hAnsi="宋体" w:eastAsia="宋体"/>
          <w:color w:val="334155"/>
          <w:sz w:val="21"/>
        </w:rPr>
        <w:t>4. 美国 SEC EDGAR 监管数据库：提取伯克希尔·哈撒韦 Form 13F / 10-K（CIK: 0001067983）及段永平 H&amp;H International Investment Form 13F-HR（CIK: 0001799282），穿透获取百亿美元级核心美股持仓明细。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【对齐清洗】</w:t>
      </w:r>
      <w:r>
        <w:rPr>
          <w:rFonts w:ascii="宋体" w:hAnsi="宋体" w:eastAsia="宋体"/>
          <w:color w:val="334155"/>
          <w:sz w:val="21"/>
        </w:rPr>
        <w:t>5. 报告期时间对齐约定（消除前瞻偏差）：主分析面板统一执行 report_date = 季度末 + 1 天（如 3/31 报告期对齐至 4/1 生效），杜绝未来数据泄露；未结束的残缺季度自动剔除；准入门槛锁定存续不少于 12 个季度的 362 只主动权益样本。</w:t>
      </w:r>
    </w:p>
    <w:p>
      <w:pPr>
        <w:spacing w:before="280" w:after="120"/>
      </w:pPr>
      <w:r>
        <w:rPr>
          <w:rFonts w:ascii="黑体" w:hAnsi="黑体" w:eastAsia="黑体"/>
          <w:b/>
          <w:color w:val="0F172A"/>
          <w:sz w:val="28"/>
        </w:rPr>
        <w:t>三、16 项核心行为指标计算规则与代码实现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1.1 任职年限 (mgr_total_tenure_v2)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所属维度：L1 背景条件 ｜ 理论符号方向：负向惩罚(-1)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Chevalier &amp; Ellison (1999, QJE) Career Concerns of Mutual Fund Managers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Tenure = (report_date - career_start_date) / 365.25 (折算为年)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def calc_manager_tenure(skeleton):</w:t>
        <w:br/>
        <w:t xml:space="preserve">    active['tenure_days'] = (active['rd'] - active['hist_start']).dt.days</w:t>
        <w:br/>
        <w:t xml:space="preserve">    return active['tenure_days'] / 365.25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1.2 基金年龄 (log_fund_age)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所属维度：L1 背景条件 ｜ 理论符号方向：负向惩罚(-1)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Berk &amp; Green (2004, JPE) Mutual Fund Flows and Performance in Rational Markets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log_fund_age = ln((report_date - inception_date) / 365.25 + 1.0)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def calc_fund_age(skeleton):</w:t>
        <w:br/>
        <w:t xml:space="preserve">    yrs = (pd.to_datetime(skeleton['report_date']) - skeleton['inception_date']).dt.days / 365.25</w:t>
        <w:br/>
        <w:t xml:space="preserve">    return np.log(np.maximum(yrs, 0.1))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1.3 基金规模 (log_aum)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所属维度：L1 背景条件 ｜ 理论符号方向：负向惩罚(-1)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Chen et al. (2004, AER) Does Fund Size Erode Mutual Fund Performance?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log_aum = ln(Average Net Asset) (以亿元为单位取自然对数)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def calc_avg_aum():</w:t>
        <w:br/>
        <w:t xml:space="preserve">    return np.log(np.maximum(avg_aum, 0.01))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2.1 风险偏好不对称 (risk_asym)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所属维度：L2 认知质量 ｜ 理论符号方向：正向强化(+1)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Kahneman &amp; Tversky (1979); Ang et al. (2006, RFS)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risk_asym = sigma^+(盈利季波动率) - sigma^-(亏损季波动率) (滚动8季度)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def calc_risk_asym(window=8):</w:t>
        <w:br/>
        <w:t xml:space="preserve">    gain = seg[seg &gt; 0]; loss = seg[seg &lt;= 0]</w:t>
        <w:br/>
        <w:t xml:space="preserve">    return gain.std() - loss.std()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2.2 处置效应 (de)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所属维度：L2 认知质量 ｜ 理论符号方向：负向惩罚(-1)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Shefrin &amp; Statman (1985); Odean (1998, JF); Frazzini (2006, JF)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DE = PGR - PLR = [实现盈利/(实现盈利+浮盈持有)] - [实现亏损/(实现亏损+浮亏持有)]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def calc_de(only_612=True):</w:t>
        <w:br/>
        <w:t xml:space="preserve">    pgr = gains_sold / (gains_sold + gains_held)</w:t>
        <w:br/>
        <w:t xml:space="preserve">    plr = losses_sold / (losses_sold + losses_held)</w:t>
        <w:br/>
        <w:t xml:space="preserve">    return pgr - plr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2.3 过度自信 (oc_conf)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所属维度：L2 认知质量 ｜ 理论符号方向：负向惩罚(-1)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Gervais &amp; Odean (2001, RFS); Puetz &amp; Ruenzi (2011, JBFA)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oc_conf = (TO_t - TO_{t-1}) * 1(R_{t-1} &gt; 0) (上季盈利时的换手率增量)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df['oc_conf'] = (df['TO_wind_clean'] - df['to_prev']) * (df['ret_prev'] &gt; 0).astype(float)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2.4 锚定历史高点选股 (anchor_high)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所属维度：L2 认知质量 ｜ 理论符号方向：正向强化(+1)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George &amp; Hwang (2004, JF) The 52-Week High and Momentum Investing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anchor_high = sum(w_j * [P_{j,t} / max_{3Y}(P_j)]) (持仓相对3年高点比例加权)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pos_high = current_price / rolling_36m_max_price</w:t>
        <w:br/>
        <w:t>anchor_high = (weights * pos_high).sum()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3.1 行业集中度 (ICI)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所属维度：L3 配置能力 ｜ 理论符号方向：正向强化(+1)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Kacperczyk, Sialm &amp; Zheng (2005, JF) On Industry Concentration of Funds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ICI = sum_{j=1}^{31} (w_{i,j,t} - w_bench_{j,t})^2 (申万一级行业偏离平方和)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def calc_ici():</w:t>
        <w:br/>
        <w:t xml:space="preserve">    diff = fund_ind_weight - bench_ind_weight</w:t>
        <w:br/>
        <w:t xml:space="preserve">    return (diff ** 2).groupby(['fund_code', 'report_date']).sum()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3.2 行业风格漂移 (ISDI)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所属维度：L3 配置能力 ｜ 理论符号方向：负向惩罚(-1)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Wermers (2012); Chen &amp; Wei (2025, PLoS ONE)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ISDI = sum_{k in {高,中,低Beta}} |w_{k,t} - w_{k,t-1}| (相邻季风格组曼哈顿距离)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def calc_isdi():</w:t>
        <w:br/>
        <w:t xml:space="preserve">    return (group_weights - group_weights.shift(1)).abs().sum(axis=1)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4.1 报表外调仓活跃度 (ARG)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所属维度：L4 操作质量 ｜ 理论符号方向：正向强化(+1)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Kacperczyk, Sialm &amp; Zheng (2008, RFS) Unobserved Actions of Mutual Funds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ARG = sum_{m in 季内各月} |R_{net,m} - R_{hold,m}| (披露期外波段操作绝对幅度累加)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def calc_arg():</w:t>
        <w:br/>
        <w:t xml:space="preserve">    return month_diff.abs().groupby(['fund_code', 'report_date']).sum()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4.2 下行保护避险系数 (timing)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所属维度：L4 操作质量 ｜ 理论符号方向：正向强化(+1)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Henriksson &amp; Merton (1981, JB); Treynor &amp; Mazuy (1966, HBR)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R_i - R_f = alpha + beta(R_m - R_f) + gamma * max(0, R_f - R_m) (提取gamma保护项)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# OLS: y ~ MKT + min(0, MKT)</w:t>
        <w:br/>
        <w:t># timing = - res.params['down']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5.1 抗操纵绩效测度 (mppm8_lag)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所属维度：L5 风险转化 ｜ 理论符号方向：正向强化(+1)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Goetzmann, Ingersoll, Spiegel &amp; Welch (2007, RFS) Manipulation-Proof Measures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MPPM = [1 / ((1-rho)*dt)] * ln( (1/T) * sum [ (1+R)/(1+Rf) ]^(1-rho) ), rho=3, dt=0.25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term = (1.0 + df['quarter_return']) / (1.0 + df['rf'])</w:t>
        <w:br/>
        <w:t>gm = (term ** (1 - 3.0)).rolling(8).mean()</w:t>
        <w:br/>
        <w:t>mppm8 = np.log(gm) / ((1 - 3.0) * 0.25)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5.2 索提诺比率 (sortino8_lag)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所属维度：L5 风险转化 ｜ 理论符号方向：正向强化(+1)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Sortino &amp; Price (1994, JOI); Sortino &amp; van der Meer (1991, JPM)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Sortino = (R_mean - Rf) / sqrt( (1/T) * sum min(0, R - Rf)^2 )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dn = df['ex'].where(df['ex'] &lt; 0)</w:t>
        <w:br/>
        <w:t>dd = dn.rolling(8).std()</w:t>
        <w:br/>
        <w:t>sortino8 = mean_ex / dd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5.3 夏普比率 (sharpe8_lag)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所属维度：L5 风险转化 ｜ 理论符号方向：正向强化(+1)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Sharpe (1966, JB) Mutual Fund Performance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Sharpe = (R_mean - Rf) / sigma(R)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sharpe8 = mean_ex / std_ex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6.1 策略偏离指数 (SDI)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所属维度：L6 交易特征 ｜ 理论符号方向：负向惩罚(-1)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Brown &amp; Goetzmann (1997, JF); Wermers (2012)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SDI = sum_{k=1}^4 |b_{k,t} - b_{k,t-1}| (四宫格风格回归系数相邻期变动距离)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def calc_sdi(window=8):</w:t>
        <w:br/>
        <w:t xml:space="preserve">    return (coef_df - coef_df.shift(1)).abs().sum(axis=1)</w:t>
      </w:r>
    </w:p>
    <w:p>
      <w:pPr>
        <w:spacing w:before="200" w:after="80"/>
      </w:pPr>
      <w:r>
        <w:rPr>
          <w:rFonts w:ascii="黑体" w:hAnsi="黑体" w:eastAsia="黑体"/>
          <w:b/>
          <w:color w:val="1E40AF"/>
          <w:sz w:val="24"/>
        </w:rPr>
        <w:t>6.2 交易趋同度 / 反羊群 (lsv)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【属性归属】</w:t>
      </w:r>
      <w:r>
        <w:rPr>
          <w:rFonts w:ascii="宋体" w:hAnsi="宋体" w:eastAsia="宋体"/>
          <w:color w:val="334155"/>
          <w:sz w:val="21"/>
        </w:rPr>
        <w:t>所属维度：L6 交易特征 ｜ 理论符号方向：正向强化(+1)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【文献溯源】</w:t>
      </w:r>
      <w:r>
        <w:rPr>
          <w:rFonts w:ascii="宋体" w:hAnsi="宋体" w:eastAsia="宋体"/>
          <w:color w:val="334155"/>
          <w:sz w:val="21"/>
        </w:rPr>
        <w:t>Lakonishok, Shleifer &amp; Vishny (1992, JFE); Wermers (1999, JF)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【数学定义】</w:t>
      </w:r>
      <w:r>
        <w:rPr>
          <w:rFonts w:ascii="宋体" w:hAnsi="宋体" w:eastAsia="宋体"/>
          <w:color w:val="334155"/>
          <w:sz w:val="21"/>
        </w:rPr>
        <w:t>lsv_fund = sum_j w_j * [ |p_{j,t} - p_bar_t| - AF_{j,t} ] (全市场买入趋同度持仓加权)</w:t>
      </w:r>
    </w:p>
    <w:p>
      <w:pPr>
        <w:spacing w:before="80" w:after="120"/>
        <w:ind w:left="288"/>
      </w:pPr>
      <w:r>
        <w:rPr>
          <w:rFonts w:ascii="Consolas" w:hAnsi="Consolas"/>
          <w:color w:val="0369A1"/>
          <w:sz w:val="18"/>
        </w:rPr>
        <w:t>def calc_lsv():</w:t>
        <w:br/>
        <w:t xml:space="preserve">    return (weights * stock_lsv).sum()</w:t>
      </w:r>
    </w:p>
    <w:p>
      <w:pPr>
        <w:spacing w:before="280" w:after="120"/>
      </w:pPr>
      <w:r>
        <w:rPr>
          <w:rFonts w:ascii="黑体" w:hAnsi="黑体" w:eastAsia="黑体"/>
          <w:b/>
          <w:color w:val="0F172A"/>
          <w:sz w:val="28"/>
        </w:rPr>
        <w:t>四、362 只存续基准参数与标准化得分算法</w:t>
      </w:r>
    </w:p>
    <w:p>
      <w:pPr>
        <w:spacing w:after="80" w:line="300" w:lineRule="auto"/>
      </w:pPr>
      <w:r>
        <w:rPr>
          <w:rFonts w:ascii="宋体" w:hAnsi="宋体" w:eastAsia="宋体"/>
          <w:color w:val="334155"/>
          <w:sz w:val="21"/>
        </w:rPr>
        <w:t>基于 2006Q3-2026Q2 市场存续不少于 12 个季度的 362 只主动权益样本构建基准经验分布参数库。单指标标准化得分公式：Score_i = sign_i * (X_i - mu_i) / sigma_i。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872"/>
            <w:shd w:fill="1E3A8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指标代码</w:t>
            </w:r>
          </w:p>
        </w:tc>
        <w:tc>
          <w:tcPr>
            <w:tcW w:type="dxa" w:w="1584"/>
            <w:shd w:fill="1E3A8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所属维度</w:t>
            </w:r>
          </w:p>
        </w:tc>
        <w:tc>
          <w:tcPr>
            <w:tcW w:type="dxa" w:w="864"/>
            <w:shd w:fill="1E3A8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理论方向</w:t>
            </w:r>
          </w:p>
        </w:tc>
        <w:tc>
          <w:tcPr>
            <w:tcW w:type="dxa" w:w="1296"/>
            <w:shd w:fill="1E3A8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基准均值(μ)</w:t>
            </w:r>
          </w:p>
        </w:tc>
        <w:tc>
          <w:tcPr>
            <w:tcW w:type="dxa" w:w="1296"/>
            <w:shd w:fill="1E3A8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标准差(σ)</w:t>
            </w:r>
          </w:p>
        </w:tc>
        <w:tc>
          <w:tcPr>
            <w:tcW w:type="dxa" w:w="1296"/>
            <w:shd w:fill="1E3A8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中位数</w:t>
            </w:r>
          </w:p>
        </w:tc>
        <w:tc>
          <w:tcPr>
            <w:tcW w:type="dxa" w:w="1152"/>
            <w:shd w:fill="1E3A8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25%分位</w:t>
            </w:r>
          </w:p>
        </w:tc>
        <w:tc>
          <w:tcPr>
            <w:tcW w:type="dxa" w:w="1152"/>
            <w:shd w:fill="1E3A8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75%分位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mgr_total_tenure_v2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基本面优势</w:t>
            </w:r>
          </w:p>
        </w:tc>
        <w:tc>
          <w:tcPr>
            <w:tcW w:type="dxa" w:w="86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-1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1051.3754251342166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833.2807707055915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821.7327586206897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535.7225935828877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1239.3461538461538</w:t>
            </w:r>
          </w:p>
        </w:tc>
      </w:tr>
      <w:tr>
        <w:tc>
          <w:tcPr>
            <w:tcW w:type="dxa" w:w="187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log_fund_age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基本面优势</w:t>
            </w:r>
          </w:p>
        </w:tc>
        <w:tc>
          <w:tcPr>
            <w:tcW w:type="dxa" w:w="86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-1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1.3898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1.0148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1.3386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0.6050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2.3945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log_aum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基本面优势</w:t>
            </w:r>
          </w:p>
        </w:tc>
        <w:tc>
          <w:tcPr>
            <w:tcW w:type="dxa" w:w="86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-1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1.6206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1.2365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1.4980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0.5819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2.4930</w:t>
            </w:r>
          </w:p>
        </w:tc>
      </w:tr>
      <w:tr>
        <w:tc>
          <w:tcPr>
            <w:tcW w:type="dxa" w:w="187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risk_asym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认知能力</w:t>
            </w:r>
          </w:p>
        </w:tc>
        <w:tc>
          <w:tcPr>
            <w:tcW w:type="dxa" w:w="86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+1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0.0448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0.0527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0.0318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0.0160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0.0567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de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认知能力</w:t>
            </w:r>
          </w:p>
        </w:tc>
        <w:tc>
          <w:tcPr>
            <w:tcW w:type="dxa" w:w="86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-1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-0.1337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0.0748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-0.1273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-0.1691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-0.0868</w:t>
            </w:r>
          </w:p>
        </w:tc>
      </w:tr>
      <w:tr>
        <w:tc>
          <w:tcPr>
            <w:tcW w:type="dxa" w:w="187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oc_conf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认知能力</w:t>
            </w:r>
          </w:p>
        </w:tc>
        <w:tc>
          <w:tcPr>
            <w:tcW w:type="dxa" w:w="86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-1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-3.0713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23.3185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-0.9736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-6.9299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4.1210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anchor_high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认知能力</w:t>
            </w:r>
          </w:p>
        </w:tc>
        <w:tc>
          <w:tcPr>
            <w:tcW w:type="dxa" w:w="86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+1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0.8394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0.0493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0.8410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0.8087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0.8682</w:t>
            </w:r>
          </w:p>
        </w:tc>
      </w:tr>
      <w:tr>
        <w:tc>
          <w:tcPr>
            <w:tcW w:type="dxa" w:w="187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ICI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配置选择能力</w:t>
            </w:r>
          </w:p>
        </w:tc>
        <w:tc>
          <w:tcPr>
            <w:tcW w:type="dxa" w:w="86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+1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0.2897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0.1574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0.2508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0.1860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0.3473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ISDI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配置选择能力</w:t>
            </w:r>
          </w:p>
        </w:tc>
        <w:tc>
          <w:tcPr>
            <w:tcW w:type="dxa" w:w="86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-1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0.2402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0.1289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0.2493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0.1424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0.3285</w:t>
            </w:r>
          </w:p>
        </w:tc>
      </w:tr>
      <w:tr>
        <w:tc>
          <w:tcPr>
            <w:tcW w:type="dxa" w:w="187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ARG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风险应对能力</w:t>
            </w:r>
          </w:p>
        </w:tc>
        <w:tc>
          <w:tcPr>
            <w:tcW w:type="dxa" w:w="86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+1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0.1649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0.1121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0.1346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0.0651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0.2404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timing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风险应对能力</w:t>
            </w:r>
          </w:p>
        </w:tc>
        <w:tc>
          <w:tcPr>
            <w:tcW w:type="dxa" w:w="86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+1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0.9119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0.7785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0.9032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0.4406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1.3768</w:t>
            </w:r>
          </w:p>
        </w:tc>
      </w:tr>
      <w:tr>
        <w:tc>
          <w:tcPr>
            <w:tcW w:type="dxa" w:w="187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mppm8_lag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风险转化能力</w:t>
            </w:r>
          </w:p>
        </w:tc>
        <w:tc>
          <w:tcPr>
            <w:tcW w:type="dxa" w:w="86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+1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0.0269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0.1095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0.0198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-0.0287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0.0554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sortino8_lag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风险转化能力</w:t>
            </w:r>
          </w:p>
        </w:tc>
        <w:tc>
          <w:tcPr>
            <w:tcW w:type="dxa" w:w="86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+1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0.2457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0.7892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0.0951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-0.1198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0.3600</w:t>
            </w:r>
          </w:p>
        </w:tc>
      </w:tr>
      <w:tr>
        <w:tc>
          <w:tcPr>
            <w:tcW w:type="dxa" w:w="187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sharpe8_lag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风险转化能力</w:t>
            </w:r>
          </w:p>
        </w:tc>
        <w:tc>
          <w:tcPr>
            <w:tcW w:type="dxa" w:w="86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+1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0.1330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0.2172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0.1289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0.0152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0.2421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SDI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交易执行能力</w:t>
            </w:r>
          </w:p>
        </w:tc>
        <w:tc>
          <w:tcPr>
            <w:tcW w:type="dxa" w:w="864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-1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0.2337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0.2300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0.2820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0.0000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0.4309</w:t>
            </w:r>
          </w:p>
        </w:tc>
      </w:tr>
      <w:tr>
        <w:tc>
          <w:tcPr>
            <w:tcW w:type="dxa" w:w="187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lsv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交易执行能力</w:t>
            </w:r>
          </w:p>
        </w:tc>
        <w:tc>
          <w:tcPr>
            <w:tcW w:type="dxa" w:w="864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+1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宋体" w:hAnsi="宋体" w:eastAsia="宋体"/>
                <w:color w:val="1E293B"/>
                <w:sz w:val="16"/>
              </w:rPr>
              <w:t>0.0909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0.0191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0.0896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0.0786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宋体" w:hAnsi="宋体" w:eastAsia="宋体"/>
                <w:color w:val="1E293B"/>
                <w:sz w:val="16"/>
              </w:rPr>
              <w:t>0.1019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黑体" w:hAnsi="黑体" w:eastAsia="黑体"/>
          <w:b/>
          <w:color w:val="0F172A"/>
          <w:sz w:val="28"/>
        </w:rPr>
        <w:t>五、综合画像得分与纯行为解耦机制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【合成公式】</w:t>
      </w:r>
      <w:r>
        <w:rPr>
          <w:rFonts w:ascii="宋体" w:hAnsi="宋体" w:eastAsia="宋体"/>
          <w:color w:val="334155"/>
          <w:sz w:val="21"/>
        </w:rPr>
        <w:t>1. 六维复合能力得分合成：各维度得分 D_k 由其包含指标的定向得分等权平均得出（L1=3项, L2=4项, L3=2项, L4=2项, L5=3项, L6=2项）。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【分位映射】</w:t>
      </w:r>
      <w:r>
        <w:rPr>
          <w:rFonts w:ascii="宋体" w:hAnsi="宋体" w:eastAsia="宋体"/>
          <w:color w:val="334155"/>
          <w:sz w:val="21"/>
        </w:rPr>
        <w:t>2. 分位数映射：Percentile_k = NORM.S.DIST( (D_k - mu_{D_k}) / sigma_{D_k}, TRUE ) * 100%。各维度分布参数为：L1(-0.1198, 0.7607), L2(-0.1156, 0.4373), L3(-0.1217, 0.8011), L4(-0.0842, 0.6584), L5(-0.1472, 0.6614), L6(-0.0465, 0.7884), 综合(-0.1058, 0.4068)。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【纯行为】</w:t>
      </w:r>
      <w:r>
        <w:rPr>
          <w:rFonts w:ascii="宋体" w:hAnsi="宋体" w:eastAsia="宋体"/>
          <w:color w:val="334155"/>
          <w:sz w:val="21"/>
        </w:rPr>
        <w:t>3. 纯行为五维得分 Score_5D = AVERAGE(D2:D6)，纯行为分位 Pct_5D = AVERAGE(Pct_2:Pct_6)。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【综合分位】</w:t>
      </w:r>
      <w:r>
        <w:rPr>
          <w:rFonts w:ascii="宋体" w:hAnsi="宋体" w:eastAsia="宋体"/>
          <w:color w:val="334155"/>
          <w:sz w:val="21"/>
        </w:rPr>
        <w:t>4. 全六维综合得分 Score_6D = AVERAGE(D1:D6)，综合分位 Pct_6D = NORM.S.DIST( (Score_6D - (-0.1058)) / 0.4068, TRUE )。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【规模压制】</w:t>
      </w:r>
      <w:r>
        <w:rPr>
          <w:rFonts w:ascii="宋体" w:hAnsi="宋体" w:eastAsia="宋体"/>
          <w:color w:val="334155"/>
          <w:sz w:val="21"/>
        </w:rPr>
        <w:t>5. 规模约束压制差 Scale Drag = Pct_5D - Pct_6D，定量测度规模不经济制度约束。</w:t>
      </w:r>
    </w:p>
    <w:p>
      <w:pPr>
        <w:spacing w:before="280" w:after="120"/>
      </w:pPr>
      <w:r>
        <w:rPr>
          <w:rFonts w:ascii="黑体" w:hAnsi="黑体" w:eastAsia="黑体"/>
          <w:b/>
          <w:color w:val="0F172A"/>
          <w:sz w:val="28"/>
        </w:rPr>
        <w:t>六、业绩与超额能力测算规则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【收益率】</w:t>
      </w:r>
      <w:r>
        <w:rPr>
          <w:rFonts w:ascii="宋体" w:hAnsi="宋体" w:eastAsia="宋体"/>
          <w:color w:val="334155"/>
          <w:sz w:val="21"/>
        </w:rPr>
        <w:t>1. 复合年化收益率 (CAGR)：(1 + 累计总收益)^(4 / 季度数) - 1。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【波动率】</w:t>
      </w:r>
      <w:r>
        <w:rPr>
          <w:rFonts w:ascii="宋体" w:hAnsi="宋体" w:eastAsia="宋体"/>
          <w:color w:val="334155"/>
          <w:sz w:val="21"/>
        </w:rPr>
        <w:t>2. 年化波动率：季度收益率样本标准差 * 2（或日频波动率 * sqrt(252)）。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【回撤】</w:t>
      </w:r>
      <w:r>
        <w:rPr>
          <w:rFonts w:ascii="宋体" w:hAnsi="宋体" w:eastAsia="宋体"/>
          <w:color w:val="334155"/>
          <w:sz w:val="21"/>
        </w:rPr>
        <w:t>3. 历史最大回撤 (MDD)：min_t [ (NAV_t - max_{tau&lt;=t} NAV_tau) / max_{tau&lt;=t} NAV_tau ]。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【超额Alpha】</w:t>
      </w:r>
      <w:r>
        <w:rPr>
          <w:rFonts w:ascii="宋体" w:hAnsi="宋体" w:eastAsia="宋体"/>
          <w:color w:val="334155"/>
          <w:sz w:val="21"/>
        </w:rPr>
        <w:t>4. 超额 Alpha：Fama-French 五因子时间序列回归截距项（年化），或相对标普 500 / 沪深 300 宽基指数的年化几何超额。</w:t>
      </w:r>
    </w:p>
    <w:p>
      <w:pPr>
        <w:spacing w:before="280" w:after="120"/>
      </w:pPr>
      <w:r>
        <w:rPr>
          <w:rFonts w:ascii="黑体" w:hAnsi="黑体" w:eastAsia="黑体"/>
          <w:b/>
          <w:color w:val="0F172A"/>
          <w:sz w:val="28"/>
        </w:rPr>
        <w:t>七、Excel 动态公式构建与实时重算指南</w:t>
      </w:r>
    </w:p>
    <w:p>
      <w:pPr>
        <w:spacing w:after="80" w:line="300" w:lineRule="auto"/>
      </w:pPr>
      <w:r>
        <w:rPr>
          <w:rFonts w:ascii="宋体" w:hAnsi="宋体" w:eastAsia="宋体"/>
          <w:color w:val="334155"/>
          <w:sz w:val="21"/>
        </w:rPr>
        <w:t>在总表《全量典型基金经理六维画像与全指标公式测算总表.xlsx》中，Row 3~5 锁定基准参数，Row 7~21 写入经理数据与动态公式，修改原始指标可实时级联重算：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【核心公式】</w:t>
      </w:r>
      <w:r>
        <w:rPr>
          <w:rFonts w:ascii="宋体" w:hAnsi="宋体" w:eastAsia="宋体"/>
          <w:color w:val="334155"/>
          <w:sz w:val="21"/>
        </w:rPr>
        <w:t>1. Z-Score 动态计分 (Col AA)：=$AA$5 * (E21 - $AA$3) / $AA$4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【核心公式】</w:t>
      </w:r>
      <w:r>
        <w:rPr>
          <w:rFonts w:ascii="宋体" w:hAnsi="宋体" w:eastAsia="宋体"/>
          <w:color w:val="334155"/>
          <w:sz w:val="21"/>
        </w:rPr>
        <w:t>2. 六维能力复合得分 (Col AQ~AV)：=AVERAGE(AA21:AC21) (L1), =AVERAGE(AD21:AG21) (L2), =AVERAGE(AH21:AI21) (L3), =AVERAGE(AJ21:AK21) (L4), =AVERAGE(AL21:AN21) (L5), =AVERAGE(AO21:AP21) (L6)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【核心公式】</w:t>
      </w:r>
      <w:r>
        <w:rPr>
          <w:rFonts w:ascii="宋体" w:hAnsi="宋体" w:eastAsia="宋体"/>
          <w:color w:val="334155"/>
          <w:sz w:val="21"/>
        </w:rPr>
        <w:t>3. 六维百分位 (Col AW~BB)：=NORM.S.DIST((AQ21 - (-0.1198))/0.7607, TRUE) 等</w:t>
      </w:r>
    </w:p>
    <w:p>
      <w:pPr>
        <w:spacing w:after="80" w:line="300" w:lineRule="auto"/>
      </w:pPr>
      <w:r>
        <w:rPr>
          <w:rFonts w:ascii="宋体" w:hAnsi="宋体" w:eastAsia="宋体"/>
          <w:b/>
          <w:color w:val="0F172A"/>
          <w:sz w:val="21"/>
        </w:rPr>
        <w:t>【核心公式】</w:t>
      </w:r>
      <w:r>
        <w:rPr>
          <w:rFonts w:ascii="宋体" w:hAnsi="宋体" w:eastAsia="宋体"/>
          <w:color w:val="334155"/>
          <w:sz w:val="21"/>
        </w:rPr>
        <w:t>4. 纯行为与规模压制 (Col BC~BG)：纯行为分位 =AVERAGE(AX21:BB21)，全六维分位 =NORM.S.DIST((BE21 - (-0.1058))/0.4068, TRUE)，压制差 =BD21 - BF21</w:t>
      </w:r>
    </w:p>
    <w:p>
      <w:pPr>
        <w:spacing w:before="280" w:after="120"/>
      </w:pPr>
      <w:r>
        <w:rPr>
          <w:rFonts w:ascii="黑体" w:hAnsi="黑体" w:eastAsia="黑体"/>
          <w:b/>
          <w:color w:val="0F172A"/>
          <w:sz w:val="28"/>
        </w:rPr>
        <w:t>八、离线计算流水线与复现执行指南</w:t>
      </w:r>
    </w:p>
    <w:p>
      <w:pPr>
        <w:spacing w:after="80" w:line="300" w:lineRule="auto"/>
      </w:pPr>
      <w:r>
        <w:rPr>
          <w:rFonts w:ascii="宋体" w:hAnsi="宋体" w:eastAsia="宋体"/>
          <w:color w:val="334155"/>
          <w:sz w:val="21"/>
        </w:rPr>
        <w:t>全套指标计算代码与数据清洗流水线存放在 `01_数据获取与指标计算` 与 `02_实证回归与论文图表` 目录下，按照 Step 0（构建骨架）至 Step 9（合并面板）及配套画像生成脚本执行，保证 100% 离线自洽与可重现。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