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rPr>
          <w:rFonts w:ascii="Times New Roman" w:hAnsi="Times New Roman" w:eastAsia="宋体"/>
          <w:b w:val="0"/>
          <w:i w:val="0"/>
          <w:sz w:val="24"/>
        </w:rP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个季度为样本，构建涵盖 25 个候选指标的五层行为框架，通过严谨实证检验筛选出核心超额驱动行为，据此深度刻画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rPr>
          <w:rFonts w:ascii="Times New Roman" w:hAnsi="Times New Roman" w:eastAsia="宋体"/>
          <w:b w:val="0"/>
          <w:i w:val="0"/>
          <w:sz w:val="24"/>
        </w:rPr>
        <w:t>第四层</w:t>
      </w:r>
      <w:r>
        <w:rPr>
          <w:rFonts w:ascii="Times New Roman" w:hAnsi="Times New Roman" w:eastAsia="宋体"/>
          <w:b/>
          <w:i w:val="0"/>
          <w:sz w:val="24"/>
        </w:rPr>
        <w:t>风险应对层（L4）</w:t>
      </w:r>
      <w:r>
        <w:rPr>
          <w:rFonts w:ascii="Times New Roman" w:hAnsi="Times New Roman" w:eastAsia="宋体"/>
          <w:b w:val="0"/>
          <w:i w:val="0"/>
          <w:sz w:val="24"/>
        </w:rPr>
        <w:t>是行为转化为业绩的关键枢纽：细分为过程应对——Ungeheuer &amp; Weber (2021)[11] 论证定期报告外的日间主动调仓（ARG）蕴含选股能力，Henriksson &amp; Merton (1981)[12] 的下行保护（timing）衡量跌市收缩风险暴露的防御能力；与转化效率——Sharpe (1966)[13]、Sortino &amp; van der Meer (1991)[14] 与 MPPM（Goetzmann 等, 2007）[15] 度量承担单位风险换取的超额转化质量。</w:t>
      </w:r>
    </w:p>
    <w:p w14:paraId="139A0915">
      <w:pPr>
        <w:spacing w:after="80" w:line="324" w:lineRule="auto"/>
        <w:ind w:firstLine="480"/>
      </w:pPr>
      <w:r>
        <w:t>第五层交易执行层（L5）刻画微观市场互动：策略偏离指数（SDI，Brown &amp; Goetzmann, 1997）[16] 度量净值风格漂移，交易趋同度（LSV，Lakonishok 等, 1992）[17] 刻画机构交易趋同与抱团倾向。全部 25 个候选指标见表 1。</w:t>
      </w:r>
    </w:p>
    <w:p w14:paraId="1B39E978">
      <w:pPr>
        <w:spacing w:after="80" w:line="324" w:lineRule="auto"/>
        <w:ind w:firstLine="480"/>
      </w:pPr>
      <w: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t>表 1  五层递进行为框架与候选指标体系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020" w:type="dxa"/>
            <w:shd w:val="clear" w:color="auto" w:fill="F2F4F5"/>
            <w:vAlign w:val="center"/>
          </w:tcPr>
          <w:p w14:paraId="6B74366E">
            <w:pPr>
              <w:spacing w:before="20" w:after="20" w:line="259" w:lineRule="auto"/>
              <w:ind w:firstLine="0"/>
              <w:jc w:val="center"/>
            </w:pPr>
            <w:r>
              <w:rPr>
                <w:rFonts w:ascii="Times New Roman" w:hAnsi="Times New Roman" w:eastAsia="黑体"/>
                <w:b/>
                <w:i w:val="0"/>
                <w:sz w:val="14"/>
              </w:rPr>
              <w:t>层级</w:t>
            </w:r>
          </w:p>
        </w:tc>
        <w:tc>
          <w:tcPr>
            <w:tcW w:w="1020" w:type="dxa"/>
            <w:shd w:val="clear" w:color="auto" w:fill="F2F4F5"/>
            <w:vAlign w:val="center"/>
          </w:tcPr>
          <w:p w14:paraId="72531DD4">
            <w:pPr>
              <w:spacing w:before="20" w:after="20" w:line="259" w:lineRule="auto"/>
              <w:ind w:firstLine="0"/>
              <w:jc w:val="center"/>
            </w:pPr>
            <w:r>
              <w:rPr>
                <w:rFonts w:ascii="Times New Roman" w:hAnsi="Times New Roman" w:eastAsia="黑体"/>
                <w:b/>
                <w:i w:val="0"/>
                <w:sz w:val="14"/>
              </w:rPr>
              <w:t>指标</w:t>
            </w:r>
          </w:p>
        </w:tc>
        <w:tc>
          <w:tcPr>
            <w:tcW w:w="1757" w:type="dxa"/>
            <w:shd w:val="clear" w:color="auto" w:fill="F2F4F5"/>
            <w:vAlign w:val="center"/>
          </w:tcPr>
          <w:p w14:paraId="3A31B39D">
            <w:pPr>
              <w:spacing w:before="20" w:after="20" w:line="259" w:lineRule="auto"/>
              <w:ind w:firstLine="0"/>
              <w:jc w:val="center"/>
            </w:pPr>
            <w:r>
              <w:rPr>
                <w:rFonts w:ascii="Times New Roman" w:hAnsi="Times New Roman" w:eastAsia="黑体"/>
                <w:b/>
                <w:i w:val="0"/>
                <w:sz w:val="14"/>
              </w:rPr>
              <w:t>影响渠道</w:t>
            </w:r>
          </w:p>
        </w:tc>
        <w:tc>
          <w:tcPr>
            <w:tcW w:w="1531" w:type="dxa"/>
            <w:shd w:val="clear" w:color="auto" w:fill="F2F4F5"/>
            <w:vAlign w:val="center"/>
          </w:tcPr>
          <w:p w14:paraId="2EB3DB74">
            <w:pPr>
              <w:spacing w:before="20" w:after="20" w:line="259" w:lineRule="auto"/>
              <w:ind w:firstLine="0"/>
              <w:jc w:val="center"/>
            </w:pPr>
            <w:r>
              <w:rPr>
                <w:rFonts w:ascii="Times New Roman" w:hAnsi="Times New Roman" w:eastAsia="黑体"/>
                <w:b/>
                <w:i w:val="0"/>
                <w:sz w:val="14"/>
              </w:rPr>
              <w:t>来源</w:t>
            </w:r>
          </w:p>
        </w:tc>
        <w:tc>
          <w:tcPr>
            <w:tcW w:w="2211" w:type="dxa"/>
            <w:shd w:val="clear" w:color="auto" w:fill="F2F4F5"/>
            <w:vAlign w:val="center"/>
          </w:tcPr>
          <w:p w14:paraId="186FB1EE">
            <w:pPr>
              <w:spacing w:before="20" w:after="20" w:line="259" w:lineRule="auto"/>
              <w:ind w:firstLine="0"/>
              <w:jc w:val="center"/>
            </w:pPr>
            <w:r>
              <w:rPr>
                <w:rFonts w:ascii="Times New Roman" w:hAnsi="Times New Roman" w:eastAsia="黑体"/>
                <w:b/>
                <w:i w:val="0"/>
                <w:sz w:val="14"/>
              </w:rPr>
              <w:t>计算</w:t>
            </w:r>
          </w:p>
        </w:tc>
        <w:tc>
          <w:tcPr>
            <w:tcW w:w="2098" w:type="dxa"/>
            <w:shd w:val="clear" w:color="auto" w:fill="F2F4F5"/>
            <w:vAlign w:val="center"/>
          </w:tcPr>
          <w:p w14:paraId="21C6A498">
            <w:pPr>
              <w:spacing w:before="20" w:after="20" w:line="259" w:lineRule="auto"/>
              <w:ind w:firstLine="0"/>
              <w:jc w:val="center"/>
            </w:pPr>
            <w:r>
              <w:rPr>
                <w:rFonts w:ascii="Times New Roman" w:hAnsi="Times New Roman" w:eastAsia="黑体"/>
                <w:b/>
                <w:i w:val="0"/>
                <w:sz w:val="14"/>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3FADDA46">
            <w:pPr>
              <w:spacing w:before="20" w:after="20" w:line="259" w:lineRule="auto"/>
              <w:ind w:firstLine="0"/>
              <w:jc w:val="center"/>
            </w:pPr>
            <w:r>
              <w:rPr>
                <w:rFonts w:ascii="Times New Roman" w:hAnsi="Times New Roman" w:eastAsia="宋体"/>
                <w:b w:val="0"/>
                <w:i w:val="0"/>
                <w:sz w:val="14"/>
              </w:rPr>
              <w:t>L1 基本面层</w:t>
            </w:r>
          </w:p>
        </w:tc>
        <w:tc>
          <w:tcPr>
            <w:tcW w:w="1020" w:type="dxa"/>
            <w:vAlign w:val="center"/>
          </w:tcPr>
          <w:p w14:paraId="2F5E8EDC">
            <w:pPr>
              <w:spacing w:before="20" w:after="20" w:line="259" w:lineRule="auto"/>
              <w:ind w:firstLine="0"/>
              <w:jc w:val="center"/>
            </w:pPr>
            <w:r>
              <w:rPr>
                <w:rFonts w:ascii="Times New Roman" w:hAnsi="Times New Roman" w:eastAsia="宋体"/>
                <w:b w:val="0"/>
                <w:i w:val="0"/>
                <w:sz w:val="14"/>
              </w:rPr>
              <w:t>任职年限</w:t>
            </w:r>
            <w:r>
              <w:rPr>
                <w:rFonts w:ascii="Times New Roman" w:hAnsi="Times New Roman" w:eastAsia="宋体"/>
                <w:b w:val="0"/>
                <w:i w:val="0"/>
                <w:sz w:val="14"/>
              </w:rPr>
              <w:br w:type="textWrapping"/>
            </w:r>
            <w:r>
              <w:rPr>
                <w:rFonts w:ascii="Times New Roman" w:hAnsi="Times New Roman" w:eastAsia="宋体"/>
                <w:b w:val="0"/>
                <w:i w:val="0"/>
                <w:sz w:val="14"/>
              </w:rPr>
              <w:t>tenure</w:t>
            </w:r>
          </w:p>
        </w:tc>
        <w:tc>
          <w:tcPr>
            <w:tcW w:w="1757" w:type="dxa"/>
            <w:vAlign w:val="center"/>
          </w:tcPr>
          <w:p w14:paraId="4E10CBD9">
            <w:pPr>
              <w:spacing w:before="20" w:after="20" w:line="259" w:lineRule="auto"/>
              <w:ind w:firstLine="0"/>
              <w:jc w:val="center"/>
            </w:pPr>
            <w:r>
              <w:rPr>
                <w:rFonts w:ascii="Times New Roman" w:hAnsi="Times New Roman" w:eastAsia="宋体"/>
                <w:b w:val="0"/>
                <w:i w:val="0"/>
                <w:sz w:val="14"/>
              </w:rPr>
              <w:t>新任经理解雇风险高，职业顾虑促其努力</w:t>
            </w:r>
          </w:p>
        </w:tc>
        <w:tc>
          <w:tcPr>
            <w:tcW w:w="1531" w:type="dxa"/>
            <w:vAlign w:val="center"/>
          </w:tcPr>
          <w:p w14:paraId="2D048894">
            <w:pPr>
              <w:spacing w:before="20" w:after="20" w:line="259" w:lineRule="auto"/>
              <w:ind w:firstLine="0"/>
              <w:jc w:val="center"/>
            </w:pPr>
            <w:r>
              <w:rPr>
                <w:rFonts w:ascii="Times New Roman" w:hAnsi="Times New Roman" w:eastAsia="宋体"/>
                <w:b w:val="0"/>
                <w:i w:val="0"/>
                <w:sz w:val="14"/>
              </w:rPr>
              <w:t>Chevalier &amp; Ellison (1999) [1]</w:t>
            </w:r>
          </w:p>
        </w:tc>
        <w:tc>
          <w:tcPr>
            <w:tcW w:w="2211" w:type="dxa"/>
            <w:vAlign w:val="center"/>
          </w:tcPr>
          <w:p w14:paraId="632527FC">
            <w:pPr>
              <w:spacing w:before="20" w:after="20" w:line="259" w:lineRule="auto"/>
              <w:ind w:firstLine="0"/>
              <w:jc w:val="center"/>
            </w:pPr>
            <w:r>
              <w:rPr>
                <w:rFonts w:ascii="Times New Roman" w:hAnsi="Times New Roman" w:eastAsia="宋体"/>
                <w:b w:val="0"/>
                <w:i w:val="0"/>
                <w:sz w:val="14"/>
              </w:rPr>
              <w:t>首次任职至季末总天数；天数越少越积极。</w:t>
            </w:r>
            <w:r>
              <w:rPr>
                <w:rFonts w:ascii="Times New Roman" w:hAnsi="Times New Roman" w:eastAsia="宋体"/>
                <w:b w:val="0"/>
                <w:i w:val="0"/>
                <w:sz w:val="14"/>
              </w:rPr>
              <w:br w:type="textWrapping"/>
            </w:r>
            <w:r>
              <w:rPr>
                <w:rFonts w:ascii="Times New Roman" w:hAnsi="Times New Roman" w:eastAsia="宋体"/>
                <w:b w:val="0"/>
                <w:i w:val="0"/>
                <w:sz w:val="14"/>
              </w:rPr>
              <w:t>（观测日 − 首次任职日）</w:t>
            </w:r>
          </w:p>
        </w:tc>
        <w:tc>
          <w:tcPr>
            <w:tcW w:w="2098" w:type="dxa"/>
            <w:vAlign w:val="center"/>
          </w:tcPr>
          <w:p w14:paraId="2772AD6B">
            <w:pPr>
              <w:spacing w:before="20" w:after="20" w:line="259" w:lineRule="auto"/>
              <w:ind w:firstLine="0"/>
              <w:jc w:val="center"/>
            </w:pPr>
            <w:r>
              <w:rPr>
                <w:rFonts w:ascii="Times New Roman" w:hAnsi="Times New Roman" w:eastAsia="宋体"/>
                <w:b w:val="0"/>
                <w:i w:val="0"/>
                <w:sz w:val="14"/>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62ADE051">
            <w:pPr>
              <w:spacing w:before="20" w:after="20" w:line="259" w:lineRule="auto"/>
              <w:ind w:firstLine="0"/>
              <w:jc w:val="center"/>
            </w:pPr>
            <w:r>
              <w:rPr>
                <w:rFonts w:ascii="Times New Roman" w:hAnsi="Times New Roman" w:eastAsia="宋体"/>
                <w:b w:val="0"/>
                <w:i w:val="0"/>
                <w:sz w:val="14"/>
              </w:rPr>
              <w:t>L1 基本面层</w:t>
            </w:r>
          </w:p>
        </w:tc>
        <w:tc>
          <w:tcPr>
            <w:tcW w:w="1020" w:type="dxa"/>
            <w:vAlign w:val="center"/>
          </w:tcPr>
          <w:p w14:paraId="10A605C6">
            <w:pPr>
              <w:spacing w:before="20" w:after="20" w:line="259" w:lineRule="auto"/>
              <w:ind w:firstLine="0"/>
              <w:jc w:val="center"/>
            </w:pPr>
            <w:r>
              <w:rPr>
                <w:rFonts w:ascii="Times New Roman" w:hAnsi="Times New Roman" w:eastAsia="宋体"/>
                <w:b w:val="0"/>
                <w:i w:val="0"/>
                <w:sz w:val="14"/>
              </w:rPr>
              <w:t>基金年龄</w:t>
            </w:r>
            <w:r>
              <w:rPr>
                <w:rFonts w:ascii="Times New Roman" w:hAnsi="Times New Roman" w:eastAsia="宋体"/>
                <w:b w:val="0"/>
                <w:i w:val="0"/>
                <w:sz w:val="14"/>
              </w:rPr>
              <w:br w:type="textWrapping"/>
            </w:r>
            <w:r>
              <w:rPr>
                <w:rFonts w:ascii="Times New Roman" w:hAnsi="Times New Roman" w:eastAsia="宋体"/>
                <w:b w:val="0"/>
                <w:i w:val="0"/>
                <w:sz w:val="14"/>
              </w:rPr>
              <w:t>log_age</w:t>
            </w:r>
          </w:p>
        </w:tc>
        <w:tc>
          <w:tcPr>
            <w:tcW w:w="1757" w:type="dxa"/>
            <w:vAlign w:val="center"/>
          </w:tcPr>
          <w:p w14:paraId="785DCC01">
            <w:pPr>
              <w:spacing w:before="20" w:after="20" w:line="259" w:lineRule="auto"/>
              <w:ind w:firstLine="0"/>
              <w:jc w:val="center"/>
            </w:pPr>
            <w:r>
              <w:rPr>
                <w:rFonts w:ascii="Times New Roman" w:hAnsi="Times New Roman" w:eastAsia="宋体"/>
                <w:b w:val="0"/>
                <w:i w:val="0"/>
                <w:sz w:val="14"/>
              </w:rPr>
              <w:t>存续越久历史包袱与持仓约束越强</w:t>
            </w:r>
          </w:p>
        </w:tc>
        <w:tc>
          <w:tcPr>
            <w:tcW w:w="1531" w:type="dxa"/>
            <w:vAlign w:val="center"/>
          </w:tcPr>
          <w:p w14:paraId="1A145A51">
            <w:pPr>
              <w:spacing w:before="20" w:after="20" w:line="259" w:lineRule="auto"/>
              <w:ind w:firstLine="0"/>
              <w:jc w:val="center"/>
            </w:pPr>
            <w:r>
              <w:rPr>
                <w:rFonts w:ascii="Times New Roman" w:hAnsi="Times New Roman" w:eastAsia="宋体"/>
                <w:b w:val="0"/>
                <w:i w:val="0"/>
                <w:sz w:val="14"/>
              </w:rPr>
              <w:t>Berk &amp; Green (2004) [2]</w:t>
            </w:r>
          </w:p>
        </w:tc>
        <w:tc>
          <w:tcPr>
            <w:tcW w:w="2211" w:type="dxa"/>
            <w:vAlign w:val="center"/>
          </w:tcPr>
          <w:p w14:paraId="5774EF3C">
            <w:pPr>
              <w:spacing w:before="20" w:after="20" w:line="259" w:lineRule="auto"/>
              <w:ind w:firstLine="0"/>
              <w:jc w:val="center"/>
            </w:pPr>
            <w:r>
              <w:rPr>
                <w:rFonts w:ascii="Times New Roman" w:hAnsi="Times New Roman" w:eastAsia="宋体"/>
                <w:b w:val="0"/>
                <w:i w:val="0"/>
                <w:sz w:val="14"/>
              </w:rPr>
              <w:t>基金成立至季末存续月数取对数；越短越灵活。</w:t>
            </w:r>
            <w:r>
              <w:rPr>
                <w:rFonts w:ascii="Times New Roman" w:hAnsi="Times New Roman" w:eastAsia="宋体"/>
                <w:b w:val="0"/>
                <w:i w:val="0"/>
                <w:sz w:val="14"/>
              </w:rPr>
              <w:br w:type="textWrapping"/>
            </w:r>
            <w:r>
              <w:rPr>
                <w:rFonts w:ascii="Times New Roman" w:hAnsi="Times New Roman" w:eastAsia="宋体"/>
                <w:b w:val="0"/>
                <w:i w:val="0"/>
                <w:sz w:val="14"/>
              </w:rPr>
              <w:t>（ln(存续月数)）</w:t>
            </w:r>
          </w:p>
        </w:tc>
        <w:tc>
          <w:tcPr>
            <w:tcW w:w="2098" w:type="dxa"/>
            <w:vAlign w:val="center"/>
          </w:tcPr>
          <w:p w14:paraId="584C6DED">
            <w:pPr>
              <w:spacing w:before="20" w:after="20" w:line="259" w:lineRule="auto"/>
              <w:ind w:firstLine="0"/>
              <w:jc w:val="center"/>
            </w:pPr>
            <w:r>
              <w:rPr>
                <w:rFonts w:ascii="Times New Roman" w:hAnsi="Times New Roman" w:eastAsia="宋体"/>
                <w:b w:val="0"/>
                <w:i w:val="0"/>
                <w:sz w:val="14"/>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71006C26">
            <w:pPr>
              <w:spacing w:before="20" w:after="20" w:line="259" w:lineRule="auto"/>
              <w:ind w:firstLine="0"/>
              <w:jc w:val="center"/>
            </w:pPr>
            <w:r>
              <w:rPr>
                <w:rFonts w:ascii="Times New Roman" w:hAnsi="Times New Roman" w:eastAsia="宋体"/>
                <w:b w:val="0"/>
                <w:i w:val="0"/>
                <w:sz w:val="14"/>
              </w:rPr>
              <w:t>L1 基本面层</w:t>
            </w:r>
          </w:p>
        </w:tc>
        <w:tc>
          <w:tcPr>
            <w:tcW w:w="1020" w:type="dxa"/>
            <w:vAlign w:val="center"/>
          </w:tcPr>
          <w:p w14:paraId="3DB118D0">
            <w:pPr>
              <w:spacing w:before="20" w:after="20" w:line="259" w:lineRule="auto"/>
              <w:ind w:firstLine="0"/>
              <w:jc w:val="center"/>
            </w:pPr>
            <w:r>
              <w:rPr>
                <w:rFonts w:ascii="Times New Roman" w:hAnsi="Times New Roman" w:eastAsia="宋体"/>
                <w:b w:val="0"/>
                <w:i w:val="0"/>
                <w:sz w:val="14"/>
              </w:rPr>
              <w:t>基金规模</w:t>
            </w:r>
            <w:r>
              <w:rPr>
                <w:rFonts w:ascii="Times New Roman" w:hAnsi="Times New Roman" w:eastAsia="宋体"/>
                <w:b w:val="0"/>
                <w:i w:val="0"/>
                <w:sz w:val="14"/>
              </w:rPr>
              <w:br w:type="textWrapping"/>
            </w:r>
            <w:r>
              <w:rPr>
                <w:rFonts w:ascii="Times New Roman" w:hAnsi="Times New Roman" w:eastAsia="宋体"/>
                <w:b w:val="0"/>
                <w:i w:val="0"/>
                <w:sz w:val="14"/>
              </w:rPr>
              <w:t>log_aum</w:t>
            </w:r>
          </w:p>
        </w:tc>
        <w:tc>
          <w:tcPr>
            <w:tcW w:w="1757" w:type="dxa"/>
            <w:vAlign w:val="center"/>
          </w:tcPr>
          <w:p w14:paraId="6733E9B8">
            <w:pPr>
              <w:spacing w:before="20" w:after="20" w:line="259" w:lineRule="auto"/>
              <w:ind w:firstLine="0"/>
              <w:jc w:val="center"/>
            </w:pPr>
            <w:r>
              <w:rPr>
                <w:rFonts w:ascii="Times New Roman" w:hAnsi="Times New Roman" w:eastAsia="宋体"/>
                <w:b w:val="0"/>
                <w:i w:val="0"/>
                <w:sz w:val="14"/>
              </w:rPr>
              <w:t>规模扩大抬升交易冲击，超额收益递减</w:t>
            </w:r>
          </w:p>
        </w:tc>
        <w:tc>
          <w:tcPr>
            <w:tcW w:w="1531" w:type="dxa"/>
            <w:vAlign w:val="center"/>
          </w:tcPr>
          <w:p w14:paraId="0D9CE3DF">
            <w:pPr>
              <w:spacing w:before="20" w:after="20" w:line="259" w:lineRule="auto"/>
              <w:ind w:firstLine="0"/>
              <w:jc w:val="center"/>
            </w:pPr>
            <w:r>
              <w:rPr>
                <w:rFonts w:ascii="Times New Roman" w:hAnsi="Times New Roman" w:eastAsia="宋体"/>
                <w:b w:val="0"/>
                <w:i w:val="0"/>
                <w:sz w:val="14"/>
              </w:rPr>
              <w:t>Berk &amp; Green (2004) [2]</w:t>
            </w:r>
          </w:p>
        </w:tc>
        <w:tc>
          <w:tcPr>
            <w:tcW w:w="2211" w:type="dxa"/>
            <w:vAlign w:val="center"/>
          </w:tcPr>
          <w:p w14:paraId="3C0CC1E7">
            <w:pPr>
              <w:spacing w:before="20" w:after="20" w:line="259" w:lineRule="auto"/>
              <w:ind w:firstLine="0"/>
              <w:jc w:val="center"/>
            </w:pPr>
            <w:r>
              <w:rPr>
                <w:rFonts w:ascii="Times New Roman" w:hAnsi="Times New Roman" w:eastAsia="宋体"/>
                <w:b w:val="0"/>
                <w:i w:val="0"/>
                <w:sz w:val="14"/>
              </w:rPr>
              <w:t>季均净资产取对数；规模过大推升冲击成本。</w:t>
            </w:r>
            <w:r>
              <w:rPr>
                <w:rFonts w:ascii="Times New Roman" w:hAnsi="Times New Roman" w:eastAsia="宋体"/>
                <w:b w:val="0"/>
                <w:i w:val="0"/>
                <w:sz w:val="14"/>
              </w:rPr>
              <w:br w:type="textWrapping"/>
            </w:r>
            <w:r>
              <w:rPr>
                <w:rFonts w:ascii="Times New Roman" w:hAnsi="Times New Roman" w:eastAsia="宋体"/>
                <w:b w:val="0"/>
                <w:i w:val="0"/>
                <w:sz w:val="14"/>
              </w:rPr>
              <w:t>（ln(季均净资产，亿元)）</w:t>
            </w:r>
          </w:p>
        </w:tc>
        <w:tc>
          <w:tcPr>
            <w:tcW w:w="2098" w:type="dxa"/>
            <w:vAlign w:val="center"/>
          </w:tcPr>
          <w:p w14:paraId="569575D5">
            <w:pPr>
              <w:spacing w:before="20" w:after="20" w:line="259" w:lineRule="auto"/>
              <w:ind w:firstLine="0"/>
              <w:jc w:val="center"/>
            </w:pPr>
            <w:r>
              <w:rPr>
                <w:rFonts w:ascii="Times New Roman" w:hAnsi="Times New Roman" w:eastAsia="宋体"/>
                <w:b w:val="0"/>
                <w:i w:val="0"/>
                <w:sz w:val="14"/>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0E0C4F46">
            <w:pPr>
              <w:spacing w:before="20" w:after="20" w:line="259" w:lineRule="auto"/>
              <w:ind w:firstLine="0"/>
              <w:jc w:val="center"/>
            </w:pPr>
            <w:r>
              <w:rPr>
                <w:rFonts w:ascii="Times New Roman" w:hAnsi="Times New Roman" w:eastAsia="宋体"/>
                <w:b w:val="0"/>
                <w:i w:val="0"/>
                <w:sz w:val="14"/>
              </w:rPr>
              <w:t>L1 基本面层</w:t>
            </w:r>
          </w:p>
        </w:tc>
        <w:tc>
          <w:tcPr>
            <w:tcW w:w="1020" w:type="dxa"/>
            <w:vAlign w:val="center"/>
          </w:tcPr>
          <w:p w14:paraId="06F6CBE3">
            <w:pPr>
              <w:spacing w:before="20" w:after="20" w:line="259" w:lineRule="auto"/>
              <w:ind w:firstLine="0"/>
              <w:jc w:val="center"/>
            </w:pPr>
            <w:r>
              <w:rPr>
                <w:rFonts w:ascii="Times New Roman" w:hAnsi="Times New Roman" w:eastAsia="宋体"/>
                <w:b w:val="0"/>
                <w:i w:val="0"/>
                <w:sz w:val="14"/>
              </w:rPr>
              <w:t>性别</w:t>
            </w:r>
            <w:r>
              <w:rPr>
                <w:rFonts w:ascii="Times New Roman" w:hAnsi="Times New Roman" w:eastAsia="宋体"/>
                <w:b w:val="0"/>
                <w:i w:val="0"/>
                <w:sz w:val="14"/>
              </w:rPr>
              <w:br w:type="textWrapping"/>
            </w:r>
            <w:r>
              <w:rPr>
                <w:rFonts w:ascii="Times New Roman" w:hAnsi="Times New Roman" w:eastAsia="宋体"/>
                <w:b w:val="0"/>
                <w:i w:val="0"/>
                <w:sz w:val="14"/>
              </w:rPr>
              <w:t>male</w:t>
            </w:r>
          </w:p>
        </w:tc>
        <w:tc>
          <w:tcPr>
            <w:tcW w:w="1757" w:type="dxa"/>
            <w:vAlign w:val="center"/>
          </w:tcPr>
          <w:p w14:paraId="1DA683B4">
            <w:pPr>
              <w:spacing w:before="20" w:after="20" w:line="259" w:lineRule="auto"/>
              <w:ind w:firstLine="0"/>
              <w:jc w:val="center"/>
            </w:pPr>
            <w:r>
              <w:rPr>
                <w:rFonts w:ascii="Times New Roman" w:hAnsi="Times New Roman" w:eastAsia="宋体"/>
                <w:b w:val="0"/>
                <w:i w:val="0"/>
                <w:sz w:val="14"/>
              </w:rPr>
              <w:t>男性投资者易过度自信、交易更频繁</w:t>
            </w:r>
          </w:p>
        </w:tc>
        <w:tc>
          <w:tcPr>
            <w:tcW w:w="1531" w:type="dxa"/>
            <w:vAlign w:val="center"/>
          </w:tcPr>
          <w:p w14:paraId="0B8A8F2B">
            <w:pPr>
              <w:spacing w:before="20" w:after="20" w:line="259" w:lineRule="auto"/>
              <w:ind w:firstLine="0"/>
              <w:jc w:val="center"/>
            </w:pPr>
            <w:r>
              <w:rPr>
                <w:rFonts w:ascii="Times New Roman" w:hAnsi="Times New Roman" w:eastAsia="宋体"/>
                <w:b w:val="0"/>
                <w:i w:val="0"/>
                <w:sz w:val="14"/>
              </w:rPr>
              <w:t>Barber &amp; Odean (2001) [18]</w:t>
            </w:r>
          </w:p>
        </w:tc>
        <w:tc>
          <w:tcPr>
            <w:tcW w:w="2211" w:type="dxa"/>
            <w:vAlign w:val="center"/>
          </w:tcPr>
          <w:p w14:paraId="70B6AFDC">
            <w:pPr>
              <w:spacing w:before="20" w:after="20" w:line="259" w:lineRule="auto"/>
              <w:ind w:firstLine="0"/>
              <w:jc w:val="center"/>
            </w:pPr>
            <w:r>
              <w:rPr>
                <w:rFonts w:ascii="Times New Roman" w:hAnsi="Times New Roman" w:eastAsia="宋体"/>
                <w:b w:val="0"/>
                <w:i w:val="0"/>
                <w:sz w:val="14"/>
              </w:rPr>
              <w:t>经理性别标识；男性记 1，女性记 0。</w:t>
            </w:r>
            <w:r>
              <w:rPr>
                <w:rFonts w:ascii="Times New Roman" w:hAnsi="Times New Roman" w:eastAsia="宋体"/>
                <w:b w:val="0"/>
                <w:i w:val="0"/>
                <w:sz w:val="14"/>
              </w:rPr>
              <w:br w:type="textWrapping"/>
            </w:r>
            <w:r>
              <w:rPr>
                <w:rFonts w:ascii="Times New Roman" w:hAnsi="Times New Roman" w:eastAsia="宋体"/>
                <w:b w:val="0"/>
                <w:i w:val="0"/>
                <w:sz w:val="14"/>
              </w:rPr>
              <w:t>（男性=1）</w:t>
            </w:r>
          </w:p>
        </w:tc>
        <w:tc>
          <w:tcPr>
            <w:tcW w:w="2098" w:type="dxa"/>
            <w:vAlign w:val="center"/>
          </w:tcPr>
          <w:p w14:paraId="57D6DC7B">
            <w:pPr>
              <w:spacing w:before="20" w:after="20" w:line="259" w:lineRule="auto"/>
              <w:ind w:firstLine="0"/>
              <w:jc w:val="center"/>
            </w:pPr>
            <w:r>
              <w:rPr>
                <w:rFonts w:ascii="Times New Roman" w:hAnsi="Times New Roman" w:eastAsia="宋体"/>
                <w:b w:val="0"/>
                <w:i w:val="0"/>
                <w:sz w:val="14"/>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78C5F249">
            <w:pPr>
              <w:spacing w:before="20" w:after="20" w:line="259" w:lineRule="auto"/>
              <w:ind w:firstLine="0"/>
              <w:jc w:val="center"/>
            </w:pPr>
            <w:r>
              <w:rPr>
                <w:rFonts w:ascii="Times New Roman" w:hAnsi="Times New Roman" w:eastAsia="宋体"/>
                <w:b w:val="0"/>
                <w:i w:val="0"/>
                <w:sz w:val="14"/>
              </w:rPr>
              <w:t>L1 基本面层</w:t>
            </w:r>
          </w:p>
        </w:tc>
        <w:tc>
          <w:tcPr>
            <w:tcW w:w="1020" w:type="dxa"/>
            <w:vAlign w:val="center"/>
          </w:tcPr>
          <w:p w14:paraId="3E6B0D28">
            <w:pPr>
              <w:spacing w:before="20" w:after="20" w:line="259" w:lineRule="auto"/>
              <w:ind w:firstLine="0"/>
              <w:jc w:val="center"/>
            </w:pPr>
            <w:r>
              <w:rPr>
                <w:rFonts w:ascii="Times New Roman" w:hAnsi="Times New Roman" w:eastAsia="宋体"/>
                <w:b w:val="0"/>
                <w:i w:val="0"/>
                <w:sz w:val="14"/>
              </w:rPr>
              <w:t>CFA 资格</w:t>
            </w:r>
            <w:r>
              <w:rPr>
                <w:rFonts w:ascii="Times New Roman" w:hAnsi="Times New Roman" w:eastAsia="宋体"/>
                <w:b w:val="0"/>
                <w:i w:val="0"/>
                <w:sz w:val="14"/>
              </w:rPr>
              <w:br w:type="textWrapping"/>
            </w:r>
            <w:r>
              <w:rPr>
                <w:rFonts w:ascii="Times New Roman" w:hAnsi="Times New Roman" w:eastAsia="宋体"/>
                <w:b w:val="0"/>
                <w:i w:val="0"/>
                <w:sz w:val="14"/>
              </w:rPr>
              <w:t>has_CFA</w:t>
            </w:r>
          </w:p>
        </w:tc>
        <w:tc>
          <w:tcPr>
            <w:tcW w:w="1757" w:type="dxa"/>
            <w:vAlign w:val="center"/>
          </w:tcPr>
          <w:p w14:paraId="74D32D45">
            <w:pPr>
              <w:spacing w:before="20" w:after="20" w:line="259" w:lineRule="auto"/>
              <w:ind w:firstLine="0"/>
              <w:jc w:val="center"/>
            </w:pPr>
            <w:r>
              <w:rPr>
                <w:rFonts w:ascii="Times New Roman" w:hAnsi="Times New Roman" w:eastAsia="宋体"/>
                <w:b w:val="0"/>
                <w:i w:val="0"/>
                <w:sz w:val="14"/>
              </w:rPr>
              <w:t>资格认证是否转化为业绩技能</w:t>
            </w:r>
          </w:p>
        </w:tc>
        <w:tc>
          <w:tcPr>
            <w:tcW w:w="1531" w:type="dxa"/>
            <w:vAlign w:val="center"/>
          </w:tcPr>
          <w:p w14:paraId="2E295A6F">
            <w:pPr>
              <w:spacing w:before="20" w:after="20" w:line="259" w:lineRule="auto"/>
              <w:ind w:firstLine="0"/>
              <w:jc w:val="center"/>
            </w:pPr>
            <w:r>
              <w:rPr>
                <w:rFonts w:ascii="Times New Roman" w:hAnsi="Times New Roman" w:eastAsia="宋体"/>
                <w:b w:val="0"/>
                <w:i w:val="0"/>
                <w:sz w:val="14"/>
              </w:rPr>
              <w:t>Chevalier &amp; Ellison (1999) [1]</w:t>
            </w:r>
          </w:p>
        </w:tc>
        <w:tc>
          <w:tcPr>
            <w:tcW w:w="2211" w:type="dxa"/>
            <w:vAlign w:val="center"/>
          </w:tcPr>
          <w:p w14:paraId="425FADBA">
            <w:pPr>
              <w:spacing w:before="20" w:after="20" w:line="259" w:lineRule="auto"/>
              <w:ind w:firstLine="0"/>
              <w:jc w:val="center"/>
            </w:pPr>
            <w:r>
              <w:rPr>
                <w:rFonts w:ascii="Times New Roman" w:hAnsi="Times New Roman" w:eastAsia="宋体"/>
                <w:b w:val="0"/>
                <w:i w:val="0"/>
                <w:sz w:val="14"/>
              </w:rPr>
              <w:t>特许金融分析师资质；持证记 1，否则 0。</w:t>
            </w:r>
            <w:r>
              <w:rPr>
                <w:rFonts w:ascii="Times New Roman" w:hAnsi="Times New Roman" w:eastAsia="宋体"/>
                <w:b w:val="0"/>
                <w:i w:val="0"/>
                <w:sz w:val="14"/>
              </w:rPr>
              <w:br w:type="textWrapping"/>
            </w:r>
            <w:r>
              <w:rPr>
                <w:rFonts w:ascii="Times New Roman" w:hAnsi="Times New Roman" w:eastAsia="宋体"/>
                <w:b w:val="0"/>
                <w:i w:val="0"/>
                <w:sz w:val="14"/>
              </w:rPr>
              <w:t>（持证=1）</w:t>
            </w:r>
          </w:p>
        </w:tc>
        <w:tc>
          <w:tcPr>
            <w:tcW w:w="2098" w:type="dxa"/>
            <w:vAlign w:val="center"/>
          </w:tcPr>
          <w:p w14:paraId="49ED2C7D">
            <w:pPr>
              <w:spacing w:before="20" w:after="20" w:line="259" w:lineRule="auto"/>
              <w:ind w:firstLine="0"/>
              <w:jc w:val="center"/>
            </w:pPr>
            <w:r>
              <w:rPr>
                <w:rFonts w:ascii="Times New Roman" w:hAnsi="Times New Roman" w:eastAsia="宋体"/>
                <w:b w:val="0"/>
                <w:i w:val="0"/>
                <w:sz w:val="14"/>
              </w:rPr>
              <w:t>仅 9 人持证样本过小，未纳入</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07D9EF68">
            <w:pPr>
              <w:spacing w:before="20" w:after="20" w:line="259" w:lineRule="auto"/>
              <w:ind w:firstLine="0"/>
              <w:jc w:val="center"/>
            </w:pPr>
            <w:r>
              <w:rPr>
                <w:rFonts w:ascii="Times New Roman" w:hAnsi="Times New Roman" w:eastAsia="宋体"/>
                <w:b w:val="0"/>
                <w:i w:val="0"/>
                <w:sz w:val="14"/>
              </w:rPr>
              <w:t>L1 基本面层</w:t>
            </w:r>
          </w:p>
        </w:tc>
        <w:tc>
          <w:tcPr>
            <w:tcW w:w="1020" w:type="dxa"/>
            <w:vAlign w:val="center"/>
          </w:tcPr>
          <w:p w14:paraId="41D12017">
            <w:pPr>
              <w:spacing w:before="20" w:after="20" w:line="259" w:lineRule="auto"/>
              <w:ind w:firstLine="0"/>
              <w:jc w:val="center"/>
            </w:pPr>
            <w:r>
              <w:rPr>
                <w:rFonts w:ascii="Times New Roman" w:hAnsi="Times New Roman" w:eastAsia="宋体"/>
                <w:b w:val="0"/>
                <w:i w:val="0"/>
                <w:sz w:val="14"/>
              </w:rPr>
              <w:t>学历</w:t>
            </w:r>
            <w:r>
              <w:rPr>
                <w:rFonts w:ascii="Times New Roman" w:hAnsi="Times New Roman" w:eastAsia="宋体"/>
                <w:b w:val="0"/>
                <w:i w:val="0"/>
                <w:sz w:val="14"/>
              </w:rPr>
              <w:br w:type="textWrapping"/>
            </w:r>
            <w:r>
              <w:rPr>
                <w:rFonts w:ascii="Times New Roman" w:hAnsi="Times New Roman" w:eastAsia="宋体"/>
                <w:b w:val="0"/>
                <w:i w:val="0"/>
                <w:sz w:val="14"/>
              </w:rPr>
              <w:t>master_up</w:t>
            </w:r>
          </w:p>
        </w:tc>
        <w:tc>
          <w:tcPr>
            <w:tcW w:w="1757" w:type="dxa"/>
            <w:vAlign w:val="center"/>
          </w:tcPr>
          <w:p w14:paraId="6DC4924E">
            <w:pPr>
              <w:spacing w:before="20" w:after="20" w:line="259" w:lineRule="auto"/>
              <w:ind w:firstLine="0"/>
              <w:jc w:val="center"/>
            </w:pPr>
            <w:r>
              <w:rPr>
                <w:rFonts w:ascii="Times New Roman" w:hAnsi="Times New Roman" w:eastAsia="宋体"/>
                <w:b w:val="0"/>
                <w:i w:val="0"/>
                <w:sz w:val="14"/>
              </w:rPr>
              <w:t>教育水平作为人力资本代理变量</w:t>
            </w:r>
          </w:p>
        </w:tc>
        <w:tc>
          <w:tcPr>
            <w:tcW w:w="1531" w:type="dxa"/>
            <w:vAlign w:val="center"/>
          </w:tcPr>
          <w:p w14:paraId="6FEEA809">
            <w:pPr>
              <w:spacing w:before="20" w:after="20" w:line="259" w:lineRule="auto"/>
              <w:ind w:firstLine="0"/>
              <w:jc w:val="center"/>
            </w:pPr>
            <w:r>
              <w:rPr>
                <w:rFonts w:ascii="Times New Roman" w:hAnsi="Times New Roman" w:eastAsia="宋体"/>
                <w:b w:val="0"/>
                <w:i w:val="0"/>
                <w:sz w:val="14"/>
              </w:rPr>
              <w:t>Chevalier &amp; Ellison (1999) [1]</w:t>
            </w:r>
          </w:p>
        </w:tc>
        <w:tc>
          <w:tcPr>
            <w:tcW w:w="2211" w:type="dxa"/>
            <w:vAlign w:val="center"/>
          </w:tcPr>
          <w:p w14:paraId="28016331">
            <w:pPr>
              <w:spacing w:before="20" w:after="20" w:line="259" w:lineRule="auto"/>
              <w:ind w:firstLine="0"/>
              <w:jc w:val="center"/>
            </w:pPr>
            <w:r>
              <w:rPr>
                <w:rFonts w:ascii="Times New Roman" w:hAnsi="Times New Roman" w:eastAsia="宋体"/>
                <w:b w:val="0"/>
                <w:i w:val="0"/>
                <w:sz w:val="14"/>
              </w:rPr>
              <w:t>最高学历；硕士及以上记 1，其余记 0。</w:t>
            </w:r>
            <w:r>
              <w:rPr>
                <w:rFonts w:ascii="Times New Roman" w:hAnsi="Times New Roman" w:eastAsia="宋体"/>
                <w:b w:val="0"/>
                <w:i w:val="0"/>
                <w:sz w:val="14"/>
              </w:rPr>
              <w:br w:type="textWrapping"/>
            </w:r>
            <w:r>
              <w:rPr>
                <w:rFonts w:ascii="Times New Roman" w:hAnsi="Times New Roman" w:eastAsia="宋体"/>
                <w:b w:val="0"/>
                <w:i w:val="0"/>
                <w:sz w:val="14"/>
              </w:rPr>
              <w:t>（硕博=1）</w:t>
            </w:r>
          </w:p>
        </w:tc>
        <w:tc>
          <w:tcPr>
            <w:tcW w:w="2098" w:type="dxa"/>
            <w:vAlign w:val="center"/>
          </w:tcPr>
          <w:p w14:paraId="3A31649D">
            <w:pPr>
              <w:spacing w:before="20" w:after="20" w:line="259" w:lineRule="auto"/>
              <w:ind w:firstLine="0"/>
              <w:jc w:val="center"/>
            </w:pPr>
            <w:r>
              <w:rPr>
                <w:rFonts w:ascii="Times New Roman" w:hAnsi="Times New Roman" w:eastAsia="宋体"/>
                <w:b w:val="0"/>
                <w:i w:val="0"/>
                <w:sz w:val="14"/>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739DC95D">
            <w:pPr>
              <w:spacing w:before="20" w:after="20" w:line="259" w:lineRule="auto"/>
              <w:ind w:firstLine="0"/>
              <w:jc w:val="center"/>
            </w:pPr>
            <w:r>
              <w:rPr>
                <w:rFonts w:ascii="Times New Roman" w:hAnsi="Times New Roman" w:eastAsia="宋体"/>
                <w:b w:val="0"/>
                <w:i w:val="0"/>
                <w:sz w:val="14"/>
              </w:rPr>
              <w:t>L1 基本面层</w:t>
            </w:r>
          </w:p>
        </w:tc>
        <w:tc>
          <w:tcPr>
            <w:tcW w:w="1020" w:type="dxa"/>
            <w:vAlign w:val="center"/>
          </w:tcPr>
          <w:p w14:paraId="05AF68BD">
            <w:pPr>
              <w:spacing w:before="20" w:after="20" w:line="259" w:lineRule="auto"/>
              <w:ind w:firstLine="0"/>
              <w:jc w:val="center"/>
            </w:pPr>
            <w:r>
              <w:rPr>
                <w:rFonts w:ascii="Times New Roman" w:hAnsi="Times New Roman" w:eastAsia="宋体"/>
                <w:b w:val="0"/>
                <w:i w:val="0"/>
                <w:sz w:val="14"/>
              </w:rPr>
              <w:t>院校层次</w:t>
            </w:r>
            <w:r>
              <w:rPr>
                <w:rFonts w:ascii="Times New Roman" w:hAnsi="Times New Roman" w:eastAsia="宋体"/>
                <w:b w:val="0"/>
                <w:i w:val="0"/>
                <w:sz w:val="14"/>
              </w:rPr>
              <w:br w:type="textWrapping"/>
            </w:r>
            <w:r>
              <w:rPr>
                <w:rFonts w:ascii="Times New Roman" w:hAnsi="Times New Roman" w:eastAsia="宋体"/>
                <w:b w:val="0"/>
                <w:i w:val="0"/>
                <w:sz w:val="14"/>
              </w:rPr>
              <w:t>top_school</w:t>
            </w:r>
          </w:p>
        </w:tc>
        <w:tc>
          <w:tcPr>
            <w:tcW w:w="1757" w:type="dxa"/>
            <w:vAlign w:val="center"/>
          </w:tcPr>
          <w:p w14:paraId="0D29B1B0">
            <w:pPr>
              <w:spacing w:before="20" w:after="20" w:line="259" w:lineRule="auto"/>
              <w:ind w:firstLine="0"/>
              <w:jc w:val="center"/>
            </w:pPr>
            <w:r>
              <w:rPr>
                <w:rFonts w:ascii="Times New Roman" w:hAnsi="Times New Roman" w:eastAsia="宋体"/>
                <w:b w:val="0"/>
                <w:i w:val="0"/>
                <w:sz w:val="14"/>
              </w:rPr>
              <w:t>名校背景所含信息网络与筛选效应</w:t>
            </w:r>
          </w:p>
        </w:tc>
        <w:tc>
          <w:tcPr>
            <w:tcW w:w="1531" w:type="dxa"/>
            <w:vAlign w:val="center"/>
          </w:tcPr>
          <w:p w14:paraId="499B1797">
            <w:pPr>
              <w:spacing w:before="20" w:after="20" w:line="259" w:lineRule="auto"/>
              <w:ind w:firstLine="0"/>
              <w:jc w:val="center"/>
            </w:pPr>
            <w:r>
              <w:rPr>
                <w:rFonts w:ascii="Times New Roman" w:hAnsi="Times New Roman" w:eastAsia="宋体"/>
                <w:b w:val="0"/>
                <w:i w:val="0"/>
                <w:sz w:val="14"/>
              </w:rPr>
              <w:t>Chevalier &amp; Ellison (1999) [1]</w:t>
            </w:r>
          </w:p>
        </w:tc>
        <w:tc>
          <w:tcPr>
            <w:tcW w:w="2211" w:type="dxa"/>
            <w:vAlign w:val="center"/>
          </w:tcPr>
          <w:p w14:paraId="42369784">
            <w:pPr>
              <w:spacing w:before="20" w:after="20" w:line="259" w:lineRule="auto"/>
              <w:ind w:firstLine="0"/>
              <w:jc w:val="center"/>
            </w:pPr>
            <w:r>
              <w:rPr>
                <w:rFonts w:ascii="Times New Roman" w:hAnsi="Times New Roman" w:eastAsia="宋体"/>
                <w:b w:val="0"/>
                <w:i w:val="0"/>
                <w:sz w:val="14"/>
              </w:rPr>
              <w:t>本科院校；属重点高校名单记 1，否则 0。</w:t>
            </w:r>
            <w:r>
              <w:rPr>
                <w:rFonts w:ascii="Times New Roman" w:hAnsi="Times New Roman" w:eastAsia="宋体"/>
                <w:b w:val="0"/>
                <w:i w:val="0"/>
                <w:sz w:val="14"/>
              </w:rPr>
              <w:br w:type="textWrapping"/>
            </w:r>
            <w:r>
              <w:rPr>
                <w:rFonts w:ascii="Times New Roman" w:hAnsi="Times New Roman" w:eastAsia="宋体"/>
                <w:b w:val="0"/>
                <w:i w:val="0"/>
                <w:sz w:val="14"/>
              </w:rPr>
              <w:t>（重点本科=1）</w:t>
            </w:r>
          </w:p>
        </w:tc>
        <w:tc>
          <w:tcPr>
            <w:tcW w:w="2098" w:type="dxa"/>
            <w:vAlign w:val="center"/>
          </w:tcPr>
          <w:p w14:paraId="309DDA98">
            <w:pPr>
              <w:spacing w:before="20" w:after="20" w:line="259" w:lineRule="auto"/>
              <w:ind w:firstLine="0"/>
              <w:jc w:val="center"/>
            </w:pPr>
            <w:r>
              <w:rPr>
                <w:rFonts w:ascii="Times New Roman" w:hAnsi="Times New Roman" w:eastAsia="宋体"/>
                <w:b w:val="0"/>
                <w:i w:val="0"/>
                <w:sz w:val="14"/>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0A809DA6">
            <w:pPr>
              <w:spacing w:before="20" w:after="20" w:line="259" w:lineRule="auto"/>
              <w:ind w:firstLine="0"/>
              <w:jc w:val="center"/>
            </w:pPr>
            <w:r>
              <w:rPr>
                <w:rFonts w:ascii="Times New Roman" w:hAnsi="Times New Roman" w:eastAsia="宋体"/>
                <w:b w:val="0"/>
                <w:i w:val="0"/>
                <w:sz w:val="14"/>
              </w:rPr>
              <w:t>L2 认知偏差层</w:t>
            </w:r>
          </w:p>
        </w:tc>
        <w:tc>
          <w:tcPr>
            <w:tcW w:w="1020" w:type="dxa"/>
            <w:vAlign w:val="center"/>
          </w:tcPr>
          <w:p w14:paraId="0A610FFE">
            <w:pPr>
              <w:spacing w:before="20" w:after="20" w:line="259" w:lineRule="auto"/>
              <w:ind w:firstLine="0"/>
              <w:jc w:val="center"/>
            </w:pPr>
            <w:r>
              <w:rPr>
                <w:rFonts w:ascii="Times New Roman" w:hAnsi="Times New Roman" w:eastAsia="宋体"/>
                <w:b w:val="0"/>
                <w:i w:val="0"/>
                <w:sz w:val="14"/>
              </w:rPr>
              <w:t>风险偏好不对称</w:t>
            </w:r>
            <w:r>
              <w:rPr>
                <w:rFonts w:ascii="Times New Roman" w:hAnsi="Times New Roman" w:eastAsia="宋体"/>
                <w:b w:val="0"/>
                <w:i w:val="0"/>
                <w:sz w:val="14"/>
              </w:rPr>
              <w:br w:type="textWrapping"/>
            </w:r>
            <w:r>
              <w:rPr>
                <w:rFonts w:ascii="Times New Roman" w:hAnsi="Times New Roman" w:eastAsia="宋体"/>
                <w:b w:val="0"/>
                <w:i w:val="0"/>
                <w:sz w:val="14"/>
              </w:rPr>
              <w:t>risk_asym</w:t>
            </w:r>
          </w:p>
        </w:tc>
        <w:tc>
          <w:tcPr>
            <w:tcW w:w="1757" w:type="dxa"/>
            <w:vAlign w:val="center"/>
          </w:tcPr>
          <w:p w14:paraId="2F200952">
            <w:pPr>
              <w:spacing w:before="20" w:after="20" w:line="259" w:lineRule="auto"/>
              <w:ind w:firstLine="0"/>
              <w:jc w:val="center"/>
            </w:pPr>
            <w:r>
              <w:rPr>
                <w:rFonts w:ascii="Times New Roman" w:hAnsi="Times New Roman" w:eastAsia="宋体"/>
                <w:b w:val="0"/>
                <w:i w:val="0"/>
                <w:sz w:val="14"/>
              </w:rPr>
              <w:t>风险态度随盈亏状态改变</w:t>
            </w:r>
          </w:p>
        </w:tc>
        <w:tc>
          <w:tcPr>
            <w:tcW w:w="1531" w:type="dxa"/>
            <w:vAlign w:val="center"/>
          </w:tcPr>
          <w:p w14:paraId="60C07128">
            <w:pPr>
              <w:spacing w:before="20" w:after="20" w:line="259" w:lineRule="auto"/>
              <w:ind w:firstLine="0"/>
              <w:jc w:val="center"/>
            </w:pPr>
            <w:r>
              <w:rPr>
                <w:rFonts w:ascii="Times New Roman" w:hAnsi="Times New Roman" w:eastAsia="宋体"/>
                <w:b w:val="0"/>
                <w:i w:val="0"/>
                <w:sz w:val="14"/>
              </w:rPr>
              <w:t>Kahneman &amp; Tversky (1979) [4]</w:t>
            </w:r>
            <w:r>
              <w:rPr>
                <w:rFonts w:ascii="Times New Roman" w:hAnsi="Times New Roman" w:eastAsia="宋体"/>
                <w:b w:val="0"/>
                <w:i w:val="0"/>
                <w:sz w:val="14"/>
              </w:rPr>
              <w:br w:type="textWrapping"/>
            </w:r>
            <w:r>
              <w:rPr>
                <w:rFonts w:ascii="Times New Roman" w:hAnsi="Times New Roman" w:eastAsia="宋体"/>
                <w:b w:val="0"/>
                <w:i w:val="0"/>
                <w:sz w:val="14"/>
              </w:rPr>
              <w:t>Ang et al. (2006) [19]</w:t>
            </w:r>
          </w:p>
        </w:tc>
        <w:tc>
          <w:tcPr>
            <w:tcW w:w="2211" w:type="dxa"/>
            <w:vAlign w:val="center"/>
          </w:tcPr>
          <w:p w14:paraId="7FB74F57">
            <w:pPr>
              <w:spacing w:before="20" w:after="20" w:line="259" w:lineRule="auto"/>
              <w:ind w:firstLine="0"/>
              <w:jc w:val="center"/>
            </w:pPr>
            <w:r>
              <w:rPr>
                <w:rFonts w:ascii="Times New Roman" w:hAnsi="Times New Roman" w:eastAsia="宋体"/>
                <w:b w:val="0"/>
                <w:i w:val="0"/>
                <w:sz w:val="14"/>
              </w:rPr>
              <w:t>过去 8 季盈利季与亏损季波动率之差；正值代表赚时敢攻、亏时严守。</w:t>
            </w:r>
            <w:r>
              <w:rPr>
                <w:rFonts w:ascii="Times New Roman" w:hAnsi="Times New Roman" w:eastAsia="宋体"/>
                <w:b w:val="0"/>
                <w:i w:val="0"/>
                <w:sz w:val="14"/>
              </w:rPr>
              <w:br w:type="textWrapping"/>
            </w:r>
            <w:r>
              <w:rPr>
                <w:rFonts w:ascii="Times New Roman" w:hAnsi="Times New Roman" w:eastAsia="宋体"/>
                <w:b w:val="0"/>
                <w:i w:val="0"/>
                <w:sz w:val="14"/>
              </w:rPr>
              <w:t>（盈利季波动率 − 亏损季波动率）</w:t>
            </w:r>
          </w:p>
        </w:tc>
        <w:tc>
          <w:tcPr>
            <w:tcW w:w="2098" w:type="dxa"/>
            <w:vAlign w:val="center"/>
          </w:tcPr>
          <w:p w14:paraId="45CFC574">
            <w:pPr>
              <w:spacing w:before="20" w:after="20" w:line="259" w:lineRule="auto"/>
              <w:ind w:firstLine="0"/>
              <w:jc w:val="center"/>
            </w:pPr>
            <w:r>
              <w:rPr>
                <w:rFonts w:ascii="Times New Roman" w:hAnsi="Times New Roman" w:eastAsia="宋体"/>
                <w:b w:val="0"/>
                <w:i w:val="0"/>
                <w:sz w:val="14"/>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2FC9CB19">
            <w:pPr>
              <w:spacing w:before="20" w:after="20" w:line="259" w:lineRule="auto"/>
              <w:ind w:firstLine="0"/>
              <w:jc w:val="center"/>
            </w:pPr>
            <w:r>
              <w:rPr>
                <w:rFonts w:ascii="Times New Roman" w:hAnsi="Times New Roman" w:eastAsia="宋体"/>
                <w:b w:val="0"/>
                <w:i w:val="0"/>
                <w:sz w:val="14"/>
              </w:rPr>
              <w:t>L2 认知偏差层</w:t>
            </w:r>
          </w:p>
        </w:tc>
        <w:tc>
          <w:tcPr>
            <w:tcW w:w="1020" w:type="dxa"/>
            <w:vAlign w:val="center"/>
          </w:tcPr>
          <w:p w14:paraId="156A21BB">
            <w:pPr>
              <w:spacing w:before="20" w:after="20" w:line="259" w:lineRule="auto"/>
              <w:ind w:firstLine="0"/>
              <w:jc w:val="center"/>
            </w:pPr>
            <w:r>
              <w:rPr>
                <w:rFonts w:ascii="Times New Roman" w:hAnsi="Times New Roman" w:eastAsia="宋体"/>
                <w:b w:val="0"/>
                <w:i w:val="0"/>
                <w:sz w:val="14"/>
              </w:rPr>
              <w:t>处置效应</w:t>
            </w:r>
            <w:r>
              <w:rPr>
                <w:rFonts w:ascii="Times New Roman" w:hAnsi="Times New Roman" w:eastAsia="宋体"/>
                <w:b w:val="0"/>
                <w:i w:val="0"/>
                <w:sz w:val="14"/>
              </w:rPr>
              <w:br w:type="textWrapping"/>
            </w:r>
            <w:r>
              <w:rPr>
                <w:rFonts w:ascii="Times New Roman" w:hAnsi="Times New Roman" w:eastAsia="宋体"/>
                <w:b w:val="0"/>
                <w:i w:val="0"/>
                <w:sz w:val="14"/>
              </w:rPr>
              <w:t>de</w:t>
            </w:r>
          </w:p>
        </w:tc>
        <w:tc>
          <w:tcPr>
            <w:tcW w:w="1757" w:type="dxa"/>
            <w:vAlign w:val="center"/>
          </w:tcPr>
          <w:p w14:paraId="53985EFC">
            <w:pPr>
              <w:spacing w:before="20" w:after="20" w:line="259" w:lineRule="auto"/>
              <w:ind w:firstLine="0"/>
              <w:jc w:val="center"/>
            </w:pPr>
            <w:r>
              <w:rPr>
                <w:rFonts w:ascii="Times New Roman" w:hAnsi="Times New Roman" w:eastAsia="宋体"/>
                <w:b w:val="0"/>
                <w:i w:val="0"/>
                <w:sz w:val="14"/>
              </w:rPr>
              <w:t>售盈持亏倾向有损收益</w:t>
            </w:r>
          </w:p>
        </w:tc>
        <w:tc>
          <w:tcPr>
            <w:tcW w:w="1531" w:type="dxa"/>
            <w:vAlign w:val="center"/>
          </w:tcPr>
          <w:p w14:paraId="14D9AFC2">
            <w:pPr>
              <w:spacing w:before="20" w:after="20" w:line="259" w:lineRule="auto"/>
              <w:ind w:firstLine="0"/>
              <w:jc w:val="center"/>
            </w:pPr>
            <w:r>
              <w:rPr>
                <w:rFonts w:ascii="Times New Roman" w:hAnsi="Times New Roman" w:eastAsia="宋体"/>
                <w:b w:val="0"/>
                <w:i w:val="0"/>
                <w:sz w:val="14"/>
              </w:rPr>
              <w:t>Shefrin &amp; Statman (1985) [5]</w:t>
            </w:r>
            <w:r>
              <w:rPr>
                <w:rFonts w:ascii="Times New Roman" w:hAnsi="Times New Roman" w:eastAsia="宋体"/>
                <w:b w:val="0"/>
                <w:i w:val="0"/>
                <w:sz w:val="14"/>
              </w:rPr>
              <w:br w:type="textWrapping"/>
            </w:r>
            <w:r>
              <w:rPr>
                <w:rFonts w:ascii="Times New Roman" w:hAnsi="Times New Roman" w:eastAsia="宋体"/>
                <w:b w:val="0"/>
                <w:i w:val="0"/>
                <w:sz w:val="14"/>
              </w:rPr>
              <w:t>Odean (1998) [6]</w:t>
            </w:r>
          </w:p>
        </w:tc>
        <w:tc>
          <w:tcPr>
            <w:tcW w:w="2211" w:type="dxa"/>
            <w:vAlign w:val="center"/>
          </w:tcPr>
          <w:p w14:paraId="0A051197">
            <w:pPr>
              <w:spacing w:before="20" w:after="20" w:line="259" w:lineRule="auto"/>
              <w:ind w:firstLine="0"/>
              <w:jc w:val="center"/>
            </w:pPr>
            <w:r>
              <w:rPr>
                <w:rFonts w:ascii="Times New Roman" w:hAnsi="Times New Roman" w:eastAsia="宋体"/>
                <w:b w:val="0"/>
                <w:i w:val="0"/>
                <w:sz w:val="14"/>
              </w:rPr>
              <w:t>已卖盈利股占比减已卖亏损股占比；越大越急于止盈死扛，越负止损越果断。</w:t>
            </w:r>
            <w:r>
              <w:rPr>
                <w:rFonts w:ascii="Times New Roman" w:hAnsi="Times New Roman" w:eastAsia="宋体"/>
                <w:b w:val="0"/>
                <w:i w:val="0"/>
                <w:sz w:val="14"/>
              </w:rPr>
              <w:br w:type="textWrapping"/>
            </w:r>
            <w:r>
              <w:rPr>
                <w:rFonts w:ascii="Times New Roman" w:hAnsi="Times New Roman" w:eastAsia="宋体"/>
                <w:b w:val="0"/>
                <w:i w:val="0"/>
                <w:sz w:val="14"/>
              </w:rPr>
              <w:t>（已卖盈利股占比 − 已卖亏损股占比）</w:t>
            </w:r>
          </w:p>
        </w:tc>
        <w:tc>
          <w:tcPr>
            <w:tcW w:w="2098" w:type="dxa"/>
            <w:vAlign w:val="center"/>
          </w:tcPr>
          <w:p w14:paraId="63740EBC">
            <w:pPr>
              <w:spacing w:before="20" w:after="20" w:line="259" w:lineRule="auto"/>
              <w:ind w:firstLine="0"/>
              <w:jc w:val="center"/>
            </w:pPr>
            <w:r>
              <w:rPr>
                <w:rFonts w:ascii="Times New Roman" w:hAnsi="Times New Roman" w:eastAsia="宋体"/>
                <w:b w:val="0"/>
                <w:i w:val="0"/>
                <w:sz w:val="14"/>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125356F9">
            <w:pPr>
              <w:spacing w:before="20" w:after="20" w:line="259" w:lineRule="auto"/>
              <w:ind w:firstLine="0"/>
              <w:jc w:val="center"/>
            </w:pPr>
            <w:r>
              <w:rPr>
                <w:rFonts w:ascii="Times New Roman" w:hAnsi="Times New Roman" w:eastAsia="宋体"/>
                <w:b w:val="0"/>
                <w:i w:val="0"/>
                <w:sz w:val="14"/>
              </w:rPr>
              <w:t>L2 认知偏差层</w:t>
            </w:r>
          </w:p>
        </w:tc>
        <w:tc>
          <w:tcPr>
            <w:tcW w:w="1020" w:type="dxa"/>
            <w:vAlign w:val="center"/>
          </w:tcPr>
          <w:p w14:paraId="1B995BFC">
            <w:pPr>
              <w:spacing w:before="20" w:after="20" w:line="259" w:lineRule="auto"/>
              <w:ind w:firstLine="0"/>
              <w:jc w:val="center"/>
            </w:pPr>
            <w:r>
              <w:rPr>
                <w:rFonts w:ascii="Times New Roman" w:hAnsi="Times New Roman" w:eastAsia="宋体"/>
                <w:b w:val="0"/>
                <w:i w:val="0"/>
                <w:sz w:val="14"/>
              </w:rPr>
              <w:t>过度自信</w:t>
            </w:r>
            <w:r>
              <w:rPr>
                <w:rFonts w:ascii="Times New Roman" w:hAnsi="Times New Roman" w:eastAsia="宋体"/>
                <w:b w:val="0"/>
                <w:i w:val="0"/>
                <w:sz w:val="14"/>
              </w:rPr>
              <w:br w:type="textWrapping"/>
            </w:r>
            <w:r>
              <w:rPr>
                <w:rFonts w:ascii="Times New Roman" w:hAnsi="Times New Roman" w:eastAsia="宋体"/>
                <w:b w:val="0"/>
                <w:i w:val="0"/>
                <w:sz w:val="14"/>
              </w:rPr>
              <w:t>oc_conf</w:t>
            </w:r>
          </w:p>
        </w:tc>
        <w:tc>
          <w:tcPr>
            <w:tcW w:w="1757" w:type="dxa"/>
            <w:vAlign w:val="center"/>
          </w:tcPr>
          <w:p w14:paraId="44FEF5A9">
            <w:pPr>
              <w:spacing w:before="20" w:after="20" w:line="259" w:lineRule="auto"/>
              <w:ind w:firstLine="0"/>
              <w:jc w:val="center"/>
            </w:pPr>
            <w:r>
              <w:rPr>
                <w:rFonts w:ascii="Times New Roman" w:hAnsi="Times New Roman" w:eastAsia="宋体"/>
                <w:b w:val="0"/>
                <w:i w:val="0"/>
                <w:sz w:val="14"/>
              </w:rPr>
              <w:t>业绩向好后的归因偏差引发过度交易</w:t>
            </w:r>
          </w:p>
        </w:tc>
        <w:tc>
          <w:tcPr>
            <w:tcW w:w="1531" w:type="dxa"/>
            <w:vAlign w:val="center"/>
          </w:tcPr>
          <w:p w14:paraId="2A03F605">
            <w:pPr>
              <w:spacing w:before="20" w:after="20" w:line="259" w:lineRule="auto"/>
              <w:ind w:firstLine="0"/>
              <w:jc w:val="center"/>
            </w:pPr>
            <w:r>
              <w:rPr>
                <w:rFonts w:ascii="Times New Roman" w:hAnsi="Times New Roman" w:eastAsia="宋体"/>
                <w:b w:val="0"/>
                <w:i w:val="0"/>
                <w:sz w:val="14"/>
              </w:rPr>
              <w:t>Gervais &amp; Odean (2001) [20]</w:t>
            </w:r>
            <w:r>
              <w:rPr>
                <w:rFonts w:ascii="Times New Roman" w:hAnsi="Times New Roman" w:eastAsia="宋体"/>
                <w:b w:val="0"/>
                <w:i w:val="0"/>
                <w:sz w:val="14"/>
              </w:rPr>
              <w:br w:type="textWrapping"/>
            </w:r>
            <w:r>
              <w:rPr>
                <w:rFonts w:ascii="Times New Roman" w:hAnsi="Times New Roman" w:eastAsia="宋体"/>
                <w:b w:val="0"/>
                <w:i w:val="0"/>
                <w:sz w:val="14"/>
              </w:rPr>
              <w:t>Puetz &amp; Ruenzi (2011) [21]</w:t>
            </w:r>
          </w:p>
        </w:tc>
        <w:tc>
          <w:tcPr>
            <w:tcW w:w="2211" w:type="dxa"/>
            <w:vAlign w:val="center"/>
          </w:tcPr>
          <w:p w14:paraId="6D9BD404">
            <w:pPr>
              <w:spacing w:before="20" w:after="20" w:line="259" w:lineRule="auto"/>
              <w:ind w:firstLine="0"/>
              <w:jc w:val="center"/>
            </w:pPr>
            <w:r>
              <w:rPr>
                <w:rFonts w:ascii="Times New Roman" w:hAnsi="Times New Roman" w:eastAsia="宋体"/>
                <w:b w:val="0"/>
                <w:i w:val="0"/>
                <w:sz w:val="14"/>
              </w:rPr>
              <w:t>上季盈利看本季换手率增量，亏损记 0；度量赚了钱自负加码交易倾向。</w:t>
            </w:r>
            <w:r>
              <w:rPr>
                <w:rFonts w:ascii="Times New Roman" w:hAnsi="Times New Roman" w:eastAsia="宋体"/>
                <w:b w:val="0"/>
                <w:i w:val="0"/>
                <w:sz w:val="14"/>
              </w:rPr>
              <w:br w:type="textWrapping"/>
            </w:r>
            <w:r>
              <w:rPr>
                <w:rFonts w:ascii="Times New Roman" w:hAnsi="Times New Roman" w:eastAsia="宋体"/>
                <w:b w:val="0"/>
                <w:i w:val="0"/>
                <w:sz w:val="14"/>
              </w:rPr>
              <w:t>（上季若盈利，本季换手率增量）</w:t>
            </w:r>
          </w:p>
        </w:tc>
        <w:tc>
          <w:tcPr>
            <w:tcW w:w="2098" w:type="dxa"/>
            <w:vAlign w:val="center"/>
          </w:tcPr>
          <w:p w14:paraId="68EA2E0C">
            <w:pPr>
              <w:spacing w:before="20" w:after="20" w:line="259" w:lineRule="auto"/>
              <w:ind w:firstLine="0"/>
              <w:jc w:val="center"/>
            </w:pPr>
            <w:r>
              <w:rPr>
                <w:rFonts w:ascii="Times New Roman" w:hAnsi="Times New Roman" w:eastAsia="宋体"/>
                <w:b w:val="0"/>
                <w:i w:val="0"/>
                <w:sz w:val="14"/>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7FE02C66">
            <w:pPr>
              <w:spacing w:before="20" w:after="20" w:line="259" w:lineRule="auto"/>
              <w:ind w:firstLine="0"/>
              <w:jc w:val="center"/>
            </w:pPr>
            <w:r>
              <w:rPr>
                <w:rFonts w:ascii="Times New Roman" w:hAnsi="Times New Roman" w:eastAsia="宋体"/>
                <w:b w:val="0"/>
                <w:i w:val="0"/>
                <w:sz w:val="14"/>
              </w:rPr>
              <w:t>L2 认知偏差层</w:t>
            </w:r>
          </w:p>
        </w:tc>
        <w:tc>
          <w:tcPr>
            <w:tcW w:w="1020" w:type="dxa"/>
            <w:vAlign w:val="center"/>
          </w:tcPr>
          <w:p w14:paraId="30015CD2">
            <w:pPr>
              <w:spacing w:before="20" w:after="20" w:line="259" w:lineRule="auto"/>
              <w:ind w:firstLine="0"/>
              <w:jc w:val="center"/>
            </w:pPr>
            <w:r>
              <w:rPr>
                <w:rFonts w:ascii="Times New Roman" w:hAnsi="Times New Roman" w:eastAsia="宋体"/>
                <w:b w:val="0"/>
                <w:i w:val="0"/>
                <w:sz w:val="14"/>
              </w:rPr>
              <w:t>追涨杀跌</w:t>
            </w:r>
            <w:r>
              <w:rPr>
                <w:rFonts w:ascii="Times New Roman" w:hAnsi="Times New Roman" w:eastAsia="宋体"/>
                <w:b w:val="0"/>
                <w:i w:val="0"/>
                <w:sz w:val="14"/>
              </w:rPr>
              <w:br w:type="textWrapping"/>
            </w:r>
            <w:r>
              <w:rPr>
                <w:rFonts w:ascii="Times New Roman" w:hAnsi="Times New Roman" w:eastAsia="宋体"/>
                <w:b w:val="0"/>
                <w:i w:val="0"/>
                <w:sz w:val="14"/>
              </w:rPr>
              <w:t>rc_mom</w:t>
            </w:r>
          </w:p>
        </w:tc>
        <w:tc>
          <w:tcPr>
            <w:tcW w:w="1757" w:type="dxa"/>
            <w:vAlign w:val="center"/>
          </w:tcPr>
          <w:p w14:paraId="5F8560B2">
            <w:pPr>
              <w:spacing w:before="20" w:after="20" w:line="259" w:lineRule="auto"/>
              <w:ind w:firstLine="0"/>
              <w:jc w:val="center"/>
            </w:pPr>
            <w:r>
              <w:rPr>
                <w:rFonts w:ascii="Times New Roman" w:hAnsi="Times New Roman" w:eastAsia="宋体"/>
                <w:b w:val="0"/>
                <w:i w:val="0"/>
                <w:sz w:val="14"/>
              </w:rPr>
              <w:t>基于近期涨幅追买的趋势外推偏差</w:t>
            </w:r>
          </w:p>
        </w:tc>
        <w:tc>
          <w:tcPr>
            <w:tcW w:w="1531" w:type="dxa"/>
            <w:vAlign w:val="center"/>
          </w:tcPr>
          <w:p w14:paraId="65313B9F">
            <w:pPr>
              <w:spacing w:before="20" w:after="20" w:line="259" w:lineRule="auto"/>
              <w:ind w:firstLine="0"/>
              <w:jc w:val="center"/>
            </w:pPr>
            <w:r>
              <w:rPr>
                <w:rFonts w:ascii="Times New Roman" w:hAnsi="Times New Roman" w:eastAsia="宋体"/>
                <w:b w:val="0"/>
                <w:i w:val="0"/>
                <w:sz w:val="14"/>
              </w:rPr>
              <w:t>Greenwood &amp; Shleifer (2014) [22]</w:t>
            </w:r>
          </w:p>
        </w:tc>
        <w:tc>
          <w:tcPr>
            <w:tcW w:w="2211" w:type="dxa"/>
            <w:vAlign w:val="center"/>
          </w:tcPr>
          <w:p w14:paraId="538D5935">
            <w:pPr>
              <w:spacing w:before="20" w:after="20" w:line="259" w:lineRule="auto"/>
              <w:ind w:firstLine="0"/>
              <w:jc w:val="center"/>
            </w:pPr>
            <w:r>
              <w:rPr>
                <w:rFonts w:ascii="Times New Roman" w:hAnsi="Times New Roman" w:eastAsia="宋体"/>
                <w:b w:val="0"/>
                <w:i w:val="0"/>
                <w:sz w:val="14"/>
              </w:rPr>
              <w:t>持仓变动与个股前 12 月涨幅相关系数；度量追逐近期涨幅倾向。</w:t>
            </w:r>
            <w:r>
              <w:rPr>
                <w:rFonts w:ascii="Times New Roman" w:hAnsi="Times New Roman" w:eastAsia="宋体"/>
                <w:b w:val="0"/>
                <w:i w:val="0"/>
                <w:sz w:val="14"/>
              </w:rPr>
              <w:br w:type="textWrapping"/>
            </w:r>
            <w:r>
              <w:rPr>
                <w:rFonts w:ascii="Times New Roman" w:hAnsi="Times New Roman" w:eastAsia="宋体"/>
                <w:b w:val="0"/>
                <w:i w:val="0"/>
                <w:sz w:val="14"/>
              </w:rPr>
              <w:t>（持仓变动与前 12 月收益相关系数）</w:t>
            </w:r>
          </w:p>
        </w:tc>
        <w:tc>
          <w:tcPr>
            <w:tcW w:w="2098" w:type="dxa"/>
            <w:vAlign w:val="center"/>
          </w:tcPr>
          <w:p w14:paraId="574D271E">
            <w:pPr>
              <w:spacing w:before="20" w:after="20" w:line="259" w:lineRule="auto"/>
              <w:ind w:firstLine="0"/>
              <w:jc w:val="center"/>
            </w:pPr>
            <w:r>
              <w:rPr>
                <w:rFonts w:ascii="Times New Roman" w:hAnsi="Times New Roman" w:eastAsia="宋体"/>
                <w:b w:val="0"/>
                <w:i w:val="0"/>
                <w:sz w:val="14"/>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116202E4">
            <w:pPr>
              <w:spacing w:before="20" w:after="20" w:line="259" w:lineRule="auto"/>
              <w:ind w:firstLine="0"/>
              <w:jc w:val="center"/>
            </w:pPr>
            <w:r>
              <w:rPr>
                <w:rFonts w:ascii="Times New Roman" w:hAnsi="Times New Roman" w:eastAsia="宋体"/>
                <w:b w:val="0"/>
                <w:i w:val="0"/>
                <w:sz w:val="14"/>
              </w:rPr>
              <w:t>L2 认知偏差层</w:t>
            </w:r>
          </w:p>
        </w:tc>
        <w:tc>
          <w:tcPr>
            <w:tcW w:w="1020" w:type="dxa"/>
            <w:vAlign w:val="center"/>
          </w:tcPr>
          <w:p w14:paraId="42D90294">
            <w:pPr>
              <w:spacing w:before="20" w:after="20" w:line="259" w:lineRule="auto"/>
              <w:ind w:firstLine="0"/>
              <w:jc w:val="center"/>
            </w:pPr>
            <w:r>
              <w:rPr>
                <w:rFonts w:ascii="Times New Roman" w:hAnsi="Times New Roman" w:eastAsia="宋体"/>
                <w:b w:val="0"/>
                <w:i w:val="0"/>
                <w:sz w:val="14"/>
              </w:rPr>
              <w:t>锚定效应</w:t>
            </w:r>
            <w:r>
              <w:rPr>
                <w:rFonts w:ascii="Times New Roman" w:hAnsi="Times New Roman" w:eastAsia="宋体"/>
                <w:b w:val="0"/>
                <w:i w:val="0"/>
                <w:sz w:val="14"/>
              </w:rPr>
              <w:br w:type="textWrapping"/>
            </w:r>
            <w:r>
              <w:rPr>
                <w:rFonts w:ascii="Times New Roman" w:hAnsi="Times New Roman" w:eastAsia="宋体"/>
                <w:b w:val="0"/>
                <w:i w:val="0"/>
                <w:sz w:val="14"/>
              </w:rPr>
              <w:t>anchor_high</w:t>
            </w:r>
          </w:p>
        </w:tc>
        <w:tc>
          <w:tcPr>
            <w:tcW w:w="1757" w:type="dxa"/>
            <w:vAlign w:val="center"/>
          </w:tcPr>
          <w:p w14:paraId="06B26665">
            <w:pPr>
              <w:spacing w:before="20" w:after="20" w:line="259" w:lineRule="auto"/>
              <w:ind w:firstLine="0"/>
              <w:jc w:val="center"/>
            </w:pPr>
            <w:r>
              <w:rPr>
                <w:rFonts w:ascii="Times New Roman" w:hAnsi="Times New Roman" w:eastAsia="宋体"/>
                <w:b w:val="0"/>
                <w:i w:val="0"/>
                <w:sz w:val="14"/>
              </w:rPr>
              <w:t>以历史最高价为参考点</w:t>
            </w:r>
          </w:p>
        </w:tc>
        <w:tc>
          <w:tcPr>
            <w:tcW w:w="1531" w:type="dxa"/>
            <w:vAlign w:val="center"/>
          </w:tcPr>
          <w:p w14:paraId="7BB1ED85">
            <w:pPr>
              <w:spacing w:before="20" w:after="20" w:line="259" w:lineRule="auto"/>
              <w:ind w:firstLine="0"/>
              <w:jc w:val="center"/>
            </w:pPr>
            <w:r>
              <w:rPr>
                <w:rFonts w:ascii="Times New Roman" w:hAnsi="Times New Roman" w:eastAsia="宋体"/>
                <w:b w:val="0"/>
                <w:i w:val="0"/>
                <w:sz w:val="14"/>
              </w:rPr>
              <w:t>池丽旭、庄新田 (2011) [8]</w:t>
            </w:r>
            <w:r>
              <w:rPr>
                <w:rFonts w:ascii="Times New Roman" w:hAnsi="Times New Roman" w:eastAsia="宋体"/>
                <w:b w:val="0"/>
                <w:i w:val="0"/>
                <w:sz w:val="14"/>
              </w:rPr>
              <w:br w:type="textWrapping"/>
            </w:r>
            <w:r>
              <w:rPr>
                <w:rFonts w:ascii="Times New Roman" w:hAnsi="Times New Roman" w:eastAsia="宋体"/>
                <w:b w:val="0"/>
                <w:i w:val="0"/>
                <w:sz w:val="14"/>
              </w:rPr>
              <w:t>Grinblatt &amp; Han (2005) [7]</w:t>
            </w:r>
          </w:p>
        </w:tc>
        <w:tc>
          <w:tcPr>
            <w:tcW w:w="2211" w:type="dxa"/>
            <w:vAlign w:val="center"/>
          </w:tcPr>
          <w:p w14:paraId="11E198F9">
            <w:pPr>
              <w:spacing w:before="20" w:after="20" w:line="259" w:lineRule="auto"/>
              <w:ind w:firstLine="0"/>
              <w:jc w:val="center"/>
            </w:pPr>
            <w:r>
              <w:rPr>
                <w:rFonts w:ascii="Times New Roman" w:hAnsi="Times New Roman" w:eastAsia="宋体"/>
                <w:b w:val="0"/>
                <w:i w:val="0"/>
                <w:sz w:val="14"/>
              </w:rPr>
              <w:t>持仓各股当前价除以 3 年最高价加权；越接近 1 越锚定高点不肯割肉。</w:t>
            </w:r>
            <w:r>
              <w:rPr>
                <w:rFonts w:ascii="Times New Roman" w:hAnsi="Times New Roman" w:eastAsia="宋体"/>
                <w:b w:val="0"/>
                <w:i w:val="0"/>
                <w:sz w:val="14"/>
              </w:rPr>
              <w:br w:type="textWrapping"/>
            </w:r>
            <w:r>
              <w:rPr>
                <w:rFonts w:ascii="Times New Roman" w:hAnsi="Times New Roman" w:eastAsia="宋体"/>
                <w:b w:val="0"/>
                <w:i w:val="0"/>
                <w:sz w:val="14"/>
              </w:rPr>
              <w:t>（各股当前价/3年最高价加权平均）</w:t>
            </w:r>
          </w:p>
        </w:tc>
        <w:tc>
          <w:tcPr>
            <w:tcW w:w="2098" w:type="dxa"/>
            <w:vAlign w:val="center"/>
          </w:tcPr>
          <w:p w14:paraId="3B7F991D">
            <w:pPr>
              <w:spacing w:before="20" w:after="20" w:line="259" w:lineRule="auto"/>
              <w:ind w:firstLine="0"/>
              <w:jc w:val="center"/>
            </w:pPr>
            <w:r>
              <w:rPr>
                <w:rFonts w:ascii="Times New Roman" w:hAnsi="Times New Roman" w:eastAsia="宋体"/>
                <w:b w:val="0"/>
                <w:i w:val="0"/>
                <w:sz w:val="14"/>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349C1047">
            <w:pPr>
              <w:spacing w:before="20" w:after="20" w:line="259" w:lineRule="auto"/>
              <w:ind w:firstLine="0"/>
              <w:jc w:val="center"/>
            </w:pPr>
            <w:r>
              <w:rPr>
                <w:rFonts w:ascii="Times New Roman" w:hAnsi="Times New Roman" w:eastAsia="宋体"/>
                <w:b w:val="0"/>
                <w:i w:val="0"/>
                <w:sz w:val="14"/>
              </w:rPr>
              <w:t>L3 配置选择层</w:t>
            </w:r>
          </w:p>
        </w:tc>
        <w:tc>
          <w:tcPr>
            <w:tcW w:w="1020" w:type="dxa"/>
            <w:vAlign w:val="center"/>
          </w:tcPr>
          <w:p w14:paraId="0C32769D">
            <w:pPr>
              <w:spacing w:before="20" w:after="20" w:line="259" w:lineRule="auto"/>
              <w:ind w:firstLine="0"/>
              <w:jc w:val="center"/>
            </w:pPr>
            <w:r>
              <w:rPr>
                <w:rFonts w:ascii="Times New Roman" w:hAnsi="Times New Roman" w:eastAsia="宋体"/>
                <w:b w:val="0"/>
                <w:i w:val="0"/>
                <w:sz w:val="14"/>
              </w:rPr>
              <w:t>行业集中度</w:t>
            </w:r>
            <w:r>
              <w:rPr>
                <w:rFonts w:ascii="Times New Roman" w:hAnsi="Times New Roman" w:eastAsia="宋体"/>
                <w:b w:val="0"/>
                <w:i w:val="0"/>
                <w:sz w:val="14"/>
              </w:rPr>
              <w:br w:type="textWrapping"/>
            </w:r>
            <w:r>
              <w:rPr>
                <w:rFonts w:ascii="Times New Roman" w:hAnsi="Times New Roman" w:eastAsia="宋体"/>
                <w:b w:val="0"/>
                <w:i w:val="0"/>
                <w:sz w:val="14"/>
              </w:rPr>
              <w:t>ICI</w:t>
            </w:r>
          </w:p>
        </w:tc>
        <w:tc>
          <w:tcPr>
            <w:tcW w:w="1757" w:type="dxa"/>
            <w:vAlign w:val="center"/>
          </w:tcPr>
          <w:p w14:paraId="3541891B">
            <w:pPr>
              <w:spacing w:before="20" w:after="20" w:line="259" w:lineRule="auto"/>
              <w:ind w:firstLine="0"/>
              <w:jc w:val="center"/>
            </w:pPr>
            <w:r>
              <w:rPr>
                <w:rFonts w:ascii="Times New Roman" w:hAnsi="Times New Roman" w:eastAsia="宋体"/>
                <w:b w:val="0"/>
                <w:i w:val="0"/>
                <w:sz w:val="14"/>
              </w:rPr>
              <w:t>集中押注体现私有信息，业绩更优</w:t>
            </w:r>
          </w:p>
        </w:tc>
        <w:tc>
          <w:tcPr>
            <w:tcW w:w="1531" w:type="dxa"/>
            <w:vAlign w:val="center"/>
          </w:tcPr>
          <w:p w14:paraId="7CAE21EA">
            <w:pPr>
              <w:spacing w:before="20" w:after="20" w:line="259" w:lineRule="auto"/>
              <w:ind w:firstLine="0"/>
              <w:jc w:val="center"/>
            </w:pPr>
            <w:r>
              <w:rPr>
                <w:rFonts w:ascii="Times New Roman" w:hAnsi="Times New Roman" w:eastAsia="宋体"/>
                <w:b w:val="0"/>
                <w:i w:val="0"/>
                <w:sz w:val="14"/>
              </w:rPr>
              <w:t>Kacperczyk et al. (2005) [9]</w:t>
            </w:r>
          </w:p>
        </w:tc>
        <w:tc>
          <w:tcPr>
            <w:tcW w:w="2211" w:type="dxa"/>
            <w:vAlign w:val="center"/>
          </w:tcPr>
          <w:p w14:paraId="4FFF82B1">
            <w:pPr>
              <w:spacing w:before="20" w:after="20" w:line="259" w:lineRule="auto"/>
              <w:ind w:firstLine="0"/>
              <w:jc w:val="center"/>
            </w:pPr>
            <w:r>
              <w:rPr>
                <w:rFonts w:ascii="Times New Roman" w:hAnsi="Times New Roman" w:eastAsia="宋体"/>
                <w:b w:val="0"/>
                <w:i w:val="0"/>
                <w:sz w:val="14"/>
              </w:rPr>
              <w:t>31 个申万行业权重偏离市场均值平方和；越大越敢在看准行业重仓。</w:t>
            </w:r>
            <w:r>
              <w:rPr>
                <w:rFonts w:ascii="Times New Roman" w:hAnsi="Times New Roman" w:eastAsia="宋体"/>
                <w:b w:val="0"/>
                <w:i w:val="0"/>
                <w:sz w:val="14"/>
              </w:rPr>
              <w:br w:type="textWrapping"/>
            </w:r>
            <w:r>
              <w:rPr>
                <w:rFonts w:ascii="Times New Roman" w:hAnsi="Times New Roman" w:eastAsia="宋体"/>
                <w:b w:val="0"/>
                <w:i w:val="0"/>
                <w:sz w:val="14"/>
              </w:rPr>
              <w:t>（各行业偏离市场权重之差平方和）</w:t>
            </w:r>
          </w:p>
        </w:tc>
        <w:tc>
          <w:tcPr>
            <w:tcW w:w="2098" w:type="dxa"/>
            <w:vAlign w:val="center"/>
          </w:tcPr>
          <w:p w14:paraId="6B962F93">
            <w:pPr>
              <w:spacing w:before="20" w:after="20" w:line="259" w:lineRule="auto"/>
              <w:ind w:firstLine="0"/>
              <w:jc w:val="center"/>
            </w:pPr>
            <w:r>
              <w:rPr>
                <w:rFonts w:ascii="Times New Roman" w:hAnsi="Times New Roman" w:eastAsia="宋体"/>
                <w:b w:val="0"/>
                <w:i w:val="0"/>
                <w:sz w:val="14"/>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08F2EC7A">
            <w:pPr>
              <w:spacing w:before="20" w:after="20" w:line="259" w:lineRule="auto"/>
              <w:ind w:firstLine="0"/>
              <w:jc w:val="center"/>
            </w:pPr>
            <w:r>
              <w:rPr>
                <w:rFonts w:ascii="Times New Roman" w:hAnsi="Times New Roman" w:eastAsia="宋体"/>
                <w:b w:val="0"/>
                <w:i w:val="0"/>
                <w:sz w:val="14"/>
              </w:rPr>
              <w:t>L3 配置选择层</w:t>
            </w:r>
          </w:p>
        </w:tc>
        <w:tc>
          <w:tcPr>
            <w:tcW w:w="1020" w:type="dxa"/>
            <w:vAlign w:val="center"/>
          </w:tcPr>
          <w:p w14:paraId="2C67BE97">
            <w:pPr>
              <w:spacing w:before="20" w:after="20" w:line="259" w:lineRule="auto"/>
              <w:ind w:firstLine="0"/>
              <w:jc w:val="center"/>
            </w:pPr>
            <w:r>
              <w:rPr>
                <w:rFonts w:ascii="Times New Roman" w:hAnsi="Times New Roman" w:eastAsia="宋体"/>
                <w:b w:val="0"/>
                <w:i w:val="0"/>
                <w:sz w:val="14"/>
              </w:rPr>
              <w:t>行业风格漂移</w:t>
            </w:r>
            <w:r>
              <w:rPr>
                <w:rFonts w:ascii="Times New Roman" w:hAnsi="Times New Roman" w:eastAsia="宋体"/>
                <w:b w:val="0"/>
                <w:i w:val="0"/>
                <w:sz w:val="14"/>
              </w:rPr>
              <w:br w:type="textWrapping"/>
            </w:r>
            <w:r>
              <w:rPr>
                <w:rFonts w:ascii="Times New Roman" w:hAnsi="Times New Roman" w:eastAsia="宋体"/>
                <w:b w:val="0"/>
                <w:i w:val="0"/>
                <w:sz w:val="14"/>
              </w:rPr>
              <w:t>ISDI</w:t>
            </w:r>
          </w:p>
        </w:tc>
        <w:tc>
          <w:tcPr>
            <w:tcW w:w="1757" w:type="dxa"/>
            <w:vAlign w:val="center"/>
          </w:tcPr>
          <w:p w14:paraId="7CE47CCA">
            <w:pPr>
              <w:spacing w:before="20" w:after="20" w:line="259" w:lineRule="auto"/>
              <w:ind w:firstLine="0"/>
              <w:jc w:val="center"/>
            </w:pPr>
            <w:r>
              <w:rPr>
                <w:rFonts w:ascii="Times New Roman" w:hAnsi="Times New Roman" w:eastAsia="宋体"/>
                <w:b w:val="0"/>
                <w:i w:val="0"/>
                <w:sz w:val="14"/>
              </w:rPr>
              <w:t>频繁切换抬高成本、分散信息优势</w:t>
            </w:r>
          </w:p>
        </w:tc>
        <w:tc>
          <w:tcPr>
            <w:tcW w:w="1531" w:type="dxa"/>
            <w:vAlign w:val="center"/>
          </w:tcPr>
          <w:p w14:paraId="1B28FE2F">
            <w:pPr>
              <w:spacing w:before="20" w:after="20" w:line="259" w:lineRule="auto"/>
              <w:ind w:firstLine="0"/>
              <w:jc w:val="center"/>
            </w:pPr>
            <w:r>
              <w:rPr>
                <w:rFonts w:ascii="Times New Roman" w:hAnsi="Times New Roman" w:eastAsia="宋体"/>
                <w:b w:val="0"/>
                <w:i w:val="0"/>
                <w:sz w:val="14"/>
              </w:rPr>
              <w:t>Chen &amp; Wei (2025) [23]</w:t>
            </w:r>
          </w:p>
        </w:tc>
        <w:tc>
          <w:tcPr>
            <w:tcW w:w="2211" w:type="dxa"/>
            <w:vAlign w:val="center"/>
          </w:tcPr>
          <w:p w14:paraId="5D8B491F">
            <w:pPr>
              <w:spacing w:before="20" w:after="20" w:line="259" w:lineRule="auto"/>
              <w:ind w:firstLine="0"/>
              <w:jc w:val="center"/>
            </w:pPr>
            <w:r>
              <w:rPr>
                <w:rFonts w:ascii="Times New Roman" w:hAnsi="Times New Roman" w:eastAsia="宋体"/>
                <w:b w:val="0"/>
                <w:i w:val="0"/>
                <w:sz w:val="14"/>
              </w:rPr>
              <w:t>行业分高/中/低弹性三组，相邻季权重变动和；越大风格横跳越频繁。</w:t>
            </w:r>
            <w:r>
              <w:rPr>
                <w:rFonts w:ascii="Times New Roman" w:hAnsi="Times New Roman" w:eastAsia="宋体"/>
                <w:b w:val="0"/>
                <w:i w:val="0"/>
                <w:sz w:val="14"/>
              </w:rPr>
              <w:br w:type="textWrapping"/>
            </w:r>
            <w:r>
              <w:rPr>
                <w:rFonts w:ascii="Times New Roman" w:hAnsi="Times New Roman" w:eastAsia="宋体"/>
                <w:b w:val="0"/>
                <w:i w:val="0"/>
                <w:sz w:val="14"/>
              </w:rPr>
              <w:t>（相邻两季各弹性组权重变动和）</w:t>
            </w:r>
          </w:p>
        </w:tc>
        <w:tc>
          <w:tcPr>
            <w:tcW w:w="2098" w:type="dxa"/>
            <w:vAlign w:val="center"/>
          </w:tcPr>
          <w:p w14:paraId="2C3B39D3">
            <w:pPr>
              <w:spacing w:before="20" w:after="20" w:line="259" w:lineRule="auto"/>
              <w:ind w:firstLine="0"/>
              <w:jc w:val="center"/>
            </w:pPr>
            <w:r>
              <w:rPr>
                <w:rFonts w:ascii="Times New Roman" w:hAnsi="Times New Roman" w:eastAsia="宋体"/>
                <w:b w:val="0"/>
                <w:i w:val="0"/>
                <w:sz w:val="14"/>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58B55712">
            <w:pPr>
              <w:spacing w:before="20" w:after="20" w:line="259" w:lineRule="auto"/>
              <w:ind w:firstLine="0"/>
              <w:jc w:val="center"/>
            </w:pPr>
            <w:r>
              <w:rPr>
                <w:rFonts w:ascii="Times New Roman" w:hAnsi="Times New Roman" w:eastAsia="宋体"/>
                <w:b w:val="0"/>
                <w:i w:val="0"/>
                <w:sz w:val="14"/>
              </w:rPr>
              <w:t>L3 配置选择层</w:t>
            </w:r>
          </w:p>
        </w:tc>
        <w:tc>
          <w:tcPr>
            <w:tcW w:w="1020" w:type="dxa"/>
            <w:vAlign w:val="center"/>
          </w:tcPr>
          <w:p w14:paraId="78689E08">
            <w:pPr>
              <w:spacing w:before="20" w:after="20" w:line="259" w:lineRule="auto"/>
              <w:ind w:firstLine="0"/>
              <w:jc w:val="center"/>
            </w:pPr>
            <w:r>
              <w:rPr>
                <w:rFonts w:ascii="Times New Roman" w:hAnsi="Times New Roman" w:eastAsia="宋体"/>
                <w:b w:val="0"/>
                <w:i w:val="0"/>
                <w:sz w:val="14"/>
              </w:rPr>
              <w:t>改进主动份额</w:t>
            </w:r>
            <w:r>
              <w:rPr>
                <w:rFonts w:ascii="Times New Roman" w:hAnsi="Times New Roman" w:eastAsia="宋体"/>
                <w:b w:val="0"/>
                <w:i w:val="0"/>
                <w:sz w:val="14"/>
              </w:rPr>
              <w:br w:type="textWrapping"/>
            </w:r>
            <w:r>
              <w:rPr>
                <w:rFonts w:ascii="Times New Roman" w:hAnsi="Times New Roman" w:eastAsia="宋体"/>
                <w:b w:val="0"/>
                <w:i w:val="0"/>
                <w:sz w:val="14"/>
              </w:rPr>
              <w:t>AS_improved</w:t>
            </w:r>
          </w:p>
        </w:tc>
        <w:tc>
          <w:tcPr>
            <w:tcW w:w="1757" w:type="dxa"/>
            <w:vAlign w:val="center"/>
          </w:tcPr>
          <w:p w14:paraId="5C151EBB">
            <w:pPr>
              <w:spacing w:before="20" w:after="20" w:line="259" w:lineRule="auto"/>
              <w:ind w:firstLine="0"/>
              <w:jc w:val="center"/>
            </w:pPr>
            <w:r>
              <w:rPr>
                <w:rFonts w:ascii="Times New Roman" w:hAnsi="Times New Roman" w:eastAsia="宋体"/>
                <w:b w:val="0"/>
                <w:i w:val="0"/>
                <w:sz w:val="14"/>
              </w:rPr>
              <w:t>持仓偏离度能否代表主动管理能力</w:t>
            </w:r>
          </w:p>
        </w:tc>
        <w:tc>
          <w:tcPr>
            <w:tcW w:w="1531" w:type="dxa"/>
            <w:vAlign w:val="center"/>
          </w:tcPr>
          <w:p w14:paraId="4F5F5383">
            <w:pPr>
              <w:spacing w:before="20" w:after="20" w:line="259" w:lineRule="auto"/>
              <w:ind w:firstLine="0"/>
              <w:jc w:val="center"/>
            </w:pPr>
            <w:r>
              <w:rPr>
                <w:rFonts w:ascii="Times New Roman" w:hAnsi="Times New Roman" w:eastAsia="宋体"/>
                <w:b w:val="0"/>
                <w:i w:val="0"/>
                <w:sz w:val="14"/>
              </w:rPr>
              <w:t>Cremers &amp; Petajisto (2009) [24]</w:t>
            </w:r>
            <w:r>
              <w:rPr>
                <w:rFonts w:ascii="Times New Roman" w:hAnsi="Times New Roman" w:eastAsia="宋体"/>
                <w:b w:val="0"/>
                <w:i w:val="0"/>
                <w:sz w:val="14"/>
              </w:rPr>
              <w:br w:type="textWrapping"/>
            </w:r>
            <w:r>
              <w:rPr>
                <w:rFonts w:ascii="Times New Roman" w:hAnsi="Times New Roman" w:eastAsia="宋体"/>
                <w:b w:val="0"/>
                <w:i w:val="0"/>
                <w:sz w:val="14"/>
              </w:rPr>
              <w:t>Frazzini et al. (2016) [25]</w:t>
            </w:r>
          </w:p>
        </w:tc>
        <w:tc>
          <w:tcPr>
            <w:tcW w:w="2211" w:type="dxa"/>
            <w:vAlign w:val="center"/>
          </w:tcPr>
          <w:p w14:paraId="0BF38C08">
            <w:pPr>
              <w:spacing w:before="20" w:after="20" w:line="259" w:lineRule="auto"/>
              <w:ind w:firstLine="0"/>
              <w:jc w:val="center"/>
            </w:pPr>
            <w:r>
              <w:rPr>
                <w:rFonts w:ascii="Times New Roman" w:hAnsi="Times New Roman" w:eastAsia="宋体"/>
                <w:b w:val="0"/>
                <w:i w:val="0"/>
                <w:sz w:val="14"/>
              </w:rPr>
              <w:t>持仓股票与基准权重偏离绝对值和的一半；度量偏离基准程度。</w:t>
            </w:r>
            <w:r>
              <w:rPr>
                <w:rFonts w:ascii="Times New Roman" w:hAnsi="Times New Roman" w:eastAsia="宋体"/>
                <w:b w:val="0"/>
                <w:i w:val="0"/>
                <w:sz w:val="14"/>
              </w:rPr>
              <w:br w:type="textWrapping"/>
            </w:r>
            <w:r>
              <w:rPr>
                <w:rFonts w:ascii="Times New Roman" w:hAnsi="Times New Roman" w:eastAsia="宋体"/>
                <w:b w:val="0"/>
                <w:i w:val="0"/>
                <w:sz w:val="14"/>
              </w:rPr>
              <w:t>（持仓与基准权重偏离和的一半）</w:t>
            </w:r>
          </w:p>
        </w:tc>
        <w:tc>
          <w:tcPr>
            <w:tcW w:w="2098" w:type="dxa"/>
            <w:vAlign w:val="center"/>
          </w:tcPr>
          <w:p w14:paraId="03E7198A">
            <w:pPr>
              <w:spacing w:before="20" w:after="20" w:line="259" w:lineRule="auto"/>
              <w:ind w:firstLine="0"/>
              <w:jc w:val="center"/>
            </w:pPr>
            <w:r>
              <w:rPr>
                <w:rFonts w:ascii="Times New Roman" w:hAnsi="Times New Roman" w:eastAsia="宋体"/>
                <w:b w:val="0"/>
                <w:i w:val="0"/>
                <w:sz w:val="14"/>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2A04B916">
            <w:pPr>
              <w:spacing w:before="20" w:after="20" w:line="259" w:lineRule="auto"/>
              <w:ind w:firstLine="0"/>
              <w:jc w:val="center"/>
            </w:pPr>
            <w:r>
              <w:rPr>
                <w:rFonts w:ascii="Times New Roman" w:hAnsi="Times New Roman" w:eastAsia="宋体"/>
                <w:b w:val="0"/>
                <w:i w:val="0"/>
                <w:sz w:val="14"/>
              </w:rPr>
              <w:t>L4 风险应对层</w:t>
            </w:r>
          </w:p>
        </w:tc>
        <w:tc>
          <w:tcPr>
            <w:tcW w:w="1020" w:type="dxa"/>
            <w:vAlign w:val="center"/>
          </w:tcPr>
          <w:p w14:paraId="13B7FFC0">
            <w:pPr>
              <w:spacing w:before="20" w:after="20" w:line="259" w:lineRule="auto"/>
              <w:ind w:firstLine="0"/>
              <w:jc w:val="center"/>
            </w:pPr>
            <w:r>
              <w:rPr>
                <w:rFonts w:ascii="Times New Roman" w:hAnsi="Times New Roman" w:eastAsia="宋体"/>
                <w:b w:val="0"/>
                <w:i w:val="0"/>
                <w:sz w:val="14"/>
              </w:rPr>
              <w:t>调仓幅度</w:t>
            </w:r>
            <w:r>
              <w:rPr>
                <w:rFonts w:ascii="Times New Roman" w:hAnsi="Times New Roman" w:eastAsia="宋体"/>
                <w:b w:val="0"/>
                <w:i w:val="0"/>
                <w:sz w:val="14"/>
              </w:rPr>
              <w:br w:type="textWrapping"/>
            </w:r>
            <w:r>
              <w:rPr>
                <w:rFonts w:ascii="Times New Roman" w:hAnsi="Times New Roman" w:eastAsia="宋体"/>
                <w:b w:val="0"/>
                <w:i w:val="0"/>
                <w:sz w:val="14"/>
              </w:rPr>
              <w:t>ARG</w:t>
            </w:r>
          </w:p>
        </w:tc>
        <w:tc>
          <w:tcPr>
            <w:tcW w:w="1757" w:type="dxa"/>
            <w:vAlign w:val="center"/>
          </w:tcPr>
          <w:p w14:paraId="7AC64A62">
            <w:pPr>
              <w:spacing w:before="20" w:after="20" w:line="259" w:lineRule="auto"/>
              <w:ind w:firstLine="0"/>
              <w:jc w:val="center"/>
            </w:pPr>
            <w:r>
              <w:rPr>
                <w:rFonts w:ascii="Times New Roman" w:hAnsi="Times New Roman" w:eastAsia="宋体"/>
                <w:b w:val="0"/>
                <w:i w:val="0"/>
                <w:sz w:val="14"/>
              </w:rPr>
              <w:t>披露外调仓操作预示未来业绩</w:t>
            </w:r>
          </w:p>
        </w:tc>
        <w:tc>
          <w:tcPr>
            <w:tcW w:w="1531" w:type="dxa"/>
            <w:vAlign w:val="center"/>
          </w:tcPr>
          <w:p w14:paraId="30050538">
            <w:pPr>
              <w:spacing w:before="20" w:after="20" w:line="259" w:lineRule="auto"/>
              <w:ind w:firstLine="0"/>
              <w:jc w:val="center"/>
            </w:pPr>
            <w:r>
              <w:rPr>
                <w:rFonts w:ascii="Times New Roman" w:hAnsi="Times New Roman" w:eastAsia="宋体"/>
                <w:b w:val="0"/>
                <w:i w:val="0"/>
                <w:sz w:val="14"/>
              </w:rPr>
              <w:t>Kacperczyk et al. (2008) [26]</w:t>
            </w:r>
          </w:p>
        </w:tc>
        <w:tc>
          <w:tcPr>
            <w:tcW w:w="2211" w:type="dxa"/>
            <w:vAlign w:val="center"/>
          </w:tcPr>
          <w:p w14:paraId="25D6BA13">
            <w:pPr>
              <w:spacing w:before="20" w:after="20" w:line="259" w:lineRule="auto"/>
              <w:ind w:firstLine="0"/>
              <w:jc w:val="center"/>
            </w:pPr>
            <w:r>
              <w:rPr>
                <w:rFonts w:ascii="Times New Roman" w:hAnsi="Times New Roman" w:eastAsia="宋体"/>
                <w:b w:val="0"/>
                <w:i w:val="0"/>
                <w:sz w:val="14"/>
              </w:rPr>
              <w:t>各月真实收益减静态收益差额绝对值累加；度量披露外波段活跃度。</w:t>
            </w:r>
            <w:r>
              <w:rPr>
                <w:rFonts w:ascii="Times New Roman" w:hAnsi="Times New Roman" w:eastAsia="宋体"/>
                <w:b w:val="0"/>
                <w:i w:val="0"/>
                <w:sz w:val="14"/>
              </w:rPr>
              <w:br w:type="textWrapping"/>
            </w:r>
            <w:r>
              <w:rPr>
                <w:rFonts w:ascii="Times New Roman" w:hAnsi="Times New Roman" w:eastAsia="宋体"/>
                <w:b w:val="0"/>
                <w:i w:val="0"/>
                <w:sz w:val="14"/>
              </w:rPr>
              <w:t>（各月 |真实净值收益 − 静态收益| 和）</w:t>
            </w:r>
          </w:p>
        </w:tc>
        <w:tc>
          <w:tcPr>
            <w:tcW w:w="2098" w:type="dxa"/>
            <w:vAlign w:val="center"/>
          </w:tcPr>
          <w:p w14:paraId="08EFD67A">
            <w:pPr>
              <w:spacing w:before="20" w:after="20" w:line="259" w:lineRule="auto"/>
              <w:ind w:firstLine="0"/>
              <w:jc w:val="center"/>
            </w:pPr>
            <w:r>
              <w:rPr>
                <w:rFonts w:ascii="Times New Roman" w:hAnsi="Times New Roman" w:eastAsia="宋体"/>
                <w:b w:val="0"/>
                <w:i w:val="0"/>
                <w:sz w:val="14"/>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071EB629">
            <w:pPr>
              <w:spacing w:before="20" w:after="20" w:line="259" w:lineRule="auto"/>
              <w:ind w:firstLine="0"/>
              <w:jc w:val="center"/>
            </w:pPr>
            <w:r>
              <w:rPr>
                <w:rFonts w:ascii="Times New Roman" w:hAnsi="Times New Roman" w:eastAsia="宋体"/>
                <w:b w:val="0"/>
                <w:i w:val="0"/>
                <w:sz w:val="14"/>
              </w:rPr>
              <w:t>L4 风险应对层</w:t>
            </w:r>
          </w:p>
        </w:tc>
        <w:tc>
          <w:tcPr>
            <w:tcW w:w="1020" w:type="dxa"/>
            <w:vAlign w:val="center"/>
          </w:tcPr>
          <w:p w14:paraId="7F1B1177">
            <w:pPr>
              <w:spacing w:before="20" w:after="20" w:line="259" w:lineRule="auto"/>
              <w:ind w:firstLine="0"/>
              <w:jc w:val="center"/>
            </w:pPr>
            <w:r>
              <w:rPr>
                <w:rFonts w:ascii="Times New Roman" w:hAnsi="Times New Roman" w:eastAsia="宋体"/>
                <w:b w:val="0"/>
                <w:i w:val="0"/>
                <w:sz w:val="14"/>
              </w:rPr>
              <w:t>下行保护</w:t>
            </w:r>
            <w:r>
              <w:rPr>
                <w:rFonts w:ascii="Times New Roman" w:hAnsi="Times New Roman" w:eastAsia="宋体"/>
                <w:b w:val="0"/>
                <w:i w:val="0"/>
                <w:sz w:val="14"/>
              </w:rPr>
              <w:br w:type="textWrapping"/>
            </w:r>
            <w:r>
              <w:rPr>
                <w:rFonts w:ascii="Times New Roman" w:hAnsi="Times New Roman" w:eastAsia="宋体"/>
                <w:b w:val="0"/>
                <w:i w:val="0"/>
                <w:sz w:val="14"/>
              </w:rPr>
              <w:t>timing</w:t>
            </w:r>
          </w:p>
        </w:tc>
        <w:tc>
          <w:tcPr>
            <w:tcW w:w="1757" w:type="dxa"/>
            <w:vAlign w:val="center"/>
          </w:tcPr>
          <w:p w14:paraId="18ED7CA8">
            <w:pPr>
              <w:spacing w:before="20" w:after="20" w:line="259" w:lineRule="auto"/>
              <w:ind w:firstLine="0"/>
              <w:jc w:val="center"/>
            </w:pPr>
            <w:r>
              <w:rPr>
                <w:rFonts w:ascii="Times New Roman" w:hAnsi="Times New Roman" w:eastAsia="宋体"/>
                <w:b w:val="0"/>
                <w:i w:val="0"/>
                <w:sz w:val="14"/>
              </w:rPr>
              <w:t>跌市主动收缩暴露的择时能力</w:t>
            </w:r>
          </w:p>
        </w:tc>
        <w:tc>
          <w:tcPr>
            <w:tcW w:w="1531" w:type="dxa"/>
            <w:vAlign w:val="center"/>
          </w:tcPr>
          <w:p w14:paraId="456B4EAD">
            <w:pPr>
              <w:spacing w:before="20" w:after="20" w:line="259" w:lineRule="auto"/>
              <w:ind w:firstLine="0"/>
              <w:jc w:val="center"/>
            </w:pPr>
            <w:r>
              <w:rPr>
                <w:rFonts w:ascii="Times New Roman" w:hAnsi="Times New Roman" w:eastAsia="宋体"/>
                <w:b w:val="0"/>
                <w:i w:val="0"/>
                <w:sz w:val="14"/>
              </w:rPr>
              <w:t>Henriksson &amp; Merton (1981) [12]</w:t>
            </w:r>
            <w:r>
              <w:rPr>
                <w:rFonts w:ascii="Times New Roman" w:hAnsi="Times New Roman" w:eastAsia="宋体"/>
                <w:b w:val="0"/>
                <w:i w:val="0"/>
                <w:sz w:val="14"/>
              </w:rPr>
              <w:br w:type="textWrapping"/>
            </w:r>
            <w:r>
              <w:rPr>
                <w:rFonts w:ascii="Times New Roman" w:hAnsi="Times New Roman" w:eastAsia="宋体"/>
                <w:b w:val="0"/>
                <w:i w:val="0"/>
                <w:sz w:val="14"/>
              </w:rPr>
              <w:t>Treynor &amp; Mazuy (1966) [27]</w:t>
            </w:r>
          </w:p>
        </w:tc>
        <w:tc>
          <w:tcPr>
            <w:tcW w:w="2211" w:type="dxa"/>
            <w:vAlign w:val="center"/>
          </w:tcPr>
          <w:p w14:paraId="72A47115">
            <w:pPr>
              <w:spacing w:before="20" w:after="20" w:line="259" w:lineRule="auto"/>
              <w:ind w:firstLine="0"/>
              <w:jc w:val="center"/>
            </w:pPr>
            <w:r>
              <w:rPr>
                <w:rFonts w:ascii="Times New Roman" w:hAnsi="Times New Roman" w:eastAsia="宋体"/>
                <w:b w:val="0"/>
                <w:i w:val="0"/>
                <w:sz w:val="14"/>
              </w:rPr>
              <w:t>分段回归检验大盘下跌时超额表现，跌市额外项取反；越大跌市防守越好。</w:t>
            </w:r>
            <w:r>
              <w:rPr>
                <w:rFonts w:ascii="Times New Roman" w:hAnsi="Times New Roman" w:eastAsia="宋体"/>
                <w:b w:val="0"/>
                <w:i w:val="0"/>
                <w:sz w:val="14"/>
              </w:rPr>
              <w:br w:type="textWrapping"/>
            </w:r>
            <w:r>
              <w:rPr>
                <w:rFonts w:ascii="Times New Roman" w:hAnsi="Times New Roman" w:eastAsia="宋体"/>
                <w:b w:val="0"/>
                <w:i w:val="0"/>
                <w:sz w:val="14"/>
              </w:rPr>
              <w:t>（HM 模型跌市额外项取相反数）</w:t>
            </w:r>
          </w:p>
        </w:tc>
        <w:tc>
          <w:tcPr>
            <w:tcW w:w="2098" w:type="dxa"/>
            <w:vAlign w:val="center"/>
          </w:tcPr>
          <w:p w14:paraId="4A8CAF17">
            <w:pPr>
              <w:spacing w:before="20" w:after="20" w:line="259" w:lineRule="auto"/>
              <w:ind w:firstLine="0"/>
              <w:jc w:val="center"/>
            </w:pPr>
            <w:r>
              <w:rPr>
                <w:rFonts w:ascii="Times New Roman" w:hAnsi="Times New Roman" w:eastAsia="宋体"/>
                <w:b w:val="0"/>
                <w:i w:val="0"/>
                <w:sz w:val="14"/>
              </w:rPr>
              <w:t>γ&lt;0 即跌市额外下跌，保护越好</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18D40EF6">
            <w:pPr>
              <w:spacing w:before="20" w:after="20" w:line="259" w:lineRule="auto"/>
              <w:ind w:firstLine="0"/>
              <w:jc w:val="center"/>
            </w:pPr>
            <w:r>
              <w:rPr>
                <w:rFonts w:ascii="Times New Roman" w:hAnsi="Times New Roman" w:eastAsia="宋体"/>
                <w:b w:val="0"/>
                <w:i w:val="0"/>
                <w:sz w:val="14"/>
              </w:rPr>
              <w:t>L4 风险应对层</w:t>
            </w:r>
          </w:p>
        </w:tc>
        <w:tc>
          <w:tcPr>
            <w:tcW w:w="1020" w:type="dxa"/>
            <w:vAlign w:val="center"/>
          </w:tcPr>
          <w:p w14:paraId="1D9CAF3F">
            <w:pPr>
              <w:spacing w:before="20" w:after="20" w:line="259" w:lineRule="auto"/>
              <w:ind w:firstLine="0"/>
              <w:jc w:val="center"/>
            </w:pPr>
            <w:r>
              <w:rPr>
                <w:rFonts w:ascii="Times New Roman" w:hAnsi="Times New Roman" w:eastAsia="宋体"/>
                <w:b w:val="0"/>
                <w:i w:val="0"/>
                <w:sz w:val="14"/>
              </w:rPr>
              <w:t>收益波动率</w:t>
            </w:r>
            <w:r>
              <w:rPr>
                <w:rFonts w:ascii="Times New Roman" w:hAnsi="Times New Roman" w:eastAsia="宋体"/>
                <w:b w:val="0"/>
                <w:i w:val="0"/>
                <w:sz w:val="14"/>
              </w:rPr>
              <w:br w:type="textWrapping"/>
            </w:r>
            <w:r>
              <w:rPr>
                <w:rFonts w:ascii="Times New Roman" w:hAnsi="Times New Roman" w:eastAsia="宋体"/>
                <w:b w:val="0"/>
                <w:i w:val="0"/>
                <w:sz w:val="14"/>
              </w:rPr>
              <w:t>return_volatility</w:t>
            </w:r>
          </w:p>
        </w:tc>
        <w:tc>
          <w:tcPr>
            <w:tcW w:w="1757" w:type="dxa"/>
            <w:vAlign w:val="center"/>
          </w:tcPr>
          <w:p w14:paraId="1C59ADEE">
            <w:pPr>
              <w:spacing w:before="20" w:after="20" w:line="259" w:lineRule="auto"/>
              <w:ind w:firstLine="0"/>
              <w:jc w:val="center"/>
            </w:pPr>
            <w:r>
              <w:rPr>
                <w:rFonts w:ascii="Times New Roman" w:hAnsi="Times New Roman" w:eastAsia="宋体"/>
                <w:b w:val="0"/>
                <w:i w:val="0"/>
                <w:sz w:val="14"/>
              </w:rPr>
              <w:t>风险承担水平本身对超额收益的解释力</w:t>
            </w:r>
          </w:p>
        </w:tc>
        <w:tc>
          <w:tcPr>
            <w:tcW w:w="1531" w:type="dxa"/>
            <w:vAlign w:val="center"/>
          </w:tcPr>
          <w:p w14:paraId="605C70D4">
            <w:pPr>
              <w:spacing w:before="20" w:after="20" w:line="259" w:lineRule="auto"/>
              <w:ind w:firstLine="0"/>
              <w:jc w:val="center"/>
            </w:pPr>
            <w:r>
              <w:rPr>
                <w:rFonts w:ascii="Times New Roman" w:hAnsi="Times New Roman" w:eastAsia="宋体"/>
                <w:b w:val="0"/>
                <w:i w:val="0"/>
                <w:sz w:val="14"/>
              </w:rPr>
              <w:t>Brown et al. (1996) [28]</w:t>
            </w:r>
          </w:p>
        </w:tc>
        <w:tc>
          <w:tcPr>
            <w:tcW w:w="2211" w:type="dxa"/>
            <w:vAlign w:val="center"/>
          </w:tcPr>
          <w:p w14:paraId="2D13EC65">
            <w:pPr>
              <w:spacing w:before="20" w:after="20" w:line="259" w:lineRule="auto"/>
              <w:ind w:firstLine="0"/>
              <w:jc w:val="center"/>
            </w:pPr>
            <w:r>
              <w:rPr>
                <w:rFonts w:ascii="Times New Roman" w:hAnsi="Times New Roman" w:eastAsia="宋体"/>
                <w:b w:val="0"/>
                <w:i w:val="0"/>
                <w:sz w:val="14"/>
              </w:rPr>
              <w:t>过去 8 季超额收益标准差；度量组合承担总风险波动水平。</w:t>
            </w:r>
            <w:r>
              <w:rPr>
                <w:rFonts w:ascii="Times New Roman" w:hAnsi="Times New Roman" w:eastAsia="宋体"/>
                <w:b w:val="0"/>
                <w:i w:val="0"/>
                <w:sz w:val="14"/>
              </w:rPr>
              <w:br w:type="textWrapping"/>
            </w:r>
            <w:r>
              <w:rPr>
                <w:rFonts w:ascii="Times New Roman" w:hAnsi="Times New Roman" w:eastAsia="宋体"/>
                <w:b w:val="0"/>
                <w:i w:val="0"/>
                <w:sz w:val="14"/>
              </w:rPr>
              <w:t>（季度超额收益滚动 8 季标准差）</w:t>
            </w:r>
          </w:p>
        </w:tc>
        <w:tc>
          <w:tcPr>
            <w:tcW w:w="2098" w:type="dxa"/>
            <w:vAlign w:val="center"/>
          </w:tcPr>
          <w:p w14:paraId="5D199AEE">
            <w:pPr>
              <w:spacing w:before="20" w:after="20" w:line="259" w:lineRule="auto"/>
              <w:ind w:firstLine="0"/>
              <w:jc w:val="center"/>
            </w:pPr>
            <w:r>
              <w:rPr>
                <w:rFonts w:ascii="Times New Roman" w:hAnsi="Times New Roman" w:eastAsia="宋体"/>
                <w:b w:val="0"/>
                <w:i w:val="0"/>
                <w:sz w:val="14"/>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2CE8CDE0">
            <w:pPr>
              <w:spacing w:before="20" w:after="20" w:line="259" w:lineRule="auto"/>
              <w:ind w:firstLine="0"/>
              <w:jc w:val="center"/>
            </w:pPr>
            <w:r>
              <w:rPr>
                <w:rFonts w:ascii="Times New Roman" w:hAnsi="Times New Roman" w:eastAsia="宋体"/>
                <w:b w:val="0"/>
                <w:i w:val="0"/>
                <w:sz w:val="14"/>
              </w:rPr>
              <w:t>L4 风险应对层</w:t>
            </w:r>
          </w:p>
        </w:tc>
        <w:tc>
          <w:tcPr>
            <w:tcW w:w="1020" w:type="dxa"/>
            <w:vAlign w:val="center"/>
          </w:tcPr>
          <w:p w14:paraId="1AF6664A">
            <w:pPr>
              <w:spacing w:before="20" w:after="20" w:line="259" w:lineRule="auto"/>
              <w:ind w:firstLine="0"/>
              <w:jc w:val="center"/>
            </w:pPr>
            <w:r>
              <w:rPr>
                <w:rFonts w:ascii="Times New Roman" w:hAnsi="Times New Roman" w:eastAsia="宋体"/>
                <w:b w:val="0"/>
                <w:i w:val="0"/>
                <w:sz w:val="14"/>
              </w:rPr>
              <w:t>风险稳定性</w:t>
            </w:r>
            <w:r>
              <w:rPr>
                <w:rFonts w:ascii="Times New Roman" w:hAnsi="Times New Roman" w:eastAsia="宋体"/>
                <w:b w:val="0"/>
                <w:i w:val="0"/>
                <w:sz w:val="14"/>
              </w:rPr>
              <w:br w:type="textWrapping"/>
            </w:r>
            <w:r>
              <w:rPr>
                <w:rFonts w:ascii="Times New Roman" w:hAnsi="Times New Roman" w:eastAsia="宋体"/>
                <w:b w:val="0"/>
                <w:i w:val="0"/>
                <w:sz w:val="14"/>
              </w:rPr>
              <w:t>rsstab</w:t>
            </w:r>
          </w:p>
        </w:tc>
        <w:tc>
          <w:tcPr>
            <w:tcW w:w="1757" w:type="dxa"/>
            <w:vAlign w:val="center"/>
          </w:tcPr>
          <w:p w14:paraId="6E295584">
            <w:pPr>
              <w:spacing w:before="20" w:after="20" w:line="259" w:lineRule="auto"/>
              <w:ind w:firstLine="0"/>
              <w:jc w:val="center"/>
            </w:pPr>
            <w:r>
              <w:rPr>
                <w:rFonts w:ascii="Times New Roman" w:hAnsi="Times New Roman" w:eastAsia="宋体"/>
                <w:b w:val="0"/>
                <w:i w:val="0"/>
                <w:sz w:val="14"/>
              </w:rPr>
              <w:t>风险水平在期间是否保持稳定</w:t>
            </w:r>
          </w:p>
        </w:tc>
        <w:tc>
          <w:tcPr>
            <w:tcW w:w="1531" w:type="dxa"/>
            <w:vAlign w:val="center"/>
          </w:tcPr>
          <w:p w14:paraId="5784092B">
            <w:pPr>
              <w:spacing w:before="20" w:after="20" w:line="259" w:lineRule="auto"/>
              <w:ind w:firstLine="0"/>
              <w:jc w:val="center"/>
            </w:pPr>
            <w:r>
              <w:rPr>
                <w:rFonts w:ascii="Times New Roman" w:hAnsi="Times New Roman" w:eastAsia="宋体"/>
                <w:b w:val="0"/>
                <w:i w:val="0"/>
                <w:sz w:val="14"/>
              </w:rPr>
              <w:t>Brown et al. (1996) [28]</w:t>
            </w:r>
          </w:p>
        </w:tc>
        <w:tc>
          <w:tcPr>
            <w:tcW w:w="2211" w:type="dxa"/>
            <w:vAlign w:val="center"/>
          </w:tcPr>
          <w:p w14:paraId="77DA50DF">
            <w:pPr>
              <w:spacing w:before="20" w:after="20" w:line="259" w:lineRule="auto"/>
              <w:ind w:firstLine="0"/>
              <w:jc w:val="center"/>
            </w:pPr>
            <w:r>
              <w:rPr>
                <w:rFonts w:ascii="Times New Roman" w:hAnsi="Times New Roman" w:eastAsia="宋体"/>
                <w:b w:val="0"/>
                <w:i w:val="0"/>
                <w:sz w:val="14"/>
              </w:rPr>
              <w:t>相邻两期滚动 4 季波动率变动绝对值取反；越接近 0 暴露越平稳。</w:t>
            </w:r>
            <w:r>
              <w:rPr>
                <w:rFonts w:ascii="Times New Roman" w:hAnsi="Times New Roman" w:eastAsia="宋体"/>
                <w:b w:val="0"/>
                <w:i w:val="0"/>
                <w:sz w:val="14"/>
              </w:rPr>
              <w:br w:type="textWrapping"/>
            </w:r>
            <w:r>
              <w:rPr>
                <w:rFonts w:ascii="Times New Roman" w:hAnsi="Times New Roman" w:eastAsia="宋体"/>
                <w:b w:val="0"/>
                <w:i w:val="0"/>
                <w:sz w:val="14"/>
              </w:rPr>
              <w:t>（波动率变动绝对值取反，滞后一期）</w:t>
            </w:r>
          </w:p>
        </w:tc>
        <w:tc>
          <w:tcPr>
            <w:tcW w:w="2098" w:type="dxa"/>
            <w:vAlign w:val="center"/>
          </w:tcPr>
          <w:p w14:paraId="01FAAAE4">
            <w:pPr>
              <w:spacing w:before="20" w:after="20" w:line="259" w:lineRule="auto"/>
              <w:ind w:firstLine="0"/>
              <w:jc w:val="center"/>
            </w:pPr>
            <w:r>
              <w:rPr>
                <w:rFonts w:ascii="Times New Roman" w:hAnsi="Times New Roman" w:eastAsia="宋体"/>
                <w:b w:val="0"/>
                <w:i w:val="0"/>
                <w:sz w:val="14"/>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78B67B4C">
            <w:pPr>
              <w:spacing w:before="20" w:after="20" w:line="259" w:lineRule="auto"/>
              <w:ind w:firstLine="0"/>
              <w:jc w:val="center"/>
            </w:pPr>
            <w:r>
              <w:rPr>
                <w:rFonts w:ascii="Times New Roman" w:hAnsi="Times New Roman" w:eastAsia="宋体"/>
                <w:b w:val="0"/>
                <w:i w:val="0"/>
                <w:sz w:val="14"/>
              </w:rPr>
              <w:t>L4 风险应对层</w:t>
            </w:r>
          </w:p>
        </w:tc>
        <w:tc>
          <w:tcPr>
            <w:tcW w:w="1020" w:type="dxa"/>
            <w:vAlign w:val="center"/>
          </w:tcPr>
          <w:p w14:paraId="70BD294E">
            <w:pPr>
              <w:spacing w:before="20" w:after="20" w:line="259" w:lineRule="auto"/>
              <w:ind w:firstLine="0"/>
              <w:jc w:val="center"/>
            </w:pPr>
            <w:r>
              <w:rPr>
                <w:rFonts w:ascii="Times New Roman" w:hAnsi="Times New Roman" w:eastAsia="宋体"/>
                <w:b w:val="0"/>
                <w:i w:val="0"/>
                <w:sz w:val="14"/>
              </w:rPr>
              <w:t>Sharpe 比率</w:t>
            </w:r>
            <w:r>
              <w:rPr>
                <w:rFonts w:ascii="Times New Roman" w:hAnsi="Times New Roman" w:eastAsia="宋体"/>
                <w:b w:val="0"/>
                <w:i w:val="0"/>
                <w:sz w:val="14"/>
              </w:rPr>
              <w:br w:type="textWrapping"/>
            </w:r>
            <w:r>
              <w:rPr>
                <w:rFonts w:ascii="Times New Roman" w:hAnsi="Times New Roman" w:eastAsia="宋体"/>
                <w:b w:val="0"/>
                <w:i w:val="0"/>
                <w:sz w:val="14"/>
              </w:rPr>
              <w:t>sharpe8</w:t>
            </w:r>
          </w:p>
        </w:tc>
        <w:tc>
          <w:tcPr>
            <w:tcW w:w="1757" w:type="dxa"/>
            <w:vAlign w:val="center"/>
          </w:tcPr>
          <w:p w14:paraId="337A3128">
            <w:pPr>
              <w:spacing w:before="20" w:after="20" w:line="259" w:lineRule="auto"/>
              <w:ind w:firstLine="0"/>
              <w:jc w:val="center"/>
            </w:pPr>
            <w:r>
              <w:rPr>
                <w:rFonts w:ascii="Times New Roman" w:hAnsi="Times New Roman" w:eastAsia="宋体"/>
                <w:b w:val="0"/>
                <w:i w:val="0"/>
                <w:sz w:val="14"/>
              </w:rPr>
              <w:t>单位总风险的收益转化效率</w:t>
            </w:r>
          </w:p>
        </w:tc>
        <w:tc>
          <w:tcPr>
            <w:tcW w:w="1531" w:type="dxa"/>
            <w:vAlign w:val="center"/>
          </w:tcPr>
          <w:p w14:paraId="1EB59ED6">
            <w:pPr>
              <w:spacing w:before="20" w:after="20" w:line="259" w:lineRule="auto"/>
              <w:ind w:firstLine="0"/>
              <w:jc w:val="center"/>
            </w:pPr>
            <w:r>
              <w:rPr>
                <w:rFonts w:ascii="Times New Roman" w:hAnsi="Times New Roman" w:eastAsia="宋体"/>
                <w:b w:val="0"/>
                <w:i w:val="0"/>
                <w:sz w:val="14"/>
              </w:rPr>
              <w:t>Sharpe (1966) [13]</w:t>
            </w:r>
          </w:p>
        </w:tc>
        <w:tc>
          <w:tcPr>
            <w:tcW w:w="2211" w:type="dxa"/>
            <w:vAlign w:val="center"/>
          </w:tcPr>
          <w:p w14:paraId="00608EC8">
            <w:pPr>
              <w:spacing w:before="20" w:after="20" w:line="259" w:lineRule="auto"/>
              <w:ind w:firstLine="0"/>
              <w:jc w:val="center"/>
            </w:pPr>
            <w:r>
              <w:rPr>
                <w:rFonts w:ascii="Times New Roman" w:hAnsi="Times New Roman" w:eastAsia="宋体"/>
                <w:b w:val="0"/>
                <w:i w:val="0"/>
                <w:sz w:val="14"/>
              </w:rPr>
              <w:t>过去 8 季平均超额收益除以总波动率；度量单位风险换回多少超额回报。</w:t>
            </w:r>
            <w:r>
              <w:rPr>
                <w:rFonts w:ascii="Times New Roman" w:hAnsi="Times New Roman" w:eastAsia="宋体"/>
                <w:b w:val="0"/>
                <w:i w:val="0"/>
                <w:sz w:val="14"/>
              </w:rPr>
              <w:br w:type="textWrapping"/>
            </w:r>
            <w:r>
              <w:rPr>
                <w:rFonts w:ascii="Times New Roman" w:hAnsi="Times New Roman" w:eastAsia="宋体"/>
                <w:b w:val="0"/>
                <w:i w:val="0"/>
                <w:sz w:val="14"/>
              </w:rPr>
              <w:t>（平均超额收益 ÷ 总波动率，滚动 8 季）</w:t>
            </w:r>
          </w:p>
        </w:tc>
        <w:tc>
          <w:tcPr>
            <w:tcW w:w="2098" w:type="dxa"/>
            <w:vAlign w:val="center"/>
          </w:tcPr>
          <w:p w14:paraId="3A97A805">
            <w:pPr>
              <w:spacing w:before="20" w:after="20" w:line="259" w:lineRule="auto"/>
              <w:ind w:firstLine="0"/>
              <w:jc w:val="center"/>
            </w:pPr>
            <w:r>
              <w:rPr>
                <w:rFonts w:ascii="Times New Roman" w:hAnsi="Times New Roman" w:eastAsia="宋体"/>
                <w:b w:val="0"/>
                <w:i w:val="0"/>
                <w:sz w:val="14"/>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631D49A3">
            <w:pPr>
              <w:spacing w:before="20" w:after="20" w:line="259" w:lineRule="auto"/>
              <w:ind w:firstLine="0"/>
              <w:jc w:val="center"/>
            </w:pPr>
            <w:r>
              <w:rPr>
                <w:rFonts w:ascii="Times New Roman" w:hAnsi="Times New Roman" w:eastAsia="宋体"/>
                <w:b w:val="0"/>
                <w:i w:val="0"/>
                <w:sz w:val="14"/>
              </w:rPr>
              <w:t>L4 风险应对层</w:t>
            </w:r>
          </w:p>
        </w:tc>
        <w:tc>
          <w:tcPr>
            <w:tcW w:w="1020" w:type="dxa"/>
            <w:vAlign w:val="center"/>
          </w:tcPr>
          <w:p w14:paraId="22564112">
            <w:pPr>
              <w:spacing w:before="20" w:after="20" w:line="259" w:lineRule="auto"/>
              <w:ind w:firstLine="0"/>
              <w:jc w:val="center"/>
            </w:pPr>
            <w:r>
              <w:rPr>
                <w:rFonts w:ascii="Times New Roman" w:hAnsi="Times New Roman" w:eastAsia="宋体"/>
                <w:b w:val="0"/>
                <w:i w:val="0"/>
                <w:sz w:val="14"/>
              </w:rPr>
              <w:t>Sortino 比率</w:t>
            </w:r>
            <w:r>
              <w:rPr>
                <w:rFonts w:ascii="Times New Roman" w:hAnsi="Times New Roman" w:eastAsia="宋体"/>
                <w:b w:val="0"/>
                <w:i w:val="0"/>
                <w:sz w:val="14"/>
              </w:rPr>
              <w:br w:type="textWrapping"/>
            </w:r>
            <w:r>
              <w:rPr>
                <w:rFonts w:ascii="Times New Roman" w:hAnsi="Times New Roman" w:eastAsia="宋体"/>
                <w:b w:val="0"/>
                <w:i w:val="0"/>
                <w:sz w:val="14"/>
              </w:rPr>
              <w:t>sortino8</w:t>
            </w:r>
          </w:p>
        </w:tc>
        <w:tc>
          <w:tcPr>
            <w:tcW w:w="1757" w:type="dxa"/>
            <w:vAlign w:val="center"/>
          </w:tcPr>
          <w:p w14:paraId="209A178E">
            <w:pPr>
              <w:spacing w:before="20" w:after="20" w:line="259" w:lineRule="auto"/>
              <w:ind w:firstLine="0"/>
              <w:jc w:val="center"/>
            </w:pPr>
            <w:r>
              <w:rPr>
                <w:rFonts w:ascii="Times New Roman" w:hAnsi="Times New Roman" w:eastAsia="宋体"/>
                <w:b w:val="0"/>
                <w:i w:val="0"/>
                <w:sz w:val="14"/>
              </w:rPr>
              <w:t>真正厌恶的是下行风险而非总波动</w:t>
            </w:r>
          </w:p>
        </w:tc>
        <w:tc>
          <w:tcPr>
            <w:tcW w:w="1531" w:type="dxa"/>
            <w:vAlign w:val="center"/>
          </w:tcPr>
          <w:p w14:paraId="7B100101">
            <w:pPr>
              <w:spacing w:before="20" w:after="20" w:line="259" w:lineRule="auto"/>
              <w:ind w:firstLine="0"/>
              <w:jc w:val="center"/>
            </w:pPr>
            <w:r>
              <w:rPr>
                <w:rFonts w:ascii="Times New Roman" w:hAnsi="Times New Roman" w:eastAsia="宋体"/>
                <w:b w:val="0"/>
                <w:i w:val="0"/>
                <w:sz w:val="14"/>
              </w:rPr>
              <w:t>Sortino &amp; Price (1994) [29]</w:t>
            </w:r>
          </w:p>
        </w:tc>
        <w:tc>
          <w:tcPr>
            <w:tcW w:w="2211" w:type="dxa"/>
            <w:vAlign w:val="center"/>
          </w:tcPr>
          <w:p w14:paraId="79346F76">
            <w:pPr>
              <w:spacing w:before="20" w:after="20" w:line="259" w:lineRule="auto"/>
              <w:ind w:firstLine="0"/>
              <w:jc w:val="center"/>
            </w:pPr>
            <w:r>
              <w:rPr>
                <w:rFonts w:ascii="Times New Roman" w:hAnsi="Times New Roman" w:eastAsia="宋体"/>
                <w:b w:val="0"/>
                <w:i w:val="0"/>
                <w:sz w:val="14"/>
              </w:rPr>
              <w:t>平均超额收益除以下行亏损波动率；只惩罚下跌，度量下行转化效率。</w:t>
            </w:r>
            <w:r>
              <w:rPr>
                <w:rFonts w:ascii="Times New Roman" w:hAnsi="Times New Roman" w:eastAsia="宋体"/>
                <w:b w:val="0"/>
                <w:i w:val="0"/>
                <w:sz w:val="14"/>
              </w:rPr>
              <w:br w:type="textWrapping"/>
            </w:r>
            <w:r>
              <w:rPr>
                <w:rFonts w:ascii="Times New Roman" w:hAnsi="Times New Roman" w:eastAsia="宋体"/>
                <w:b w:val="0"/>
                <w:i w:val="0"/>
                <w:sz w:val="14"/>
              </w:rPr>
              <w:t>（平均超额收益 ÷ 下行波动率，滚动 8 季）</w:t>
            </w:r>
          </w:p>
        </w:tc>
        <w:tc>
          <w:tcPr>
            <w:tcW w:w="2098" w:type="dxa"/>
            <w:vAlign w:val="center"/>
          </w:tcPr>
          <w:p w14:paraId="5C93FBB5">
            <w:pPr>
              <w:spacing w:before="20" w:after="20" w:line="259" w:lineRule="auto"/>
              <w:ind w:firstLine="0"/>
              <w:jc w:val="center"/>
            </w:pPr>
            <w:r>
              <w:rPr>
                <w:rFonts w:ascii="Times New Roman" w:hAnsi="Times New Roman" w:eastAsia="宋体"/>
                <w:b w:val="0"/>
                <w:i w:val="0"/>
                <w:sz w:val="14"/>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3874399D">
            <w:pPr>
              <w:spacing w:before="20" w:after="20" w:line="259" w:lineRule="auto"/>
              <w:ind w:firstLine="0"/>
              <w:jc w:val="center"/>
            </w:pPr>
            <w:r>
              <w:rPr>
                <w:rFonts w:ascii="Times New Roman" w:hAnsi="Times New Roman" w:eastAsia="宋体"/>
                <w:b w:val="0"/>
                <w:i w:val="0"/>
                <w:sz w:val="14"/>
              </w:rPr>
              <w:t>L4 风险应对层</w:t>
            </w:r>
          </w:p>
        </w:tc>
        <w:tc>
          <w:tcPr>
            <w:tcW w:w="1020" w:type="dxa"/>
            <w:vAlign w:val="center"/>
          </w:tcPr>
          <w:p w14:paraId="72F6FEEF">
            <w:pPr>
              <w:spacing w:before="20" w:after="20" w:line="259" w:lineRule="auto"/>
              <w:ind w:firstLine="0"/>
              <w:jc w:val="center"/>
            </w:pPr>
            <w:r>
              <w:rPr>
                <w:rFonts w:ascii="Times New Roman" w:hAnsi="Times New Roman" w:eastAsia="宋体"/>
                <w:b w:val="0"/>
                <w:i w:val="0"/>
                <w:sz w:val="14"/>
              </w:rPr>
              <w:t>抗操纵绩效测度</w:t>
            </w:r>
            <w:r>
              <w:rPr>
                <w:rFonts w:ascii="Times New Roman" w:hAnsi="Times New Roman" w:eastAsia="宋体"/>
                <w:b w:val="0"/>
                <w:i w:val="0"/>
                <w:sz w:val="14"/>
              </w:rPr>
              <w:br w:type="textWrapping"/>
            </w:r>
            <w:r>
              <w:rPr>
                <w:rFonts w:ascii="Times New Roman" w:hAnsi="Times New Roman" w:eastAsia="宋体"/>
                <w:b w:val="0"/>
                <w:i w:val="0"/>
                <w:sz w:val="14"/>
              </w:rPr>
              <w:t>mppm8</w:t>
            </w:r>
          </w:p>
        </w:tc>
        <w:tc>
          <w:tcPr>
            <w:tcW w:w="1757" w:type="dxa"/>
            <w:vAlign w:val="center"/>
          </w:tcPr>
          <w:p w14:paraId="632A787C">
            <w:pPr>
              <w:spacing w:before="20" w:after="20" w:line="259" w:lineRule="auto"/>
              <w:ind w:firstLine="0"/>
              <w:jc w:val="center"/>
            </w:pPr>
            <w:r>
              <w:rPr>
                <w:rFonts w:ascii="Times New Roman" w:hAnsi="Times New Roman" w:eastAsia="宋体"/>
                <w:b w:val="0"/>
                <w:i w:val="0"/>
                <w:sz w:val="14"/>
              </w:rPr>
              <w:t>传统比率易被操纵，需效用变换度量</w:t>
            </w:r>
          </w:p>
        </w:tc>
        <w:tc>
          <w:tcPr>
            <w:tcW w:w="1531" w:type="dxa"/>
            <w:vAlign w:val="center"/>
          </w:tcPr>
          <w:p w14:paraId="2B6E4540">
            <w:pPr>
              <w:spacing w:before="20" w:after="20" w:line="259" w:lineRule="auto"/>
              <w:ind w:firstLine="0"/>
              <w:jc w:val="center"/>
            </w:pPr>
            <w:r>
              <w:rPr>
                <w:rFonts w:ascii="Times New Roman" w:hAnsi="Times New Roman" w:eastAsia="宋体"/>
                <w:b w:val="0"/>
                <w:i w:val="0"/>
                <w:sz w:val="14"/>
              </w:rPr>
              <w:t>Goetzmann et al. (2007) [15]</w:t>
            </w:r>
          </w:p>
        </w:tc>
        <w:tc>
          <w:tcPr>
            <w:tcW w:w="2211" w:type="dxa"/>
            <w:vAlign w:val="center"/>
          </w:tcPr>
          <w:p w14:paraId="3D2752E8">
            <w:pPr>
              <w:spacing w:before="20" w:after="20" w:line="259" w:lineRule="auto"/>
              <w:ind w:firstLine="0"/>
              <w:jc w:val="center"/>
            </w:pPr>
            <w:r>
              <w:rPr>
                <w:rFonts w:ascii="Times New Roman" w:hAnsi="Times New Roman" w:eastAsia="宋体"/>
                <w:b w:val="0"/>
                <w:i w:val="0"/>
                <w:sz w:val="14"/>
              </w:rPr>
              <w:t>对大额亏损重罚（参数为 3），计算重罚后真实年化收益转化。</w:t>
            </w:r>
            <w:r>
              <w:rPr>
                <w:rFonts w:ascii="Times New Roman" w:hAnsi="Times New Roman" w:eastAsia="宋体"/>
                <w:b w:val="0"/>
                <w:i w:val="0"/>
                <w:sz w:val="14"/>
              </w:rPr>
              <w:br w:type="textWrapping"/>
            </w:r>
            <w:r>
              <w:rPr>
                <w:rFonts w:ascii="Times New Roman" w:hAnsi="Times New Roman" w:eastAsia="宋体"/>
                <w:b w:val="0"/>
                <w:i w:val="0"/>
                <w:sz w:val="14"/>
              </w:rPr>
              <w:t>（经重度亏损惩罚后效用等价年化收益）</w:t>
            </w:r>
          </w:p>
        </w:tc>
        <w:tc>
          <w:tcPr>
            <w:tcW w:w="2098" w:type="dxa"/>
            <w:vAlign w:val="center"/>
          </w:tcPr>
          <w:p w14:paraId="4B297C6C">
            <w:pPr>
              <w:spacing w:before="20" w:after="20" w:line="259" w:lineRule="auto"/>
              <w:ind w:firstLine="0"/>
              <w:jc w:val="center"/>
            </w:pPr>
            <w:r>
              <w:rPr>
                <w:rFonts w:ascii="Times New Roman" w:hAnsi="Times New Roman" w:eastAsia="宋体"/>
                <w:b w:val="0"/>
                <w:i w:val="0"/>
                <w:sz w:val="14"/>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35F58E93">
            <w:pPr>
              <w:spacing w:before="20" w:after="20" w:line="259" w:lineRule="auto"/>
              <w:ind w:firstLine="0"/>
              <w:jc w:val="center"/>
            </w:pPr>
            <w:r>
              <w:rPr>
                <w:rFonts w:ascii="Times New Roman" w:hAnsi="Times New Roman" w:eastAsia="宋体"/>
                <w:b w:val="0"/>
                <w:i w:val="0"/>
                <w:sz w:val="14"/>
              </w:rPr>
              <w:t>L5 交易执行层</w:t>
            </w:r>
          </w:p>
        </w:tc>
        <w:tc>
          <w:tcPr>
            <w:tcW w:w="1020" w:type="dxa"/>
            <w:vAlign w:val="center"/>
          </w:tcPr>
          <w:p w14:paraId="3D70905E">
            <w:pPr>
              <w:spacing w:before="20" w:after="20" w:line="259" w:lineRule="auto"/>
              <w:ind w:firstLine="0"/>
              <w:jc w:val="center"/>
            </w:pPr>
            <w:r>
              <w:rPr>
                <w:rFonts w:ascii="Times New Roman" w:hAnsi="Times New Roman" w:eastAsia="宋体"/>
                <w:b w:val="0"/>
                <w:i w:val="0"/>
                <w:sz w:val="14"/>
              </w:rPr>
              <w:t>策略偏离指数</w:t>
            </w:r>
            <w:r>
              <w:rPr>
                <w:rFonts w:ascii="Times New Roman" w:hAnsi="Times New Roman" w:eastAsia="宋体"/>
                <w:b w:val="0"/>
                <w:i w:val="0"/>
                <w:sz w:val="14"/>
              </w:rPr>
              <w:br w:type="textWrapping"/>
            </w:r>
            <w:r>
              <w:rPr>
                <w:rFonts w:ascii="Times New Roman" w:hAnsi="Times New Roman" w:eastAsia="宋体"/>
                <w:b w:val="0"/>
                <w:i w:val="0"/>
                <w:sz w:val="14"/>
              </w:rPr>
              <w:t>SDI</w:t>
            </w:r>
          </w:p>
        </w:tc>
        <w:tc>
          <w:tcPr>
            <w:tcW w:w="1757" w:type="dxa"/>
            <w:vAlign w:val="center"/>
          </w:tcPr>
          <w:p w14:paraId="0D7A7A07">
            <w:pPr>
              <w:spacing w:before="20" w:after="20" w:line="259" w:lineRule="auto"/>
              <w:ind w:firstLine="0"/>
              <w:jc w:val="center"/>
            </w:pPr>
            <w:r>
              <w:rPr>
                <w:rFonts w:ascii="Times New Roman" w:hAnsi="Times New Roman" w:eastAsia="宋体"/>
                <w:b w:val="0"/>
                <w:i w:val="0"/>
                <w:sz w:val="14"/>
              </w:rPr>
              <w:t>风格漂移影响基金业绩与资金流</w:t>
            </w:r>
          </w:p>
        </w:tc>
        <w:tc>
          <w:tcPr>
            <w:tcW w:w="1531" w:type="dxa"/>
            <w:vAlign w:val="center"/>
          </w:tcPr>
          <w:p w14:paraId="487BE867">
            <w:pPr>
              <w:spacing w:before="20" w:after="20" w:line="259" w:lineRule="auto"/>
              <w:ind w:firstLine="0"/>
              <w:jc w:val="center"/>
            </w:pPr>
            <w:r>
              <w:rPr>
                <w:rFonts w:ascii="Times New Roman" w:hAnsi="Times New Roman" w:eastAsia="宋体"/>
                <w:b w:val="0"/>
                <w:i w:val="0"/>
                <w:sz w:val="14"/>
              </w:rPr>
              <w:t>Wermers (2012) [30]</w:t>
            </w:r>
          </w:p>
        </w:tc>
        <w:tc>
          <w:tcPr>
            <w:tcW w:w="2211" w:type="dxa"/>
            <w:vAlign w:val="center"/>
          </w:tcPr>
          <w:p w14:paraId="0DA91F28">
            <w:pPr>
              <w:spacing w:before="20" w:after="20" w:line="259" w:lineRule="auto"/>
              <w:ind w:firstLine="0"/>
              <w:jc w:val="center"/>
            </w:pPr>
            <w:r>
              <w:rPr>
                <w:rFonts w:ascii="Times New Roman" w:hAnsi="Times New Roman" w:eastAsia="宋体"/>
                <w:b w:val="0"/>
                <w:i w:val="0"/>
                <w:sz w:val="14"/>
              </w:rPr>
              <w:t>风格回归隐含权重相邻两季变动距离；越大净值风格漂移越剧烈。</w:t>
            </w:r>
            <w:r>
              <w:rPr>
                <w:rFonts w:ascii="Times New Roman" w:hAnsi="Times New Roman" w:eastAsia="宋体"/>
                <w:b w:val="0"/>
                <w:i w:val="0"/>
                <w:sz w:val="14"/>
              </w:rPr>
              <w:br w:type="textWrapping"/>
            </w:r>
            <w:r>
              <w:rPr>
                <w:rFonts w:ascii="Times New Roman" w:hAnsi="Times New Roman" w:eastAsia="宋体"/>
                <w:b w:val="0"/>
                <w:i w:val="0"/>
                <w:sz w:val="14"/>
              </w:rPr>
              <w:t>（相邻两季风格回归权重变动和）</w:t>
            </w:r>
          </w:p>
        </w:tc>
        <w:tc>
          <w:tcPr>
            <w:tcW w:w="2098" w:type="dxa"/>
            <w:vAlign w:val="center"/>
          </w:tcPr>
          <w:p w14:paraId="3D27AE3B">
            <w:pPr>
              <w:spacing w:before="20" w:after="20" w:line="259" w:lineRule="auto"/>
              <w:ind w:firstLine="0"/>
              <w:jc w:val="center"/>
            </w:pPr>
            <w:r>
              <w:rPr>
                <w:rFonts w:ascii="Times New Roman" w:hAnsi="Times New Roman" w:eastAsia="宋体"/>
                <w:b w:val="0"/>
                <w:i w:val="0"/>
                <w:sz w:val="14"/>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56707480">
            <w:pPr>
              <w:spacing w:before="20" w:after="20" w:line="259" w:lineRule="auto"/>
              <w:ind w:firstLine="0"/>
              <w:jc w:val="center"/>
            </w:pPr>
            <w:r>
              <w:rPr>
                <w:rFonts w:ascii="Times New Roman" w:hAnsi="Times New Roman" w:eastAsia="宋体"/>
                <w:b w:val="0"/>
                <w:i w:val="0"/>
                <w:sz w:val="14"/>
              </w:rPr>
              <w:t>L5 交易执行层</w:t>
            </w:r>
          </w:p>
        </w:tc>
        <w:tc>
          <w:tcPr>
            <w:tcW w:w="1020" w:type="dxa"/>
            <w:vAlign w:val="center"/>
          </w:tcPr>
          <w:p w14:paraId="14DD6396">
            <w:pPr>
              <w:spacing w:before="20" w:after="20" w:line="259" w:lineRule="auto"/>
              <w:ind w:firstLine="0"/>
              <w:jc w:val="center"/>
            </w:pPr>
            <w:r>
              <w:rPr>
                <w:rFonts w:ascii="Times New Roman" w:hAnsi="Times New Roman" w:eastAsia="宋体"/>
                <w:b w:val="0"/>
                <w:i w:val="0"/>
                <w:sz w:val="14"/>
              </w:rPr>
              <w:t>交易趋同度</w:t>
            </w:r>
            <w:r>
              <w:rPr>
                <w:rFonts w:ascii="Times New Roman" w:hAnsi="Times New Roman" w:eastAsia="宋体"/>
                <w:b w:val="0"/>
                <w:i w:val="0"/>
                <w:sz w:val="14"/>
              </w:rPr>
              <w:br w:type="textWrapping"/>
            </w:r>
            <w:r>
              <w:rPr>
                <w:rFonts w:ascii="Times New Roman" w:hAnsi="Times New Roman" w:eastAsia="宋体"/>
                <w:b w:val="0"/>
                <w:i w:val="0"/>
                <w:sz w:val="14"/>
              </w:rPr>
              <w:t>lsv</w:t>
            </w:r>
          </w:p>
        </w:tc>
        <w:tc>
          <w:tcPr>
            <w:tcW w:w="1757" w:type="dxa"/>
            <w:vAlign w:val="center"/>
          </w:tcPr>
          <w:p w14:paraId="2A566F82">
            <w:pPr>
              <w:spacing w:before="20" w:after="20" w:line="259" w:lineRule="auto"/>
              <w:ind w:firstLine="0"/>
              <w:jc w:val="center"/>
            </w:pPr>
            <w:r>
              <w:rPr>
                <w:rFonts w:ascii="Times New Roman" w:hAnsi="Times New Roman" w:eastAsia="宋体"/>
                <w:b w:val="0"/>
                <w:i w:val="0"/>
                <w:sz w:val="14"/>
              </w:rPr>
              <w:t>被共识买入的股票随后跑赢</w:t>
            </w:r>
          </w:p>
        </w:tc>
        <w:tc>
          <w:tcPr>
            <w:tcW w:w="1531" w:type="dxa"/>
            <w:vAlign w:val="center"/>
          </w:tcPr>
          <w:p w14:paraId="76FF4466">
            <w:pPr>
              <w:spacing w:before="20" w:after="20" w:line="259" w:lineRule="auto"/>
              <w:ind w:firstLine="0"/>
              <w:jc w:val="center"/>
            </w:pPr>
            <w:r>
              <w:rPr>
                <w:rFonts w:ascii="Times New Roman" w:hAnsi="Times New Roman" w:eastAsia="宋体"/>
                <w:b w:val="0"/>
                <w:i w:val="0"/>
                <w:sz w:val="14"/>
              </w:rPr>
              <w:t>Lakonishok et al. (1992) [17]</w:t>
            </w:r>
            <w:r>
              <w:rPr>
                <w:rFonts w:ascii="Times New Roman" w:hAnsi="Times New Roman" w:eastAsia="宋体"/>
                <w:b w:val="0"/>
                <w:i w:val="0"/>
                <w:sz w:val="14"/>
              </w:rPr>
              <w:br w:type="textWrapping"/>
            </w:r>
            <w:r>
              <w:rPr>
                <w:rFonts w:ascii="Times New Roman" w:hAnsi="Times New Roman" w:eastAsia="宋体"/>
                <w:b w:val="0"/>
                <w:i w:val="0"/>
                <w:sz w:val="14"/>
              </w:rPr>
              <w:t>Wermers (1999) [31]</w:t>
            </w:r>
          </w:p>
        </w:tc>
        <w:tc>
          <w:tcPr>
            <w:tcW w:w="2211" w:type="dxa"/>
            <w:vAlign w:val="center"/>
          </w:tcPr>
          <w:p w14:paraId="3A69CC4A">
            <w:pPr>
              <w:spacing w:before="20" w:after="20" w:line="259" w:lineRule="auto"/>
              <w:ind w:firstLine="0"/>
              <w:jc w:val="center"/>
            </w:pPr>
            <w:r>
              <w:rPr>
                <w:rFonts w:ascii="Times New Roman" w:hAnsi="Times New Roman" w:eastAsia="宋体"/>
                <w:b w:val="0"/>
                <w:i w:val="0"/>
                <w:sz w:val="14"/>
              </w:rPr>
              <w:t>买入基金比例偏离市场均值绝对程度；越大买卖越跟风抱团。</w:t>
            </w:r>
            <w:r>
              <w:rPr>
                <w:rFonts w:ascii="Times New Roman" w:hAnsi="Times New Roman" w:eastAsia="宋体"/>
                <w:b w:val="0"/>
                <w:i w:val="0"/>
                <w:sz w:val="14"/>
              </w:rPr>
              <w:br w:type="textWrapping"/>
            </w:r>
            <w:r>
              <w:rPr>
                <w:rFonts w:ascii="Times New Roman" w:hAnsi="Times New Roman" w:eastAsia="宋体"/>
                <w:b w:val="0"/>
                <w:i w:val="0"/>
                <w:sz w:val="14"/>
              </w:rPr>
              <w:t>（买入基金占比偏离均值绝对程度）</w:t>
            </w:r>
          </w:p>
        </w:tc>
        <w:tc>
          <w:tcPr>
            <w:tcW w:w="2098" w:type="dxa"/>
            <w:vAlign w:val="center"/>
          </w:tcPr>
          <w:p w14:paraId="7AEF527A">
            <w:pPr>
              <w:spacing w:before="20" w:after="20" w:line="259" w:lineRule="auto"/>
              <w:ind w:firstLine="0"/>
              <w:jc w:val="center"/>
            </w:pPr>
            <w:r>
              <w:rPr>
                <w:rFonts w:ascii="Times New Roman" w:hAnsi="Times New Roman" w:eastAsia="宋体"/>
                <w:b w:val="0"/>
                <w:i w:val="0"/>
                <w:sz w:val="14"/>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vAlign w:val="center"/>
          </w:tcPr>
          <w:p w14:paraId="175EDE52">
            <w:pPr>
              <w:spacing w:before="20" w:after="20" w:line="259" w:lineRule="auto"/>
              <w:ind w:firstLine="0"/>
              <w:jc w:val="center"/>
            </w:pPr>
            <w:r>
              <w:rPr>
                <w:rFonts w:ascii="Times New Roman" w:hAnsi="Times New Roman" w:eastAsia="宋体"/>
                <w:b w:val="0"/>
                <w:i w:val="0"/>
                <w:sz w:val="14"/>
              </w:rPr>
              <w:t>L5 交易执行层</w:t>
            </w:r>
          </w:p>
        </w:tc>
        <w:tc>
          <w:tcPr>
            <w:tcW w:w="1020" w:type="dxa"/>
            <w:vAlign w:val="center"/>
          </w:tcPr>
          <w:p w14:paraId="35F57581">
            <w:pPr>
              <w:spacing w:before="20" w:after="20" w:line="259" w:lineRule="auto"/>
              <w:ind w:firstLine="0"/>
              <w:jc w:val="center"/>
            </w:pPr>
            <w:r>
              <w:rPr>
                <w:rFonts w:ascii="Times New Roman" w:hAnsi="Times New Roman" w:eastAsia="宋体"/>
                <w:b w:val="0"/>
                <w:i w:val="0"/>
                <w:sz w:val="14"/>
              </w:rPr>
              <w:t>换手率</w:t>
            </w:r>
            <w:r>
              <w:rPr>
                <w:rFonts w:ascii="Times New Roman" w:hAnsi="Times New Roman" w:eastAsia="宋体"/>
                <w:b w:val="0"/>
                <w:i w:val="0"/>
                <w:sz w:val="14"/>
              </w:rPr>
              <w:br w:type="textWrapping"/>
            </w:r>
            <w:r>
              <w:rPr>
                <w:rFonts w:ascii="Times New Roman" w:hAnsi="Times New Roman" w:eastAsia="宋体"/>
                <w:b w:val="0"/>
                <w:i w:val="0"/>
                <w:sz w:val="14"/>
              </w:rPr>
              <w:t>TO</w:t>
            </w:r>
          </w:p>
        </w:tc>
        <w:tc>
          <w:tcPr>
            <w:tcW w:w="1757" w:type="dxa"/>
            <w:vAlign w:val="center"/>
          </w:tcPr>
          <w:p w14:paraId="6B362F8F">
            <w:pPr>
              <w:spacing w:before="20" w:after="20" w:line="259" w:lineRule="auto"/>
              <w:ind w:firstLine="0"/>
              <w:jc w:val="center"/>
            </w:pPr>
            <w:r>
              <w:rPr>
                <w:rFonts w:ascii="Times New Roman" w:hAnsi="Times New Roman" w:eastAsia="宋体"/>
                <w:b w:val="0"/>
                <w:i w:val="0"/>
                <w:sz w:val="14"/>
              </w:rPr>
              <w:t>交易频率与业绩的关系</w:t>
            </w:r>
          </w:p>
        </w:tc>
        <w:tc>
          <w:tcPr>
            <w:tcW w:w="1531" w:type="dxa"/>
            <w:vAlign w:val="center"/>
          </w:tcPr>
          <w:p w14:paraId="15D4024E">
            <w:pPr>
              <w:spacing w:before="20" w:after="20" w:line="259" w:lineRule="auto"/>
              <w:ind w:firstLine="0"/>
              <w:jc w:val="center"/>
            </w:pPr>
            <w:r>
              <w:rPr>
                <w:rFonts w:ascii="Times New Roman" w:hAnsi="Times New Roman" w:eastAsia="宋体"/>
                <w:b w:val="0"/>
                <w:i w:val="0"/>
                <w:sz w:val="14"/>
              </w:rPr>
              <w:t>Puetz &amp; Ruenzi (2011) [21]</w:t>
            </w:r>
          </w:p>
        </w:tc>
        <w:tc>
          <w:tcPr>
            <w:tcW w:w="2211" w:type="dxa"/>
            <w:vAlign w:val="center"/>
          </w:tcPr>
          <w:p w14:paraId="6C962B76">
            <w:pPr>
              <w:spacing w:before="20" w:after="20" w:line="259" w:lineRule="auto"/>
              <w:ind w:firstLine="0"/>
              <w:jc w:val="center"/>
            </w:pPr>
            <w:r>
              <w:rPr>
                <w:rFonts w:ascii="Times New Roman" w:hAnsi="Times New Roman" w:eastAsia="宋体"/>
                <w:b w:val="0"/>
                <w:i w:val="0"/>
                <w:sz w:val="14"/>
              </w:rPr>
              <w:t>季度股票单边成交额除以平均净资产；度量买卖频繁程度。</w:t>
            </w:r>
            <w:r>
              <w:rPr>
                <w:rFonts w:ascii="Times New Roman" w:hAnsi="Times New Roman" w:eastAsia="宋体"/>
                <w:b w:val="0"/>
                <w:i w:val="0"/>
                <w:sz w:val="14"/>
              </w:rPr>
              <w:br w:type="textWrapping"/>
            </w:r>
            <w:r>
              <w:rPr>
                <w:rFonts w:ascii="Times New Roman" w:hAnsi="Times New Roman" w:eastAsia="宋体"/>
                <w:b w:val="0"/>
                <w:i w:val="0"/>
                <w:sz w:val="14"/>
              </w:rPr>
              <w:t>（季度单边成交额 ÷ 平均净资产）</w:t>
            </w:r>
          </w:p>
        </w:tc>
        <w:tc>
          <w:tcPr>
            <w:tcW w:w="2098" w:type="dxa"/>
            <w:vAlign w:val="center"/>
          </w:tcPr>
          <w:p w14:paraId="33032CED">
            <w:pPr>
              <w:spacing w:before="20" w:after="20" w:line="259" w:lineRule="auto"/>
              <w:ind w:firstLine="0"/>
              <w:jc w:val="center"/>
            </w:pPr>
            <w:r>
              <w:rPr>
                <w:rFonts w:ascii="Times New Roman" w:hAnsi="Times New Roman" w:eastAsia="宋体"/>
                <w:b w:val="0"/>
                <w:i w:val="0"/>
                <w:sz w:val="14"/>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rPr>
          <w:rFonts w:ascii="Times New Roman" w:hAnsi="Times New Roman" w:eastAsia="宋体"/>
          <w:b w:val="0"/>
          <w:i w:val="0"/>
          <w:sz w:val="24"/>
        </w:rP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个季度，存续不少于 12 个季度的 362 只基金构成核心横截面样本。</w:t>
      </w:r>
    </w:p>
    <w:p w14:paraId="627D65EE">
      <w:pPr>
        <w:spacing w:after="80" w:line="324" w:lineRule="auto"/>
        <w:ind w:firstLine="480"/>
      </w:pPr>
      <w: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t>表 2  各行为指标的理论预期方向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361" w:type="dxa"/>
            <w:shd w:val="clear" w:color="auto" w:fill="F2F4F5"/>
            <w:vAlign w:val="center"/>
          </w:tcPr>
          <w:p w14:paraId="63EA2AED">
            <w:pPr>
              <w:spacing w:before="20" w:after="20" w:line="259" w:lineRule="auto"/>
              <w:ind w:firstLine="0"/>
              <w:jc w:val="center"/>
            </w:pPr>
            <w:r>
              <w:rPr>
                <w:rFonts w:ascii="Times New Roman" w:hAnsi="Times New Roman" w:eastAsia="黑体"/>
                <w:b/>
                <w:i w:val="0"/>
                <w:sz w:val="19"/>
              </w:rPr>
              <w:t>层级</w:t>
            </w:r>
          </w:p>
        </w:tc>
        <w:tc>
          <w:tcPr>
            <w:tcW w:w="1361" w:type="dxa"/>
            <w:shd w:val="clear" w:color="auto" w:fill="F2F4F5"/>
            <w:vAlign w:val="center"/>
          </w:tcPr>
          <w:p w14:paraId="19EB9589">
            <w:pPr>
              <w:spacing w:before="20" w:after="20" w:line="259" w:lineRule="auto"/>
              <w:ind w:firstLine="0"/>
              <w:jc w:val="center"/>
            </w:pPr>
            <w:r>
              <w:rPr>
                <w:rFonts w:ascii="Times New Roman" w:hAnsi="Times New Roman" w:eastAsia="黑体"/>
                <w:b/>
                <w:i w:val="0"/>
                <w:sz w:val="19"/>
              </w:rPr>
              <w:t>维度</w:t>
            </w:r>
          </w:p>
        </w:tc>
        <w:tc>
          <w:tcPr>
            <w:tcW w:w="2494" w:type="dxa"/>
            <w:shd w:val="clear" w:color="auto" w:fill="F2F4F5"/>
            <w:vAlign w:val="center"/>
          </w:tcPr>
          <w:p w14:paraId="50E72229">
            <w:pPr>
              <w:spacing w:before="20" w:after="20" w:line="259" w:lineRule="auto"/>
              <w:ind w:firstLine="0"/>
              <w:jc w:val="center"/>
            </w:pPr>
            <w:r>
              <w:rPr>
                <w:rFonts w:ascii="Times New Roman" w:hAnsi="Times New Roman" w:eastAsia="黑体"/>
                <w:b/>
                <w:i w:val="0"/>
                <w:sz w:val="19"/>
              </w:rPr>
              <w:t>指标</w:t>
            </w:r>
          </w:p>
        </w:tc>
        <w:tc>
          <w:tcPr>
            <w:tcW w:w="1474" w:type="dxa"/>
            <w:shd w:val="clear" w:color="auto" w:fill="F2F4F5"/>
            <w:vAlign w:val="center"/>
          </w:tcPr>
          <w:p w14:paraId="06BC747F">
            <w:pPr>
              <w:spacing w:before="20" w:after="20" w:line="259" w:lineRule="auto"/>
              <w:ind w:firstLine="0"/>
              <w:jc w:val="center"/>
            </w:pPr>
            <w:r>
              <w:rPr>
                <w:rFonts w:ascii="Times New Roman" w:hAnsi="Times New Roman" w:eastAsia="黑体"/>
                <w:b/>
                <w:i w:val="0"/>
                <w:sz w:val="19"/>
              </w:rPr>
              <w:t>理论预期</w:t>
            </w:r>
          </w:p>
        </w:tc>
        <w:tc>
          <w:tcPr>
            <w:tcW w:w="2948" w:type="dxa"/>
            <w:shd w:val="clear" w:color="auto" w:fill="F2F4F5"/>
            <w:vAlign w:val="center"/>
          </w:tcPr>
          <w:p w14:paraId="2964E5C4">
            <w:pPr>
              <w:spacing w:before="20" w:after="20" w:line="259" w:lineRule="auto"/>
              <w:ind w:firstLine="0"/>
              <w:jc w:val="center"/>
            </w:pPr>
            <w:r>
              <w:rPr>
                <w:rFonts w:ascii="Times New Roman" w:hAnsi="Times New Roman" w:eastAsia="黑体"/>
                <w:b/>
                <w:i w:val="0"/>
                <w:sz w:val="19"/>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271AF92F">
            <w:pPr>
              <w:spacing w:before="20" w:after="20" w:line="259" w:lineRule="auto"/>
              <w:ind w:firstLine="0"/>
              <w:jc w:val="center"/>
            </w:pPr>
            <w:r>
              <w:rPr>
                <w:rFonts w:ascii="Times New Roman" w:hAnsi="Times New Roman" w:eastAsia="宋体"/>
                <w:b w:val="0"/>
                <w:i w:val="0"/>
                <w:sz w:val="19"/>
              </w:rPr>
              <w:t>L1 基本面层</w:t>
            </w:r>
          </w:p>
        </w:tc>
        <w:tc>
          <w:tcPr>
            <w:tcW w:w="1361" w:type="dxa"/>
            <w:vAlign w:val="center"/>
          </w:tcPr>
          <w:p w14:paraId="61B8B9FB">
            <w:pPr>
              <w:spacing w:before="20" w:after="20" w:line="259" w:lineRule="auto"/>
              <w:ind w:firstLine="0"/>
              <w:jc w:val="center"/>
            </w:pPr>
            <w:r>
              <w:rPr>
                <w:rFonts w:ascii="Times New Roman" w:hAnsi="Times New Roman" w:eastAsia="宋体"/>
                <w:b w:val="0"/>
                <w:i w:val="0"/>
                <w:sz w:val="19"/>
              </w:rPr>
              <w:t>基本面边界</w:t>
            </w:r>
          </w:p>
        </w:tc>
        <w:tc>
          <w:tcPr>
            <w:tcW w:w="2494" w:type="dxa"/>
            <w:vAlign w:val="center"/>
          </w:tcPr>
          <w:p w14:paraId="2EBB32CD">
            <w:pPr>
              <w:spacing w:before="20" w:after="20" w:line="259" w:lineRule="auto"/>
              <w:ind w:firstLine="0"/>
              <w:jc w:val="center"/>
            </w:pPr>
            <w:r>
              <w:rPr>
                <w:rFonts w:ascii="Times New Roman" w:hAnsi="Times New Roman" w:eastAsia="宋体"/>
                <w:b w:val="0"/>
                <w:i w:val="0"/>
                <w:sz w:val="19"/>
              </w:rPr>
              <w:t>任职年限、年龄、规模</w:t>
            </w:r>
          </w:p>
        </w:tc>
        <w:tc>
          <w:tcPr>
            <w:tcW w:w="1474" w:type="dxa"/>
            <w:vAlign w:val="center"/>
          </w:tcPr>
          <w:p w14:paraId="1EAC0C96">
            <w:pPr>
              <w:spacing w:before="20" w:after="20" w:line="259" w:lineRule="auto"/>
              <w:ind w:firstLine="0"/>
              <w:jc w:val="center"/>
            </w:pPr>
            <w:r>
              <w:rPr>
                <w:rFonts w:ascii="Times New Roman" w:hAnsi="Times New Roman" w:eastAsia="宋体"/>
                <w:b w:val="0"/>
                <w:i w:val="0"/>
                <w:sz w:val="19"/>
              </w:rPr>
              <w:t>负（越小越好）</w:t>
            </w:r>
          </w:p>
        </w:tc>
        <w:tc>
          <w:tcPr>
            <w:tcW w:w="2948" w:type="dxa"/>
            <w:vAlign w:val="center"/>
          </w:tcPr>
          <w:p w14:paraId="7331F8AF">
            <w:pPr>
              <w:spacing w:before="20" w:after="20" w:line="259" w:lineRule="auto"/>
              <w:ind w:firstLine="0"/>
              <w:jc w:val="center"/>
            </w:pPr>
            <w:r>
              <w:rPr>
                <w:rFonts w:ascii="Times New Roman" w:hAnsi="Times New Roman" w:eastAsia="宋体"/>
                <w:b w:val="0"/>
                <w:i w:val="0"/>
                <w:sz w:val="19"/>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52450F81">
            <w:pPr>
              <w:spacing w:before="20" w:after="20" w:line="259" w:lineRule="auto"/>
              <w:ind w:firstLine="0"/>
              <w:jc w:val="center"/>
            </w:pPr>
            <w:r>
              <w:rPr>
                <w:rFonts w:ascii="Times New Roman" w:hAnsi="Times New Roman" w:eastAsia="宋体"/>
                <w:b w:val="0"/>
                <w:i w:val="0"/>
                <w:sz w:val="19"/>
              </w:rPr>
              <w:t>L2 认知偏差层</w:t>
            </w:r>
          </w:p>
        </w:tc>
        <w:tc>
          <w:tcPr>
            <w:tcW w:w="1361" w:type="dxa"/>
            <w:vAlign w:val="center"/>
          </w:tcPr>
          <w:p w14:paraId="12746F49">
            <w:pPr>
              <w:spacing w:before="20" w:after="20" w:line="259" w:lineRule="auto"/>
              <w:ind w:firstLine="0"/>
              <w:jc w:val="center"/>
            </w:pPr>
            <w:r>
              <w:rPr>
                <w:rFonts w:ascii="Times New Roman" w:hAnsi="Times New Roman" w:eastAsia="宋体"/>
                <w:b w:val="0"/>
                <w:i w:val="0"/>
                <w:sz w:val="19"/>
              </w:rPr>
              <w:t>风险态度</w:t>
            </w:r>
          </w:p>
        </w:tc>
        <w:tc>
          <w:tcPr>
            <w:tcW w:w="2494" w:type="dxa"/>
            <w:vAlign w:val="center"/>
          </w:tcPr>
          <w:p w14:paraId="5C0B61D5">
            <w:pPr>
              <w:spacing w:before="20" w:after="20" w:line="259" w:lineRule="auto"/>
              <w:ind w:firstLine="0"/>
              <w:jc w:val="center"/>
            </w:pPr>
            <w:r>
              <w:rPr>
                <w:rFonts w:ascii="Times New Roman" w:hAnsi="Times New Roman" w:eastAsia="宋体"/>
                <w:b w:val="0"/>
                <w:i w:val="0"/>
                <w:sz w:val="19"/>
              </w:rPr>
              <w:t>风险偏好不对称 risk_asym</w:t>
            </w:r>
          </w:p>
        </w:tc>
        <w:tc>
          <w:tcPr>
            <w:tcW w:w="1474" w:type="dxa"/>
            <w:vAlign w:val="center"/>
          </w:tcPr>
          <w:p w14:paraId="74D1EBB5">
            <w:pPr>
              <w:spacing w:before="20" w:after="20" w:line="259" w:lineRule="auto"/>
              <w:ind w:firstLine="0"/>
              <w:jc w:val="center"/>
            </w:pPr>
            <w:r>
              <w:rPr>
                <w:rFonts w:ascii="Times New Roman" w:hAnsi="Times New Roman" w:eastAsia="宋体"/>
                <w:b w:val="0"/>
                <w:i w:val="0"/>
                <w:sz w:val="19"/>
              </w:rPr>
              <w:t>正</w:t>
            </w:r>
          </w:p>
        </w:tc>
        <w:tc>
          <w:tcPr>
            <w:tcW w:w="2948" w:type="dxa"/>
            <w:vAlign w:val="center"/>
          </w:tcPr>
          <w:p w14:paraId="03AC56ED">
            <w:pPr>
              <w:spacing w:before="20" w:after="20" w:line="259" w:lineRule="auto"/>
              <w:ind w:firstLine="0"/>
              <w:jc w:val="center"/>
            </w:pPr>
            <w:r>
              <w:rPr>
                <w:rFonts w:ascii="Times New Roman" w:hAnsi="Times New Roman" w:eastAsia="宋体"/>
                <w:b w:val="0"/>
                <w:i w:val="0"/>
                <w:sz w:val="19"/>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10AC5C8B">
            <w:pPr>
              <w:spacing w:before="20" w:after="20" w:line="259" w:lineRule="auto"/>
              <w:ind w:firstLine="0"/>
              <w:jc w:val="center"/>
            </w:pPr>
            <w:r>
              <w:rPr>
                <w:rFonts w:ascii="Times New Roman" w:hAnsi="Times New Roman" w:eastAsia="宋体"/>
                <w:b w:val="0"/>
                <w:i w:val="0"/>
                <w:sz w:val="19"/>
              </w:rPr>
              <w:t>L2 认知偏差层</w:t>
            </w:r>
          </w:p>
        </w:tc>
        <w:tc>
          <w:tcPr>
            <w:tcW w:w="1361" w:type="dxa"/>
            <w:vAlign w:val="center"/>
          </w:tcPr>
          <w:p w14:paraId="413CFBA6">
            <w:pPr>
              <w:spacing w:before="20" w:after="20" w:line="259" w:lineRule="auto"/>
              <w:ind w:firstLine="0"/>
              <w:jc w:val="center"/>
            </w:pPr>
            <w:r>
              <w:rPr>
                <w:rFonts w:ascii="Times New Roman" w:hAnsi="Times New Roman" w:eastAsia="宋体"/>
                <w:b w:val="0"/>
                <w:i w:val="0"/>
                <w:sz w:val="19"/>
              </w:rPr>
              <w:t>参考点偏误</w:t>
            </w:r>
          </w:p>
        </w:tc>
        <w:tc>
          <w:tcPr>
            <w:tcW w:w="2494" w:type="dxa"/>
            <w:vAlign w:val="center"/>
          </w:tcPr>
          <w:p w14:paraId="23A7B84A">
            <w:pPr>
              <w:spacing w:before="20" w:after="20" w:line="259" w:lineRule="auto"/>
              <w:ind w:firstLine="0"/>
              <w:jc w:val="center"/>
            </w:pPr>
            <w:r>
              <w:rPr>
                <w:rFonts w:ascii="Times New Roman" w:hAnsi="Times New Roman" w:eastAsia="宋体"/>
                <w:b w:val="0"/>
                <w:i w:val="0"/>
                <w:sz w:val="19"/>
              </w:rPr>
              <w:t>处置效应 de</w:t>
            </w:r>
          </w:p>
        </w:tc>
        <w:tc>
          <w:tcPr>
            <w:tcW w:w="1474" w:type="dxa"/>
            <w:vAlign w:val="center"/>
          </w:tcPr>
          <w:p w14:paraId="651E7568">
            <w:pPr>
              <w:spacing w:before="20" w:after="20" w:line="259" w:lineRule="auto"/>
              <w:ind w:firstLine="0"/>
              <w:jc w:val="center"/>
            </w:pPr>
            <w:r>
              <w:rPr>
                <w:rFonts w:ascii="Times New Roman" w:hAnsi="Times New Roman" w:eastAsia="宋体"/>
                <w:b w:val="0"/>
                <w:i w:val="0"/>
                <w:sz w:val="19"/>
              </w:rPr>
              <w:t>负</w:t>
            </w:r>
          </w:p>
        </w:tc>
        <w:tc>
          <w:tcPr>
            <w:tcW w:w="2948" w:type="dxa"/>
            <w:vAlign w:val="center"/>
          </w:tcPr>
          <w:p w14:paraId="28646FB8">
            <w:pPr>
              <w:spacing w:before="20" w:after="20" w:line="259" w:lineRule="auto"/>
              <w:ind w:firstLine="0"/>
              <w:jc w:val="center"/>
            </w:pPr>
            <w:r>
              <w:rPr>
                <w:rFonts w:ascii="Times New Roman" w:hAnsi="Times New Roman" w:eastAsia="宋体"/>
                <w:b w:val="0"/>
                <w:i w:val="0"/>
                <w:sz w:val="19"/>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39DD8F83">
            <w:pPr>
              <w:spacing w:before="20" w:after="20" w:line="259" w:lineRule="auto"/>
              <w:ind w:firstLine="0"/>
              <w:jc w:val="center"/>
            </w:pPr>
            <w:r>
              <w:rPr>
                <w:rFonts w:ascii="Times New Roman" w:hAnsi="Times New Roman" w:eastAsia="宋体"/>
                <w:b w:val="0"/>
                <w:i w:val="0"/>
                <w:sz w:val="19"/>
              </w:rPr>
              <w:t>L2 认知偏差层</w:t>
            </w:r>
          </w:p>
        </w:tc>
        <w:tc>
          <w:tcPr>
            <w:tcW w:w="1361" w:type="dxa"/>
            <w:vAlign w:val="center"/>
          </w:tcPr>
          <w:p w14:paraId="55FF7C47">
            <w:pPr>
              <w:spacing w:before="20" w:after="20" w:line="259" w:lineRule="auto"/>
              <w:ind w:firstLine="0"/>
              <w:jc w:val="center"/>
            </w:pPr>
            <w:r>
              <w:rPr>
                <w:rFonts w:ascii="Times New Roman" w:hAnsi="Times New Roman" w:eastAsia="宋体"/>
                <w:b w:val="0"/>
                <w:i w:val="0"/>
                <w:sz w:val="19"/>
              </w:rPr>
              <w:t>过度自信</w:t>
            </w:r>
          </w:p>
        </w:tc>
        <w:tc>
          <w:tcPr>
            <w:tcW w:w="2494" w:type="dxa"/>
            <w:vAlign w:val="center"/>
          </w:tcPr>
          <w:p w14:paraId="0D0E8F75">
            <w:pPr>
              <w:spacing w:before="20" w:after="20" w:line="259" w:lineRule="auto"/>
              <w:ind w:firstLine="0"/>
              <w:jc w:val="center"/>
            </w:pPr>
            <w:r>
              <w:rPr>
                <w:rFonts w:ascii="Times New Roman" w:hAnsi="Times New Roman" w:eastAsia="宋体"/>
                <w:b w:val="0"/>
                <w:i w:val="0"/>
                <w:sz w:val="19"/>
              </w:rPr>
              <w:t>过度自信 oc_conf</w:t>
            </w:r>
          </w:p>
        </w:tc>
        <w:tc>
          <w:tcPr>
            <w:tcW w:w="1474" w:type="dxa"/>
            <w:vAlign w:val="center"/>
          </w:tcPr>
          <w:p w14:paraId="0711DEAC">
            <w:pPr>
              <w:spacing w:before="20" w:after="20" w:line="259" w:lineRule="auto"/>
              <w:ind w:firstLine="0"/>
              <w:jc w:val="center"/>
            </w:pPr>
            <w:r>
              <w:rPr>
                <w:rFonts w:ascii="Times New Roman" w:hAnsi="Times New Roman" w:eastAsia="宋体"/>
                <w:b w:val="0"/>
                <w:i w:val="0"/>
                <w:sz w:val="19"/>
              </w:rPr>
              <w:t>负</w:t>
            </w:r>
          </w:p>
        </w:tc>
        <w:tc>
          <w:tcPr>
            <w:tcW w:w="2948" w:type="dxa"/>
            <w:vAlign w:val="center"/>
          </w:tcPr>
          <w:p w14:paraId="25CC5074">
            <w:pPr>
              <w:spacing w:before="20" w:after="20" w:line="259" w:lineRule="auto"/>
              <w:ind w:firstLine="0"/>
              <w:jc w:val="center"/>
            </w:pPr>
            <w:r>
              <w:rPr>
                <w:rFonts w:ascii="Times New Roman" w:hAnsi="Times New Roman" w:eastAsia="宋体"/>
                <w:b w:val="0"/>
                <w:i w:val="0"/>
                <w:sz w:val="19"/>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066FCC2E">
            <w:pPr>
              <w:spacing w:before="20" w:after="20" w:line="259" w:lineRule="auto"/>
              <w:ind w:firstLine="0"/>
              <w:jc w:val="center"/>
            </w:pPr>
            <w:r>
              <w:rPr>
                <w:rFonts w:ascii="Times New Roman" w:hAnsi="Times New Roman" w:eastAsia="宋体"/>
                <w:b w:val="0"/>
                <w:i w:val="0"/>
                <w:sz w:val="19"/>
              </w:rPr>
              <w:t>L2 认知偏差层</w:t>
            </w:r>
          </w:p>
        </w:tc>
        <w:tc>
          <w:tcPr>
            <w:tcW w:w="1361" w:type="dxa"/>
            <w:vAlign w:val="center"/>
          </w:tcPr>
          <w:p w14:paraId="0BAE725B">
            <w:pPr>
              <w:spacing w:before="20" w:after="20" w:line="259" w:lineRule="auto"/>
              <w:ind w:firstLine="0"/>
              <w:jc w:val="center"/>
            </w:pPr>
            <w:r>
              <w:rPr>
                <w:rFonts w:ascii="Times New Roman" w:hAnsi="Times New Roman" w:eastAsia="宋体"/>
                <w:b w:val="0"/>
                <w:i w:val="0"/>
                <w:sz w:val="19"/>
              </w:rPr>
              <w:t>参考点偏误</w:t>
            </w:r>
          </w:p>
        </w:tc>
        <w:tc>
          <w:tcPr>
            <w:tcW w:w="2494" w:type="dxa"/>
            <w:vAlign w:val="center"/>
          </w:tcPr>
          <w:p w14:paraId="0DB76E5F">
            <w:pPr>
              <w:spacing w:before="20" w:after="20" w:line="259" w:lineRule="auto"/>
              <w:ind w:firstLine="0"/>
              <w:jc w:val="center"/>
            </w:pPr>
            <w:r>
              <w:rPr>
                <w:rFonts w:ascii="Times New Roman" w:hAnsi="Times New Roman" w:eastAsia="宋体"/>
                <w:b w:val="0"/>
                <w:i w:val="0"/>
                <w:sz w:val="19"/>
              </w:rPr>
              <w:t>锚定效应 anchor_high</w:t>
            </w:r>
          </w:p>
        </w:tc>
        <w:tc>
          <w:tcPr>
            <w:tcW w:w="1474" w:type="dxa"/>
            <w:vAlign w:val="center"/>
          </w:tcPr>
          <w:p w14:paraId="313CCB21">
            <w:pPr>
              <w:spacing w:before="20" w:after="20" w:line="259" w:lineRule="auto"/>
              <w:ind w:firstLine="0"/>
              <w:jc w:val="center"/>
            </w:pPr>
            <w:r>
              <w:rPr>
                <w:rFonts w:ascii="Times New Roman" w:hAnsi="Times New Roman" w:eastAsia="宋体"/>
                <w:b w:val="0"/>
                <w:i w:val="0"/>
                <w:sz w:val="19"/>
              </w:rPr>
              <w:t>负</w:t>
            </w:r>
          </w:p>
        </w:tc>
        <w:tc>
          <w:tcPr>
            <w:tcW w:w="2948" w:type="dxa"/>
            <w:vAlign w:val="center"/>
          </w:tcPr>
          <w:p w14:paraId="56DAE214">
            <w:pPr>
              <w:spacing w:before="20" w:after="20" w:line="259" w:lineRule="auto"/>
              <w:ind w:firstLine="0"/>
              <w:jc w:val="center"/>
            </w:pPr>
            <w:r>
              <w:rPr>
                <w:rFonts w:ascii="Times New Roman" w:hAnsi="Times New Roman" w:eastAsia="宋体"/>
                <w:b w:val="0"/>
                <w:i w:val="0"/>
                <w:sz w:val="19"/>
              </w:rPr>
              <w:t>持仓锚定买入高点不肯止损认错损害业绩</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40F4916A">
            <w:pPr>
              <w:spacing w:before="20" w:after="20" w:line="259" w:lineRule="auto"/>
              <w:ind w:firstLine="0"/>
              <w:jc w:val="center"/>
            </w:pPr>
            <w:r>
              <w:rPr>
                <w:rFonts w:ascii="Times New Roman" w:hAnsi="Times New Roman" w:eastAsia="宋体"/>
                <w:b w:val="0"/>
                <w:i w:val="0"/>
                <w:sz w:val="19"/>
              </w:rPr>
              <w:t>L3 配置选择层</w:t>
            </w:r>
          </w:p>
        </w:tc>
        <w:tc>
          <w:tcPr>
            <w:tcW w:w="1361" w:type="dxa"/>
            <w:vAlign w:val="center"/>
          </w:tcPr>
          <w:p w14:paraId="410DDE78">
            <w:pPr>
              <w:spacing w:before="20" w:after="20" w:line="259" w:lineRule="auto"/>
              <w:ind w:firstLine="0"/>
              <w:jc w:val="center"/>
            </w:pPr>
            <w:r>
              <w:rPr>
                <w:rFonts w:ascii="Times New Roman" w:hAnsi="Times New Roman" w:eastAsia="宋体"/>
                <w:b w:val="0"/>
                <w:i w:val="0"/>
                <w:sz w:val="19"/>
              </w:rPr>
              <w:t>行业配置</w:t>
            </w:r>
          </w:p>
        </w:tc>
        <w:tc>
          <w:tcPr>
            <w:tcW w:w="2494" w:type="dxa"/>
            <w:vAlign w:val="center"/>
          </w:tcPr>
          <w:p w14:paraId="5C09EEAB">
            <w:pPr>
              <w:spacing w:before="20" w:after="20" w:line="259" w:lineRule="auto"/>
              <w:ind w:firstLine="0"/>
              <w:jc w:val="center"/>
            </w:pPr>
            <w:r>
              <w:rPr>
                <w:rFonts w:ascii="Times New Roman" w:hAnsi="Times New Roman" w:eastAsia="宋体"/>
                <w:b w:val="0"/>
                <w:i w:val="0"/>
                <w:sz w:val="19"/>
              </w:rPr>
              <w:t>行业集中度 ICI</w:t>
            </w:r>
          </w:p>
        </w:tc>
        <w:tc>
          <w:tcPr>
            <w:tcW w:w="1474" w:type="dxa"/>
            <w:vAlign w:val="center"/>
          </w:tcPr>
          <w:p w14:paraId="4771FAFC">
            <w:pPr>
              <w:spacing w:before="20" w:after="20" w:line="259" w:lineRule="auto"/>
              <w:ind w:firstLine="0"/>
              <w:jc w:val="center"/>
            </w:pPr>
            <w:r>
              <w:rPr>
                <w:rFonts w:ascii="Times New Roman" w:hAnsi="Times New Roman" w:eastAsia="宋体"/>
                <w:b w:val="0"/>
                <w:i w:val="0"/>
                <w:sz w:val="19"/>
              </w:rPr>
              <w:t>正</w:t>
            </w:r>
          </w:p>
        </w:tc>
        <w:tc>
          <w:tcPr>
            <w:tcW w:w="2948" w:type="dxa"/>
            <w:vAlign w:val="center"/>
          </w:tcPr>
          <w:p w14:paraId="55990A66">
            <w:pPr>
              <w:spacing w:before="20" w:after="20" w:line="259" w:lineRule="auto"/>
              <w:ind w:firstLine="0"/>
              <w:jc w:val="center"/>
            </w:pPr>
            <w:r>
              <w:rPr>
                <w:rFonts w:ascii="Times New Roman" w:hAnsi="Times New Roman" w:eastAsia="宋体"/>
                <w:b w:val="0"/>
                <w:i w:val="0"/>
                <w:sz w:val="19"/>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6A6205DD">
            <w:pPr>
              <w:spacing w:before="20" w:after="20" w:line="259" w:lineRule="auto"/>
              <w:ind w:firstLine="0"/>
              <w:jc w:val="center"/>
            </w:pPr>
            <w:r>
              <w:rPr>
                <w:rFonts w:ascii="Times New Roman" w:hAnsi="Times New Roman" w:eastAsia="宋体"/>
                <w:b w:val="0"/>
                <w:i w:val="0"/>
                <w:sz w:val="19"/>
              </w:rPr>
              <w:t>L3 配置选择层</w:t>
            </w:r>
          </w:p>
        </w:tc>
        <w:tc>
          <w:tcPr>
            <w:tcW w:w="1361" w:type="dxa"/>
            <w:vAlign w:val="center"/>
          </w:tcPr>
          <w:p w14:paraId="12278DA4">
            <w:pPr>
              <w:spacing w:before="20" w:after="20" w:line="259" w:lineRule="auto"/>
              <w:ind w:firstLine="0"/>
              <w:jc w:val="center"/>
            </w:pPr>
            <w:r>
              <w:rPr>
                <w:rFonts w:ascii="Times New Roman" w:hAnsi="Times New Roman" w:eastAsia="宋体"/>
                <w:b w:val="0"/>
                <w:i w:val="0"/>
                <w:sz w:val="19"/>
              </w:rPr>
              <w:t>风格稳定</w:t>
            </w:r>
          </w:p>
        </w:tc>
        <w:tc>
          <w:tcPr>
            <w:tcW w:w="2494" w:type="dxa"/>
            <w:vAlign w:val="center"/>
          </w:tcPr>
          <w:p w14:paraId="4BF479FC">
            <w:pPr>
              <w:spacing w:before="20" w:after="20" w:line="259" w:lineRule="auto"/>
              <w:ind w:firstLine="0"/>
              <w:jc w:val="center"/>
            </w:pPr>
            <w:r>
              <w:rPr>
                <w:rFonts w:ascii="Times New Roman" w:hAnsi="Times New Roman" w:eastAsia="宋体"/>
                <w:b w:val="0"/>
                <w:i w:val="0"/>
                <w:sz w:val="19"/>
              </w:rPr>
              <w:t>行业风格漂移 ISDI</w:t>
            </w:r>
          </w:p>
        </w:tc>
        <w:tc>
          <w:tcPr>
            <w:tcW w:w="1474" w:type="dxa"/>
            <w:vAlign w:val="center"/>
          </w:tcPr>
          <w:p w14:paraId="33025CA1">
            <w:pPr>
              <w:spacing w:before="20" w:after="20" w:line="259" w:lineRule="auto"/>
              <w:ind w:firstLine="0"/>
              <w:jc w:val="center"/>
            </w:pPr>
            <w:r>
              <w:rPr>
                <w:rFonts w:ascii="Times New Roman" w:hAnsi="Times New Roman" w:eastAsia="宋体"/>
                <w:b w:val="0"/>
                <w:i w:val="0"/>
                <w:sz w:val="19"/>
              </w:rPr>
              <w:t>负</w:t>
            </w:r>
          </w:p>
        </w:tc>
        <w:tc>
          <w:tcPr>
            <w:tcW w:w="2948" w:type="dxa"/>
            <w:vAlign w:val="center"/>
          </w:tcPr>
          <w:p w14:paraId="7F904C3B">
            <w:pPr>
              <w:spacing w:before="20" w:after="20" w:line="259" w:lineRule="auto"/>
              <w:ind w:firstLine="0"/>
              <w:jc w:val="center"/>
            </w:pPr>
            <w:r>
              <w:rPr>
                <w:rFonts w:ascii="Times New Roman" w:hAnsi="Times New Roman" w:eastAsia="宋体"/>
                <w:b w:val="0"/>
                <w:i w:val="0"/>
                <w:sz w:val="19"/>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0D01DDCF">
            <w:pPr>
              <w:spacing w:before="20" w:after="20" w:line="259" w:lineRule="auto"/>
              <w:ind w:firstLine="0"/>
              <w:jc w:val="center"/>
            </w:pPr>
            <w:r>
              <w:rPr>
                <w:rFonts w:ascii="Times New Roman" w:hAnsi="Times New Roman" w:eastAsia="宋体"/>
                <w:b w:val="0"/>
                <w:i w:val="0"/>
                <w:sz w:val="19"/>
              </w:rPr>
              <w:t>L4 风险应对层</w:t>
            </w:r>
          </w:p>
        </w:tc>
        <w:tc>
          <w:tcPr>
            <w:tcW w:w="1361" w:type="dxa"/>
            <w:vAlign w:val="center"/>
          </w:tcPr>
          <w:p w14:paraId="4BBDA729">
            <w:pPr>
              <w:spacing w:before="20" w:after="20" w:line="259" w:lineRule="auto"/>
              <w:ind w:firstLine="0"/>
              <w:jc w:val="center"/>
            </w:pPr>
            <w:r>
              <w:rPr>
                <w:rFonts w:ascii="Times New Roman" w:hAnsi="Times New Roman" w:eastAsia="宋体"/>
                <w:b w:val="0"/>
                <w:i w:val="0"/>
                <w:sz w:val="19"/>
              </w:rPr>
              <w:t>过程应对</w:t>
            </w:r>
          </w:p>
        </w:tc>
        <w:tc>
          <w:tcPr>
            <w:tcW w:w="2494" w:type="dxa"/>
            <w:vAlign w:val="center"/>
          </w:tcPr>
          <w:p w14:paraId="6DEAA4E2">
            <w:pPr>
              <w:spacing w:before="20" w:after="20" w:line="259" w:lineRule="auto"/>
              <w:ind w:firstLine="0"/>
              <w:jc w:val="center"/>
            </w:pPr>
            <w:r>
              <w:rPr>
                <w:rFonts w:ascii="Times New Roman" w:hAnsi="Times New Roman" w:eastAsia="宋体"/>
                <w:b w:val="0"/>
                <w:i w:val="0"/>
                <w:sz w:val="19"/>
              </w:rPr>
              <w:t>调仓幅度 ARG</w:t>
            </w:r>
          </w:p>
        </w:tc>
        <w:tc>
          <w:tcPr>
            <w:tcW w:w="1474" w:type="dxa"/>
            <w:vAlign w:val="center"/>
          </w:tcPr>
          <w:p w14:paraId="60C6A941">
            <w:pPr>
              <w:spacing w:before="20" w:after="20" w:line="259" w:lineRule="auto"/>
              <w:ind w:firstLine="0"/>
              <w:jc w:val="center"/>
            </w:pPr>
            <w:r>
              <w:rPr>
                <w:rFonts w:ascii="Times New Roman" w:hAnsi="Times New Roman" w:eastAsia="宋体"/>
                <w:b w:val="0"/>
                <w:i w:val="0"/>
                <w:sz w:val="19"/>
              </w:rPr>
              <w:t>正</w:t>
            </w:r>
          </w:p>
        </w:tc>
        <w:tc>
          <w:tcPr>
            <w:tcW w:w="2948" w:type="dxa"/>
            <w:vAlign w:val="center"/>
          </w:tcPr>
          <w:p w14:paraId="14F51F0D">
            <w:pPr>
              <w:spacing w:before="20" w:after="20" w:line="259" w:lineRule="auto"/>
              <w:ind w:firstLine="0"/>
              <w:jc w:val="center"/>
            </w:pPr>
            <w:r>
              <w:rPr>
                <w:rFonts w:ascii="Times New Roman" w:hAnsi="Times New Roman" w:eastAsia="宋体"/>
                <w:b w:val="0"/>
                <w:i w:val="0"/>
                <w:sz w:val="19"/>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6E0F3A5E">
            <w:pPr>
              <w:spacing w:before="20" w:after="20" w:line="259" w:lineRule="auto"/>
              <w:ind w:firstLine="0"/>
              <w:jc w:val="center"/>
            </w:pPr>
            <w:r>
              <w:rPr>
                <w:rFonts w:ascii="Times New Roman" w:hAnsi="Times New Roman" w:eastAsia="宋体"/>
                <w:b w:val="0"/>
                <w:i w:val="0"/>
                <w:sz w:val="19"/>
              </w:rPr>
              <w:t>L4 风险应对层</w:t>
            </w:r>
          </w:p>
        </w:tc>
        <w:tc>
          <w:tcPr>
            <w:tcW w:w="1361" w:type="dxa"/>
            <w:vAlign w:val="center"/>
          </w:tcPr>
          <w:p w14:paraId="298C6568">
            <w:pPr>
              <w:spacing w:before="20" w:after="20" w:line="259" w:lineRule="auto"/>
              <w:ind w:firstLine="0"/>
              <w:jc w:val="center"/>
            </w:pPr>
            <w:r>
              <w:rPr>
                <w:rFonts w:ascii="Times New Roman" w:hAnsi="Times New Roman" w:eastAsia="宋体"/>
                <w:b w:val="0"/>
                <w:i w:val="0"/>
                <w:sz w:val="19"/>
              </w:rPr>
              <w:t>过程应对</w:t>
            </w:r>
          </w:p>
        </w:tc>
        <w:tc>
          <w:tcPr>
            <w:tcW w:w="2494" w:type="dxa"/>
            <w:vAlign w:val="center"/>
          </w:tcPr>
          <w:p w14:paraId="5ED43F17">
            <w:pPr>
              <w:spacing w:before="20" w:after="20" w:line="259" w:lineRule="auto"/>
              <w:ind w:firstLine="0"/>
              <w:jc w:val="center"/>
            </w:pPr>
            <w:r>
              <w:rPr>
                <w:rFonts w:ascii="Times New Roman" w:hAnsi="Times New Roman" w:eastAsia="宋体"/>
                <w:b w:val="0"/>
                <w:i w:val="0"/>
                <w:sz w:val="19"/>
              </w:rPr>
              <w:t>下行保护 timing</w:t>
            </w:r>
          </w:p>
        </w:tc>
        <w:tc>
          <w:tcPr>
            <w:tcW w:w="1474" w:type="dxa"/>
            <w:vAlign w:val="center"/>
          </w:tcPr>
          <w:p w14:paraId="61DBAD27">
            <w:pPr>
              <w:spacing w:before="20" w:after="20" w:line="259" w:lineRule="auto"/>
              <w:ind w:firstLine="0"/>
              <w:jc w:val="center"/>
            </w:pPr>
            <w:r>
              <w:rPr>
                <w:rFonts w:ascii="Times New Roman" w:hAnsi="Times New Roman" w:eastAsia="宋体"/>
                <w:b w:val="0"/>
                <w:i w:val="0"/>
                <w:sz w:val="19"/>
              </w:rPr>
              <w:t>正</w:t>
            </w:r>
          </w:p>
        </w:tc>
        <w:tc>
          <w:tcPr>
            <w:tcW w:w="2948" w:type="dxa"/>
            <w:vAlign w:val="center"/>
          </w:tcPr>
          <w:p w14:paraId="31F2A108">
            <w:pPr>
              <w:spacing w:before="20" w:after="20" w:line="259" w:lineRule="auto"/>
              <w:ind w:firstLine="0"/>
              <w:jc w:val="center"/>
            </w:pPr>
            <w:r>
              <w:rPr>
                <w:rFonts w:ascii="Times New Roman" w:hAnsi="Times New Roman" w:eastAsia="宋体"/>
                <w:b w:val="0"/>
                <w:i w:val="0"/>
                <w:sz w:val="19"/>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4BC329FE">
            <w:pPr>
              <w:spacing w:before="20" w:after="20" w:line="259" w:lineRule="auto"/>
              <w:ind w:firstLine="0"/>
              <w:jc w:val="center"/>
            </w:pPr>
            <w:r>
              <w:rPr>
                <w:rFonts w:ascii="Times New Roman" w:hAnsi="Times New Roman" w:eastAsia="宋体"/>
                <w:b w:val="0"/>
                <w:i w:val="0"/>
                <w:sz w:val="19"/>
              </w:rPr>
              <w:t>L4 风险应对层</w:t>
            </w:r>
          </w:p>
        </w:tc>
        <w:tc>
          <w:tcPr>
            <w:tcW w:w="1361" w:type="dxa"/>
            <w:vAlign w:val="center"/>
          </w:tcPr>
          <w:p w14:paraId="041240E8">
            <w:pPr>
              <w:spacing w:before="20" w:after="20" w:line="259" w:lineRule="auto"/>
              <w:ind w:firstLine="0"/>
              <w:jc w:val="center"/>
            </w:pPr>
            <w:r>
              <w:rPr>
                <w:rFonts w:ascii="Times New Roman" w:hAnsi="Times New Roman" w:eastAsia="宋体"/>
                <w:b w:val="0"/>
                <w:i w:val="0"/>
                <w:sz w:val="19"/>
              </w:rPr>
              <w:t>转化效率</w:t>
            </w:r>
          </w:p>
        </w:tc>
        <w:tc>
          <w:tcPr>
            <w:tcW w:w="2494" w:type="dxa"/>
            <w:vAlign w:val="center"/>
          </w:tcPr>
          <w:p w14:paraId="53A2BC69">
            <w:pPr>
              <w:spacing w:before="20" w:after="20" w:line="259" w:lineRule="auto"/>
              <w:ind w:firstLine="0"/>
              <w:jc w:val="center"/>
            </w:pPr>
            <w:r>
              <w:rPr>
                <w:rFonts w:ascii="Times New Roman" w:hAnsi="Times New Roman" w:eastAsia="宋体"/>
                <w:b w:val="0"/>
                <w:i w:val="0"/>
                <w:sz w:val="19"/>
              </w:rPr>
              <w:t>Sharpe/Sortino/MPPM</w:t>
            </w:r>
          </w:p>
        </w:tc>
        <w:tc>
          <w:tcPr>
            <w:tcW w:w="1474" w:type="dxa"/>
            <w:vAlign w:val="center"/>
          </w:tcPr>
          <w:p w14:paraId="1C8DD2AA">
            <w:pPr>
              <w:spacing w:before="20" w:after="20" w:line="259" w:lineRule="auto"/>
              <w:ind w:firstLine="0"/>
              <w:jc w:val="center"/>
            </w:pPr>
            <w:r>
              <w:rPr>
                <w:rFonts w:ascii="Times New Roman" w:hAnsi="Times New Roman" w:eastAsia="宋体"/>
                <w:b w:val="0"/>
                <w:i w:val="0"/>
                <w:sz w:val="19"/>
              </w:rPr>
              <w:t>正</w:t>
            </w:r>
          </w:p>
        </w:tc>
        <w:tc>
          <w:tcPr>
            <w:tcW w:w="2948" w:type="dxa"/>
            <w:vAlign w:val="center"/>
          </w:tcPr>
          <w:p w14:paraId="35C6907E">
            <w:pPr>
              <w:spacing w:before="20" w:after="20" w:line="259" w:lineRule="auto"/>
              <w:ind w:firstLine="0"/>
              <w:jc w:val="center"/>
            </w:pPr>
            <w:r>
              <w:rPr>
                <w:rFonts w:ascii="Times New Roman" w:hAnsi="Times New Roman" w:eastAsia="宋体"/>
                <w:b w:val="0"/>
                <w:i w:val="0"/>
                <w:sz w:val="19"/>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489CE03E">
            <w:pPr>
              <w:spacing w:before="20" w:after="20" w:line="259" w:lineRule="auto"/>
              <w:ind w:firstLine="0"/>
              <w:jc w:val="center"/>
            </w:pPr>
            <w:r>
              <w:rPr>
                <w:rFonts w:ascii="Times New Roman" w:hAnsi="Times New Roman" w:eastAsia="宋体"/>
                <w:b w:val="0"/>
                <w:i w:val="0"/>
                <w:sz w:val="19"/>
              </w:rPr>
              <w:t>L5 交易执行层</w:t>
            </w:r>
          </w:p>
        </w:tc>
        <w:tc>
          <w:tcPr>
            <w:tcW w:w="1361" w:type="dxa"/>
            <w:vAlign w:val="center"/>
          </w:tcPr>
          <w:p w14:paraId="53B9DBFE">
            <w:pPr>
              <w:spacing w:before="20" w:after="20" w:line="259" w:lineRule="auto"/>
              <w:ind w:firstLine="0"/>
              <w:jc w:val="center"/>
            </w:pPr>
            <w:r>
              <w:rPr>
                <w:rFonts w:ascii="Times New Roman" w:hAnsi="Times New Roman" w:eastAsia="宋体"/>
                <w:b w:val="0"/>
                <w:i w:val="0"/>
                <w:sz w:val="19"/>
              </w:rPr>
              <w:t>风格偏离</w:t>
            </w:r>
          </w:p>
        </w:tc>
        <w:tc>
          <w:tcPr>
            <w:tcW w:w="2494" w:type="dxa"/>
            <w:vAlign w:val="center"/>
          </w:tcPr>
          <w:p w14:paraId="46643465">
            <w:pPr>
              <w:spacing w:before="20" w:after="20" w:line="259" w:lineRule="auto"/>
              <w:ind w:firstLine="0"/>
              <w:jc w:val="center"/>
            </w:pPr>
            <w:r>
              <w:rPr>
                <w:rFonts w:ascii="Times New Roman" w:hAnsi="Times New Roman" w:eastAsia="宋体"/>
                <w:b w:val="0"/>
                <w:i w:val="0"/>
                <w:sz w:val="19"/>
              </w:rPr>
              <w:t>策略偏离指数 SDI</w:t>
            </w:r>
          </w:p>
        </w:tc>
        <w:tc>
          <w:tcPr>
            <w:tcW w:w="1474" w:type="dxa"/>
            <w:vAlign w:val="center"/>
          </w:tcPr>
          <w:p w14:paraId="2DFB9C05">
            <w:pPr>
              <w:spacing w:before="20" w:after="20" w:line="259" w:lineRule="auto"/>
              <w:ind w:firstLine="0"/>
              <w:jc w:val="center"/>
            </w:pPr>
            <w:r>
              <w:rPr>
                <w:rFonts w:ascii="Times New Roman" w:hAnsi="Times New Roman" w:eastAsia="宋体"/>
                <w:b w:val="0"/>
                <w:i w:val="0"/>
                <w:sz w:val="19"/>
              </w:rPr>
              <w:t>负</w:t>
            </w:r>
          </w:p>
        </w:tc>
        <w:tc>
          <w:tcPr>
            <w:tcW w:w="2948" w:type="dxa"/>
            <w:vAlign w:val="center"/>
          </w:tcPr>
          <w:p w14:paraId="31182543">
            <w:pPr>
              <w:spacing w:before="20" w:after="20" w:line="259" w:lineRule="auto"/>
              <w:ind w:firstLine="0"/>
              <w:jc w:val="center"/>
            </w:pPr>
            <w:r>
              <w:rPr>
                <w:rFonts w:ascii="Times New Roman" w:hAnsi="Times New Roman" w:eastAsia="宋体"/>
                <w:b w:val="0"/>
                <w:i w:val="0"/>
                <w:sz w:val="19"/>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vAlign w:val="center"/>
          </w:tcPr>
          <w:p w14:paraId="4BC9B235">
            <w:pPr>
              <w:spacing w:before="20" w:after="20" w:line="259" w:lineRule="auto"/>
              <w:ind w:firstLine="0"/>
              <w:jc w:val="center"/>
            </w:pPr>
            <w:r>
              <w:rPr>
                <w:rFonts w:ascii="Times New Roman" w:hAnsi="Times New Roman" w:eastAsia="宋体"/>
                <w:b w:val="0"/>
                <w:i w:val="0"/>
                <w:sz w:val="19"/>
              </w:rPr>
              <w:t>L5 交易执行层</w:t>
            </w:r>
          </w:p>
        </w:tc>
        <w:tc>
          <w:tcPr>
            <w:tcW w:w="1361" w:type="dxa"/>
            <w:vAlign w:val="center"/>
          </w:tcPr>
          <w:p w14:paraId="25CFEF27">
            <w:pPr>
              <w:spacing w:before="20" w:after="20" w:line="259" w:lineRule="auto"/>
              <w:ind w:firstLine="0"/>
              <w:jc w:val="center"/>
            </w:pPr>
            <w:r>
              <w:rPr>
                <w:rFonts w:ascii="Times New Roman" w:hAnsi="Times New Roman" w:eastAsia="宋体"/>
                <w:b w:val="0"/>
                <w:i w:val="0"/>
                <w:sz w:val="19"/>
              </w:rPr>
              <w:t>交易趋同</w:t>
            </w:r>
          </w:p>
        </w:tc>
        <w:tc>
          <w:tcPr>
            <w:tcW w:w="2494" w:type="dxa"/>
            <w:vAlign w:val="center"/>
          </w:tcPr>
          <w:p w14:paraId="3CAC86A8">
            <w:pPr>
              <w:spacing w:before="20" w:after="20" w:line="259" w:lineRule="auto"/>
              <w:ind w:firstLine="0"/>
              <w:jc w:val="center"/>
            </w:pPr>
            <w:r>
              <w:rPr>
                <w:rFonts w:ascii="Times New Roman" w:hAnsi="Times New Roman" w:eastAsia="宋体"/>
                <w:b w:val="0"/>
                <w:i w:val="0"/>
                <w:sz w:val="19"/>
              </w:rPr>
              <w:t>交易趋同度 lsv</w:t>
            </w:r>
          </w:p>
        </w:tc>
        <w:tc>
          <w:tcPr>
            <w:tcW w:w="1474" w:type="dxa"/>
            <w:vAlign w:val="center"/>
          </w:tcPr>
          <w:p w14:paraId="67E05038">
            <w:pPr>
              <w:spacing w:before="20" w:after="20" w:line="259" w:lineRule="auto"/>
              <w:ind w:firstLine="0"/>
              <w:jc w:val="center"/>
            </w:pPr>
            <w:r>
              <w:rPr>
                <w:rFonts w:ascii="Times New Roman" w:hAnsi="Times New Roman" w:eastAsia="宋体"/>
                <w:b w:val="0"/>
                <w:i w:val="0"/>
                <w:sz w:val="19"/>
              </w:rPr>
              <w:t>经典负/实证正</w:t>
            </w:r>
          </w:p>
        </w:tc>
        <w:tc>
          <w:tcPr>
            <w:tcW w:w="2948" w:type="dxa"/>
            <w:vAlign w:val="center"/>
          </w:tcPr>
          <w:p w14:paraId="2CACFDBA">
            <w:pPr>
              <w:spacing w:before="20" w:after="20" w:line="259" w:lineRule="auto"/>
              <w:ind w:firstLine="0"/>
              <w:jc w:val="center"/>
            </w:pPr>
            <w:r>
              <w:rPr>
                <w:rFonts w:ascii="Times New Roman" w:hAnsi="Times New Roman" w:eastAsia="宋体"/>
                <w:b w:val="0"/>
                <w:i w:val="0"/>
                <w:sz w:val="19"/>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t>样本是否足够广泛、有没有“只挑了好年景”？逐年结构来回答（表 3）：自 2006 年以来覆盖完整牛熊周期，有效基金数稳步扩张，存续不少于 12 个季度的 362 只基金构成横截面回归样本；2015、2018、2022 三段下跌与 2019–2021 结构性上涨均在样本内，结论不依赖单一行情，杜绝样本选择偏差。</w:t>
      </w:r>
    </w:p>
    <w:p w14:paraId="33041DEC">
      <w:pPr>
        <w:keepNext/>
        <w:spacing w:before="120" w:after="60" w:line="312" w:lineRule="auto"/>
        <w:jc w:val="center"/>
      </w:pPr>
      <w: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247" w:type="dxa"/>
            <w:shd w:val="clear" w:color="auto" w:fill="F2F4F5"/>
            <w:vAlign w:val="center"/>
          </w:tcPr>
          <w:p w14:paraId="3976D464">
            <w:pPr>
              <w:spacing w:before="20" w:after="20" w:line="259" w:lineRule="auto"/>
              <w:ind w:firstLine="0"/>
              <w:jc w:val="center"/>
            </w:pPr>
            <w:r>
              <w:rPr>
                <w:rFonts w:ascii="Times New Roman" w:hAnsi="Times New Roman" w:eastAsia="黑体"/>
                <w:b/>
                <w:i w:val="0"/>
                <w:sz w:val="18"/>
              </w:rPr>
              <w:t>年份</w:t>
            </w:r>
          </w:p>
        </w:tc>
        <w:tc>
          <w:tcPr>
            <w:tcW w:w="1247" w:type="dxa"/>
            <w:shd w:val="clear" w:color="auto" w:fill="F2F4F5"/>
            <w:vAlign w:val="center"/>
          </w:tcPr>
          <w:p w14:paraId="61F1F989">
            <w:pPr>
              <w:spacing w:before="20" w:after="20" w:line="259" w:lineRule="auto"/>
              <w:ind w:firstLine="0"/>
              <w:jc w:val="center"/>
            </w:pPr>
            <w:r>
              <w:rPr>
                <w:rFonts w:ascii="Times New Roman" w:hAnsi="Times New Roman" w:eastAsia="黑体"/>
                <w:b/>
                <w:i w:val="0"/>
                <w:sz w:val="18"/>
              </w:rPr>
              <w:t>基金数</w:t>
            </w:r>
          </w:p>
        </w:tc>
        <w:tc>
          <w:tcPr>
            <w:tcW w:w="1701" w:type="dxa"/>
            <w:shd w:val="clear" w:color="auto" w:fill="F2F4F5"/>
            <w:vAlign w:val="center"/>
          </w:tcPr>
          <w:p w14:paraId="4E0B2BBF">
            <w:pPr>
              <w:spacing w:before="20" w:after="20" w:line="259" w:lineRule="auto"/>
              <w:ind w:firstLine="0"/>
              <w:jc w:val="center"/>
            </w:pPr>
            <w:r>
              <w:rPr>
                <w:rFonts w:ascii="Times New Roman" w:hAnsi="Times New Roman" w:eastAsia="黑体"/>
                <w:b/>
                <w:i w:val="0"/>
                <w:sz w:val="18"/>
              </w:rPr>
              <w:t>平均规模</w:t>
            </w:r>
            <w:r>
              <w:rPr>
                <w:rFonts w:ascii="Times New Roman" w:hAnsi="Times New Roman" w:eastAsia="黑体"/>
                <w:b/>
                <w:i w:val="0"/>
                <w:sz w:val="18"/>
              </w:rPr>
              <w:br w:type="textWrapping"/>
            </w:r>
            <w:r>
              <w:rPr>
                <w:rFonts w:ascii="Times New Roman" w:hAnsi="Times New Roman" w:eastAsia="黑体"/>
                <w:b/>
                <w:i w:val="0"/>
                <w:sz w:val="18"/>
              </w:rPr>
              <w:t>(亿元)</w:t>
            </w:r>
          </w:p>
        </w:tc>
        <w:tc>
          <w:tcPr>
            <w:tcW w:w="1814" w:type="dxa"/>
            <w:shd w:val="clear" w:color="auto" w:fill="F2F4F5"/>
            <w:vAlign w:val="center"/>
          </w:tcPr>
          <w:p w14:paraId="4490F877">
            <w:pPr>
              <w:spacing w:before="20" w:after="20" w:line="259" w:lineRule="auto"/>
              <w:ind w:firstLine="0"/>
              <w:jc w:val="center"/>
            </w:pPr>
            <w:r>
              <w:rPr>
                <w:rFonts w:ascii="Times New Roman" w:hAnsi="Times New Roman" w:eastAsia="黑体"/>
                <w:b/>
                <w:i w:val="0"/>
                <w:sz w:val="18"/>
              </w:rPr>
              <w:t>平均换手率</w:t>
            </w:r>
            <w:r>
              <w:rPr>
                <w:rFonts w:ascii="Times New Roman" w:hAnsi="Times New Roman" w:eastAsia="黑体"/>
                <w:b/>
                <w:i w:val="0"/>
                <w:sz w:val="18"/>
              </w:rPr>
              <w:br w:type="textWrapping"/>
            </w:r>
            <w:r>
              <w:rPr>
                <w:rFonts w:ascii="Times New Roman" w:hAnsi="Times New Roman" w:eastAsia="黑体"/>
                <w:b/>
                <w:i w:val="0"/>
                <w:sz w:val="18"/>
              </w:rPr>
              <w:t>(单边 %)</w:t>
            </w:r>
          </w:p>
        </w:tc>
        <w:tc>
          <w:tcPr>
            <w:tcW w:w="1814" w:type="dxa"/>
            <w:shd w:val="clear" w:color="auto" w:fill="F2F4F5"/>
            <w:vAlign w:val="center"/>
          </w:tcPr>
          <w:p w14:paraId="1C851180">
            <w:pPr>
              <w:spacing w:before="20" w:after="20" w:line="259" w:lineRule="auto"/>
              <w:ind w:firstLine="0"/>
              <w:jc w:val="center"/>
            </w:pPr>
            <w:r>
              <w:rPr>
                <w:rFonts w:ascii="Times New Roman" w:hAnsi="Times New Roman" w:eastAsia="黑体"/>
                <w:b/>
                <w:i w:val="0"/>
                <w:sz w:val="18"/>
              </w:rPr>
              <w:t>平均季度收益</w:t>
            </w:r>
            <w:r>
              <w:rPr>
                <w:rFonts w:ascii="Times New Roman" w:hAnsi="Times New Roman" w:eastAsia="黑体"/>
                <w:b/>
                <w:i w:val="0"/>
                <w:sz w:val="18"/>
              </w:rPr>
              <w:br w:type="textWrapping"/>
            </w:r>
            <w:r>
              <w:rPr>
                <w:rFonts w:ascii="Times New Roman" w:hAnsi="Times New Roman" w:eastAsia="黑体"/>
                <w:b/>
                <w:i w:val="0"/>
                <w:sz w:val="18"/>
              </w:rPr>
              <w:t>(%)</w:t>
            </w:r>
          </w:p>
        </w:tc>
        <w:tc>
          <w:tcPr>
            <w:tcW w:w="1814" w:type="dxa"/>
            <w:shd w:val="clear" w:color="auto" w:fill="F2F4F5"/>
            <w:vAlign w:val="center"/>
          </w:tcPr>
          <w:p w14:paraId="4004137E">
            <w:pPr>
              <w:spacing w:before="20" w:after="20" w:line="259" w:lineRule="auto"/>
              <w:ind w:firstLine="0"/>
              <w:jc w:val="center"/>
            </w:pPr>
            <w:r>
              <w:rPr>
                <w:rFonts w:ascii="Times New Roman" w:hAnsi="Times New Roman" w:eastAsia="黑体"/>
                <w:b/>
                <w:i w:val="0"/>
                <w:sz w:val="18"/>
              </w:rPr>
              <w:t>平均超额收益</w:t>
            </w:r>
            <w:r>
              <w:rPr>
                <w:rFonts w:ascii="Times New Roman" w:hAnsi="Times New Roman" w:eastAsia="黑体"/>
                <w:b/>
                <w:i w:val="0"/>
                <w:sz w:val="18"/>
              </w:rPr>
              <w:br w:type="textWrapping"/>
            </w:r>
            <w:r>
              <w:rPr>
                <w:rFonts w:ascii="Times New Roman" w:hAnsi="Times New Roman" w:eastAsia="黑体"/>
                <w:b/>
                <w:i w:val="0"/>
                <w:sz w:val="18"/>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6798EC6E">
            <w:pPr>
              <w:spacing w:before="20" w:after="20" w:line="259" w:lineRule="auto"/>
              <w:ind w:firstLine="0"/>
              <w:jc w:val="center"/>
            </w:pPr>
            <w:r>
              <w:rPr>
                <w:rFonts w:ascii="Times New Roman" w:hAnsi="Times New Roman" w:eastAsia="宋体"/>
                <w:b w:val="0"/>
                <w:i w:val="0"/>
                <w:sz w:val="18"/>
              </w:rPr>
              <w:t>2006</w:t>
            </w:r>
          </w:p>
        </w:tc>
        <w:tc>
          <w:tcPr>
            <w:tcW w:w="1247" w:type="dxa"/>
            <w:vAlign w:val="center"/>
          </w:tcPr>
          <w:p w14:paraId="21452632">
            <w:pPr>
              <w:spacing w:before="20" w:after="20" w:line="259" w:lineRule="auto"/>
              <w:ind w:firstLine="0"/>
              <w:jc w:val="center"/>
            </w:pPr>
            <w:r>
              <w:rPr>
                <w:rFonts w:ascii="Times New Roman" w:hAnsi="Times New Roman" w:eastAsia="宋体"/>
                <w:b w:val="0"/>
                <w:i w:val="0"/>
                <w:sz w:val="18"/>
              </w:rPr>
              <w:t>1</w:t>
            </w:r>
          </w:p>
        </w:tc>
        <w:tc>
          <w:tcPr>
            <w:tcW w:w="1701" w:type="dxa"/>
            <w:vAlign w:val="center"/>
          </w:tcPr>
          <w:p w14:paraId="2B290CF8">
            <w:pPr>
              <w:spacing w:before="20" w:after="20" w:line="259" w:lineRule="auto"/>
              <w:ind w:firstLine="0"/>
              <w:jc w:val="center"/>
            </w:pPr>
            <w:r>
              <w:rPr>
                <w:rFonts w:ascii="Times New Roman" w:hAnsi="Times New Roman" w:eastAsia="宋体"/>
                <w:b w:val="0"/>
                <w:i w:val="0"/>
                <w:sz w:val="18"/>
              </w:rPr>
              <w:t>73.7</w:t>
            </w:r>
          </w:p>
        </w:tc>
        <w:tc>
          <w:tcPr>
            <w:tcW w:w="1814" w:type="dxa"/>
            <w:vAlign w:val="center"/>
          </w:tcPr>
          <w:p w14:paraId="34139F9F">
            <w:pPr>
              <w:spacing w:before="20" w:after="20" w:line="259" w:lineRule="auto"/>
              <w:ind w:firstLine="0"/>
              <w:jc w:val="center"/>
            </w:pPr>
            <w:r>
              <w:rPr>
                <w:rFonts w:ascii="Times New Roman" w:hAnsi="Times New Roman" w:eastAsia="宋体"/>
                <w:b w:val="0"/>
                <w:i w:val="0"/>
                <w:sz w:val="18"/>
              </w:rPr>
              <w:t>190</w:t>
            </w:r>
          </w:p>
        </w:tc>
        <w:tc>
          <w:tcPr>
            <w:tcW w:w="1814" w:type="dxa"/>
            <w:vAlign w:val="center"/>
          </w:tcPr>
          <w:p w14:paraId="48B7CFFE">
            <w:pPr>
              <w:spacing w:before="20" w:after="20" w:line="259" w:lineRule="auto"/>
              <w:ind w:firstLine="0"/>
              <w:jc w:val="center"/>
            </w:pPr>
            <w:r>
              <w:rPr>
                <w:rFonts w:ascii="Times New Roman" w:hAnsi="Times New Roman" w:eastAsia="宋体"/>
                <w:b w:val="0"/>
                <w:i w:val="0"/>
                <w:sz w:val="18"/>
              </w:rPr>
              <w:t>+22.51</w:t>
            </w:r>
          </w:p>
        </w:tc>
        <w:tc>
          <w:tcPr>
            <w:tcW w:w="1814" w:type="dxa"/>
            <w:vAlign w:val="center"/>
          </w:tcPr>
          <w:p w14:paraId="1C10288D">
            <w:pPr>
              <w:spacing w:before="20" w:after="20" w:line="259" w:lineRule="auto"/>
              <w:ind w:firstLine="0"/>
              <w:jc w:val="center"/>
            </w:pPr>
            <w:r>
              <w:rPr>
                <w:rFonts w:ascii="Times New Roman" w:hAnsi="Times New Roman" w:eastAsia="宋体"/>
                <w:b w:val="0"/>
                <w:i w:val="0"/>
                <w:sz w:val="18"/>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5EDE2239">
            <w:pPr>
              <w:spacing w:before="20" w:after="20" w:line="259" w:lineRule="auto"/>
              <w:ind w:firstLine="0"/>
              <w:jc w:val="center"/>
            </w:pPr>
            <w:r>
              <w:rPr>
                <w:rFonts w:ascii="Times New Roman" w:hAnsi="Times New Roman" w:eastAsia="宋体"/>
                <w:b w:val="0"/>
                <w:i w:val="0"/>
                <w:sz w:val="18"/>
              </w:rPr>
              <w:t>2007</w:t>
            </w:r>
          </w:p>
        </w:tc>
        <w:tc>
          <w:tcPr>
            <w:tcW w:w="1247" w:type="dxa"/>
            <w:vAlign w:val="center"/>
          </w:tcPr>
          <w:p w14:paraId="2E4F8308">
            <w:pPr>
              <w:spacing w:before="20" w:after="20" w:line="259" w:lineRule="auto"/>
              <w:ind w:firstLine="0"/>
              <w:jc w:val="center"/>
            </w:pPr>
            <w:r>
              <w:rPr>
                <w:rFonts w:ascii="Times New Roman" w:hAnsi="Times New Roman" w:eastAsia="宋体"/>
                <w:b w:val="0"/>
                <w:i w:val="0"/>
                <w:sz w:val="18"/>
              </w:rPr>
              <w:t>1</w:t>
            </w:r>
          </w:p>
        </w:tc>
        <w:tc>
          <w:tcPr>
            <w:tcW w:w="1701" w:type="dxa"/>
            <w:vAlign w:val="center"/>
          </w:tcPr>
          <w:p w14:paraId="411DF490">
            <w:pPr>
              <w:spacing w:before="20" w:after="20" w:line="259" w:lineRule="auto"/>
              <w:ind w:firstLine="0"/>
              <w:jc w:val="center"/>
            </w:pPr>
            <w:r>
              <w:rPr>
                <w:rFonts w:ascii="Times New Roman" w:hAnsi="Times New Roman" w:eastAsia="宋体"/>
                <w:b w:val="0"/>
                <w:i w:val="0"/>
                <w:sz w:val="18"/>
              </w:rPr>
              <w:t>91.4</w:t>
            </w:r>
          </w:p>
        </w:tc>
        <w:tc>
          <w:tcPr>
            <w:tcW w:w="1814" w:type="dxa"/>
            <w:vAlign w:val="center"/>
          </w:tcPr>
          <w:p w14:paraId="3900F053">
            <w:pPr>
              <w:spacing w:before="20" w:after="20" w:line="259" w:lineRule="auto"/>
              <w:ind w:firstLine="0"/>
              <w:jc w:val="center"/>
            </w:pPr>
            <w:r>
              <w:rPr>
                <w:rFonts w:ascii="Times New Roman" w:hAnsi="Times New Roman" w:eastAsia="宋体"/>
                <w:b w:val="0"/>
                <w:i w:val="0"/>
                <w:sz w:val="18"/>
              </w:rPr>
              <w:t>140</w:t>
            </w:r>
          </w:p>
        </w:tc>
        <w:tc>
          <w:tcPr>
            <w:tcW w:w="1814" w:type="dxa"/>
            <w:vAlign w:val="center"/>
          </w:tcPr>
          <w:p w14:paraId="651EF79F">
            <w:pPr>
              <w:spacing w:before="20" w:after="20" w:line="259" w:lineRule="auto"/>
              <w:ind w:firstLine="0"/>
              <w:jc w:val="center"/>
            </w:pPr>
            <w:r>
              <w:rPr>
                <w:rFonts w:ascii="Times New Roman" w:hAnsi="Times New Roman" w:eastAsia="宋体"/>
                <w:b w:val="0"/>
                <w:i w:val="0"/>
                <w:sz w:val="18"/>
              </w:rPr>
              <w:t>+8.32</w:t>
            </w:r>
          </w:p>
        </w:tc>
        <w:tc>
          <w:tcPr>
            <w:tcW w:w="1814" w:type="dxa"/>
            <w:vAlign w:val="center"/>
          </w:tcPr>
          <w:p w14:paraId="1207D673">
            <w:pPr>
              <w:spacing w:before="20" w:after="20" w:line="259" w:lineRule="auto"/>
              <w:ind w:firstLine="0"/>
              <w:jc w:val="center"/>
            </w:pPr>
            <w:r>
              <w:rPr>
                <w:rFonts w:ascii="Times New Roman" w:hAnsi="Times New Roman" w:eastAsia="宋体"/>
                <w:b w:val="0"/>
                <w:i w:val="0"/>
                <w:sz w:val="18"/>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2C11F28C">
            <w:pPr>
              <w:spacing w:before="20" w:after="20" w:line="259" w:lineRule="auto"/>
              <w:ind w:firstLine="0"/>
              <w:jc w:val="center"/>
            </w:pPr>
            <w:r>
              <w:rPr>
                <w:rFonts w:ascii="Times New Roman" w:hAnsi="Times New Roman" w:eastAsia="宋体"/>
                <w:b w:val="0"/>
                <w:i w:val="0"/>
                <w:sz w:val="18"/>
              </w:rPr>
              <w:t>2008</w:t>
            </w:r>
          </w:p>
        </w:tc>
        <w:tc>
          <w:tcPr>
            <w:tcW w:w="1247" w:type="dxa"/>
            <w:vAlign w:val="center"/>
          </w:tcPr>
          <w:p w14:paraId="50A6AA1B">
            <w:pPr>
              <w:spacing w:before="20" w:after="20" w:line="259" w:lineRule="auto"/>
              <w:ind w:firstLine="0"/>
              <w:jc w:val="center"/>
            </w:pPr>
            <w:r>
              <w:rPr>
                <w:rFonts w:ascii="Times New Roman" w:hAnsi="Times New Roman" w:eastAsia="宋体"/>
                <w:b w:val="0"/>
                <w:i w:val="0"/>
                <w:sz w:val="18"/>
              </w:rPr>
              <w:t>1</w:t>
            </w:r>
          </w:p>
        </w:tc>
        <w:tc>
          <w:tcPr>
            <w:tcW w:w="1701" w:type="dxa"/>
            <w:vAlign w:val="center"/>
          </w:tcPr>
          <w:p w14:paraId="756C3DF3">
            <w:pPr>
              <w:spacing w:before="20" w:after="20" w:line="259" w:lineRule="auto"/>
              <w:ind w:firstLine="0"/>
              <w:jc w:val="center"/>
            </w:pPr>
            <w:r>
              <w:rPr>
                <w:rFonts w:ascii="Times New Roman" w:hAnsi="Times New Roman" w:eastAsia="宋体"/>
                <w:b w:val="0"/>
                <w:i w:val="0"/>
                <w:sz w:val="18"/>
              </w:rPr>
              <w:t>70.3</w:t>
            </w:r>
          </w:p>
        </w:tc>
        <w:tc>
          <w:tcPr>
            <w:tcW w:w="1814" w:type="dxa"/>
            <w:vAlign w:val="center"/>
          </w:tcPr>
          <w:p w14:paraId="4EE2CE58">
            <w:pPr>
              <w:spacing w:before="20" w:after="20" w:line="259" w:lineRule="auto"/>
              <w:ind w:firstLine="0"/>
              <w:jc w:val="center"/>
            </w:pPr>
            <w:r>
              <w:rPr>
                <w:rFonts w:ascii="Times New Roman" w:hAnsi="Times New Roman" w:eastAsia="宋体"/>
                <w:b w:val="0"/>
                <w:i w:val="0"/>
                <w:sz w:val="18"/>
              </w:rPr>
              <w:t>132</w:t>
            </w:r>
          </w:p>
        </w:tc>
        <w:tc>
          <w:tcPr>
            <w:tcW w:w="1814" w:type="dxa"/>
            <w:vAlign w:val="center"/>
          </w:tcPr>
          <w:p w14:paraId="39DEF89C">
            <w:pPr>
              <w:spacing w:before="20" w:after="20" w:line="259" w:lineRule="auto"/>
              <w:ind w:firstLine="0"/>
              <w:jc w:val="center"/>
            </w:pPr>
            <w:r>
              <w:rPr>
                <w:rFonts w:ascii="Times New Roman" w:hAnsi="Times New Roman" w:eastAsia="宋体"/>
                <w:b w:val="0"/>
                <w:i w:val="0"/>
                <w:sz w:val="18"/>
              </w:rPr>
              <w:t>-15.05</w:t>
            </w:r>
          </w:p>
        </w:tc>
        <w:tc>
          <w:tcPr>
            <w:tcW w:w="1814" w:type="dxa"/>
            <w:vAlign w:val="center"/>
          </w:tcPr>
          <w:p w14:paraId="48E017CE">
            <w:pPr>
              <w:spacing w:before="20" w:after="20" w:line="259" w:lineRule="auto"/>
              <w:ind w:firstLine="0"/>
              <w:jc w:val="center"/>
            </w:pPr>
            <w:r>
              <w:rPr>
                <w:rFonts w:ascii="Times New Roman" w:hAnsi="Times New Roman" w:eastAsia="宋体"/>
                <w:b w:val="0"/>
                <w:i w:val="0"/>
                <w:sz w:val="18"/>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4095C7E3">
            <w:pPr>
              <w:spacing w:before="20" w:after="20" w:line="259" w:lineRule="auto"/>
              <w:ind w:firstLine="0"/>
              <w:jc w:val="center"/>
            </w:pPr>
            <w:r>
              <w:rPr>
                <w:rFonts w:ascii="Times New Roman" w:hAnsi="Times New Roman" w:eastAsia="宋体"/>
                <w:b w:val="0"/>
                <w:i w:val="0"/>
                <w:sz w:val="18"/>
              </w:rPr>
              <w:t>2009</w:t>
            </w:r>
          </w:p>
        </w:tc>
        <w:tc>
          <w:tcPr>
            <w:tcW w:w="1247" w:type="dxa"/>
            <w:vAlign w:val="center"/>
          </w:tcPr>
          <w:p w14:paraId="197F94AF">
            <w:pPr>
              <w:spacing w:before="20" w:after="20" w:line="259" w:lineRule="auto"/>
              <w:ind w:firstLine="0"/>
              <w:jc w:val="center"/>
            </w:pPr>
            <w:r>
              <w:rPr>
                <w:rFonts w:ascii="Times New Roman" w:hAnsi="Times New Roman" w:eastAsia="宋体"/>
                <w:b w:val="0"/>
                <w:i w:val="0"/>
                <w:sz w:val="18"/>
              </w:rPr>
              <w:t>1</w:t>
            </w:r>
          </w:p>
        </w:tc>
        <w:tc>
          <w:tcPr>
            <w:tcW w:w="1701" w:type="dxa"/>
            <w:vAlign w:val="center"/>
          </w:tcPr>
          <w:p w14:paraId="007BDD60">
            <w:pPr>
              <w:spacing w:before="20" w:after="20" w:line="259" w:lineRule="auto"/>
              <w:ind w:firstLine="0"/>
              <w:jc w:val="center"/>
            </w:pPr>
            <w:r>
              <w:rPr>
                <w:rFonts w:ascii="Times New Roman" w:hAnsi="Times New Roman" w:eastAsia="宋体"/>
                <w:b w:val="0"/>
                <w:i w:val="0"/>
                <w:sz w:val="18"/>
              </w:rPr>
              <w:t>66.2</w:t>
            </w:r>
          </w:p>
        </w:tc>
        <w:tc>
          <w:tcPr>
            <w:tcW w:w="1814" w:type="dxa"/>
            <w:vAlign w:val="center"/>
          </w:tcPr>
          <w:p w14:paraId="0B5930B7">
            <w:pPr>
              <w:spacing w:before="20" w:after="20" w:line="259" w:lineRule="auto"/>
              <w:ind w:firstLine="0"/>
              <w:jc w:val="center"/>
            </w:pPr>
            <w:r>
              <w:rPr>
                <w:rFonts w:ascii="Times New Roman" w:hAnsi="Times New Roman" w:eastAsia="宋体"/>
                <w:b w:val="0"/>
                <w:i w:val="0"/>
                <w:sz w:val="18"/>
              </w:rPr>
              <w:t>162</w:t>
            </w:r>
          </w:p>
        </w:tc>
        <w:tc>
          <w:tcPr>
            <w:tcW w:w="1814" w:type="dxa"/>
            <w:vAlign w:val="center"/>
          </w:tcPr>
          <w:p w14:paraId="29BBBE43">
            <w:pPr>
              <w:spacing w:before="20" w:after="20" w:line="259" w:lineRule="auto"/>
              <w:ind w:firstLine="0"/>
              <w:jc w:val="center"/>
            </w:pPr>
            <w:r>
              <w:rPr>
                <w:rFonts w:ascii="Times New Roman" w:hAnsi="Times New Roman" w:eastAsia="宋体"/>
                <w:b w:val="0"/>
                <w:i w:val="0"/>
                <w:sz w:val="18"/>
              </w:rPr>
              <w:t>+13.19</w:t>
            </w:r>
          </w:p>
        </w:tc>
        <w:tc>
          <w:tcPr>
            <w:tcW w:w="1814" w:type="dxa"/>
            <w:vAlign w:val="center"/>
          </w:tcPr>
          <w:p w14:paraId="797D7002">
            <w:pPr>
              <w:spacing w:before="20" w:after="20" w:line="259" w:lineRule="auto"/>
              <w:ind w:firstLine="0"/>
              <w:jc w:val="center"/>
            </w:pPr>
            <w:r>
              <w:rPr>
                <w:rFonts w:ascii="Times New Roman" w:hAnsi="Times New Roman" w:eastAsia="宋体"/>
                <w:b w:val="0"/>
                <w:i w:val="0"/>
                <w:sz w:val="18"/>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5647D252">
            <w:pPr>
              <w:spacing w:before="20" w:after="20" w:line="259" w:lineRule="auto"/>
              <w:ind w:firstLine="0"/>
              <w:jc w:val="center"/>
            </w:pPr>
            <w:r>
              <w:rPr>
                <w:rFonts w:ascii="Times New Roman" w:hAnsi="Times New Roman" w:eastAsia="宋体"/>
                <w:b w:val="0"/>
                <w:i w:val="0"/>
                <w:sz w:val="18"/>
              </w:rPr>
              <w:t>2010</w:t>
            </w:r>
          </w:p>
        </w:tc>
        <w:tc>
          <w:tcPr>
            <w:tcW w:w="1247" w:type="dxa"/>
            <w:vAlign w:val="center"/>
          </w:tcPr>
          <w:p w14:paraId="603529BA">
            <w:pPr>
              <w:spacing w:before="20" w:after="20" w:line="259" w:lineRule="auto"/>
              <w:ind w:firstLine="0"/>
              <w:jc w:val="center"/>
            </w:pPr>
            <w:r>
              <w:rPr>
                <w:rFonts w:ascii="Times New Roman" w:hAnsi="Times New Roman" w:eastAsia="宋体"/>
                <w:b w:val="0"/>
                <w:i w:val="0"/>
                <w:sz w:val="18"/>
              </w:rPr>
              <w:t>1</w:t>
            </w:r>
          </w:p>
        </w:tc>
        <w:tc>
          <w:tcPr>
            <w:tcW w:w="1701" w:type="dxa"/>
            <w:vAlign w:val="center"/>
          </w:tcPr>
          <w:p w14:paraId="7420B4C8">
            <w:pPr>
              <w:spacing w:before="20" w:after="20" w:line="259" w:lineRule="auto"/>
              <w:ind w:firstLine="0"/>
              <w:jc w:val="center"/>
            </w:pPr>
            <w:r>
              <w:rPr>
                <w:rFonts w:ascii="Times New Roman" w:hAnsi="Times New Roman" w:eastAsia="宋体"/>
                <w:b w:val="0"/>
                <w:i w:val="0"/>
                <w:sz w:val="18"/>
              </w:rPr>
              <w:t>56.5</w:t>
            </w:r>
          </w:p>
        </w:tc>
        <w:tc>
          <w:tcPr>
            <w:tcW w:w="1814" w:type="dxa"/>
            <w:vAlign w:val="center"/>
          </w:tcPr>
          <w:p w14:paraId="7285868A">
            <w:pPr>
              <w:spacing w:before="20" w:after="20" w:line="259" w:lineRule="auto"/>
              <w:ind w:firstLine="0"/>
              <w:jc w:val="center"/>
            </w:pPr>
            <w:r>
              <w:rPr>
                <w:rFonts w:ascii="Times New Roman" w:hAnsi="Times New Roman" w:eastAsia="宋体"/>
                <w:b w:val="0"/>
                <w:i w:val="0"/>
                <w:sz w:val="18"/>
              </w:rPr>
              <w:t>95</w:t>
            </w:r>
          </w:p>
        </w:tc>
        <w:tc>
          <w:tcPr>
            <w:tcW w:w="1814" w:type="dxa"/>
            <w:vAlign w:val="center"/>
          </w:tcPr>
          <w:p w14:paraId="2595A5DD">
            <w:pPr>
              <w:spacing w:before="20" w:after="20" w:line="259" w:lineRule="auto"/>
              <w:ind w:firstLine="0"/>
              <w:jc w:val="center"/>
            </w:pPr>
            <w:r>
              <w:rPr>
                <w:rFonts w:ascii="Times New Roman" w:hAnsi="Times New Roman" w:eastAsia="宋体"/>
                <w:b w:val="0"/>
                <w:i w:val="0"/>
                <w:sz w:val="18"/>
              </w:rPr>
              <w:t>-0.31</w:t>
            </w:r>
          </w:p>
        </w:tc>
        <w:tc>
          <w:tcPr>
            <w:tcW w:w="1814" w:type="dxa"/>
            <w:vAlign w:val="center"/>
          </w:tcPr>
          <w:p w14:paraId="10BB9852">
            <w:pPr>
              <w:spacing w:before="20" w:after="20" w:line="259" w:lineRule="auto"/>
              <w:ind w:firstLine="0"/>
              <w:jc w:val="center"/>
            </w:pPr>
            <w:r>
              <w:rPr>
                <w:rFonts w:ascii="Times New Roman" w:hAnsi="Times New Roman" w:eastAsia="宋体"/>
                <w:b w:val="0"/>
                <w:i w:val="0"/>
                <w:sz w:val="18"/>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679B4760">
            <w:pPr>
              <w:spacing w:before="20" w:after="20" w:line="259" w:lineRule="auto"/>
              <w:ind w:firstLine="0"/>
              <w:jc w:val="center"/>
            </w:pPr>
            <w:r>
              <w:rPr>
                <w:rFonts w:ascii="Times New Roman" w:hAnsi="Times New Roman" w:eastAsia="宋体"/>
                <w:b w:val="0"/>
                <w:i w:val="0"/>
                <w:sz w:val="18"/>
              </w:rPr>
              <w:t>2011</w:t>
            </w:r>
          </w:p>
        </w:tc>
        <w:tc>
          <w:tcPr>
            <w:tcW w:w="1247" w:type="dxa"/>
            <w:vAlign w:val="center"/>
          </w:tcPr>
          <w:p w14:paraId="1D084824">
            <w:pPr>
              <w:spacing w:before="20" w:after="20" w:line="259" w:lineRule="auto"/>
              <w:ind w:firstLine="0"/>
              <w:jc w:val="center"/>
            </w:pPr>
            <w:r>
              <w:rPr>
                <w:rFonts w:ascii="Times New Roman" w:hAnsi="Times New Roman" w:eastAsia="宋体"/>
                <w:b w:val="0"/>
                <w:i w:val="0"/>
                <w:sz w:val="18"/>
              </w:rPr>
              <w:t>2</w:t>
            </w:r>
          </w:p>
        </w:tc>
        <w:tc>
          <w:tcPr>
            <w:tcW w:w="1701" w:type="dxa"/>
            <w:vAlign w:val="center"/>
          </w:tcPr>
          <w:p w14:paraId="45BB13B7">
            <w:pPr>
              <w:spacing w:before="20" w:after="20" w:line="259" w:lineRule="auto"/>
              <w:ind w:firstLine="0"/>
              <w:jc w:val="center"/>
            </w:pPr>
            <w:r>
              <w:rPr>
                <w:rFonts w:ascii="Times New Roman" w:hAnsi="Times New Roman" w:eastAsia="宋体"/>
                <w:b w:val="0"/>
                <w:i w:val="0"/>
                <w:sz w:val="18"/>
              </w:rPr>
              <w:t>27.2</w:t>
            </w:r>
          </w:p>
        </w:tc>
        <w:tc>
          <w:tcPr>
            <w:tcW w:w="1814" w:type="dxa"/>
            <w:vAlign w:val="center"/>
          </w:tcPr>
          <w:p w14:paraId="398FEF1E">
            <w:pPr>
              <w:spacing w:before="20" w:after="20" w:line="259" w:lineRule="auto"/>
              <w:ind w:firstLine="0"/>
              <w:jc w:val="center"/>
            </w:pPr>
            <w:r>
              <w:rPr>
                <w:rFonts w:ascii="Times New Roman" w:hAnsi="Times New Roman" w:eastAsia="宋体"/>
                <w:b w:val="0"/>
                <w:i w:val="0"/>
                <w:sz w:val="18"/>
              </w:rPr>
              <w:t>177</w:t>
            </w:r>
          </w:p>
        </w:tc>
        <w:tc>
          <w:tcPr>
            <w:tcW w:w="1814" w:type="dxa"/>
            <w:vAlign w:val="center"/>
          </w:tcPr>
          <w:p w14:paraId="3F14FB1A">
            <w:pPr>
              <w:spacing w:before="20" w:after="20" w:line="259" w:lineRule="auto"/>
              <w:ind w:firstLine="0"/>
              <w:jc w:val="center"/>
            </w:pPr>
            <w:r>
              <w:rPr>
                <w:rFonts w:ascii="Times New Roman" w:hAnsi="Times New Roman" w:eastAsia="宋体"/>
                <w:b w:val="0"/>
                <w:i w:val="0"/>
                <w:sz w:val="18"/>
              </w:rPr>
              <w:t>-2.59</w:t>
            </w:r>
          </w:p>
        </w:tc>
        <w:tc>
          <w:tcPr>
            <w:tcW w:w="1814" w:type="dxa"/>
            <w:vAlign w:val="center"/>
          </w:tcPr>
          <w:p w14:paraId="136D1A0D">
            <w:pPr>
              <w:spacing w:before="20" w:after="20" w:line="259" w:lineRule="auto"/>
              <w:ind w:firstLine="0"/>
              <w:jc w:val="center"/>
            </w:pPr>
            <w:r>
              <w:rPr>
                <w:rFonts w:ascii="Times New Roman" w:hAnsi="Times New Roman" w:eastAsia="宋体"/>
                <w:b w:val="0"/>
                <w:i w:val="0"/>
                <w:sz w:val="18"/>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6C7DE2D1">
            <w:pPr>
              <w:spacing w:before="20" w:after="20" w:line="259" w:lineRule="auto"/>
              <w:ind w:firstLine="0"/>
              <w:jc w:val="center"/>
            </w:pPr>
            <w:r>
              <w:rPr>
                <w:rFonts w:ascii="Times New Roman" w:hAnsi="Times New Roman" w:eastAsia="宋体"/>
                <w:b w:val="0"/>
                <w:i w:val="0"/>
                <w:sz w:val="18"/>
              </w:rPr>
              <w:t>2012</w:t>
            </w:r>
          </w:p>
        </w:tc>
        <w:tc>
          <w:tcPr>
            <w:tcW w:w="1247" w:type="dxa"/>
            <w:vAlign w:val="center"/>
          </w:tcPr>
          <w:p w14:paraId="45942236">
            <w:pPr>
              <w:spacing w:before="20" w:after="20" w:line="259" w:lineRule="auto"/>
              <w:ind w:firstLine="0"/>
              <w:jc w:val="center"/>
            </w:pPr>
            <w:r>
              <w:rPr>
                <w:rFonts w:ascii="Times New Roman" w:hAnsi="Times New Roman" w:eastAsia="宋体"/>
                <w:b w:val="0"/>
                <w:i w:val="0"/>
                <w:sz w:val="18"/>
              </w:rPr>
              <w:t>3</w:t>
            </w:r>
          </w:p>
        </w:tc>
        <w:tc>
          <w:tcPr>
            <w:tcW w:w="1701" w:type="dxa"/>
            <w:vAlign w:val="center"/>
          </w:tcPr>
          <w:p w14:paraId="48B3C016">
            <w:pPr>
              <w:spacing w:before="20" w:after="20" w:line="259" w:lineRule="auto"/>
              <w:ind w:firstLine="0"/>
              <w:jc w:val="center"/>
            </w:pPr>
            <w:r>
              <w:rPr>
                <w:rFonts w:ascii="Times New Roman" w:hAnsi="Times New Roman" w:eastAsia="宋体"/>
                <w:b w:val="0"/>
                <w:i w:val="0"/>
                <w:sz w:val="18"/>
              </w:rPr>
              <w:t>13.9</w:t>
            </w:r>
          </w:p>
        </w:tc>
        <w:tc>
          <w:tcPr>
            <w:tcW w:w="1814" w:type="dxa"/>
            <w:vAlign w:val="center"/>
          </w:tcPr>
          <w:p w14:paraId="4906FFC8">
            <w:pPr>
              <w:spacing w:before="20" w:after="20" w:line="259" w:lineRule="auto"/>
              <w:ind w:firstLine="0"/>
              <w:jc w:val="center"/>
            </w:pPr>
            <w:r>
              <w:rPr>
                <w:rFonts w:ascii="Times New Roman" w:hAnsi="Times New Roman" w:eastAsia="宋体"/>
                <w:b w:val="0"/>
                <w:i w:val="0"/>
                <w:sz w:val="18"/>
              </w:rPr>
              <w:t>354</w:t>
            </w:r>
          </w:p>
        </w:tc>
        <w:tc>
          <w:tcPr>
            <w:tcW w:w="1814" w:type="dxa"/>
            <w:vAlign w:val="center"/>
          </w:tcPr>
          <w:p w14:paraId="3A1F8435">
            <w:pPr>
              <w:spacing w:before="20" w:after="20" w:line="259" w:lineRule="auto"/>
              <w:ind w:firstLine="0"/>
              <w:jc w:val="center"/>
            </w:pPr>
            <w:r>
              <w:rPr>
                <w:rFonts w:ascii="Times New Roman" w:hAnsi="Times New Roman" w:eastAsia="宋体"/>
                <w:b w:val="0"/>
                <w:i w:val="0"/>
                <w:sz w:val="18"/>
              </w:rPr>
              <w:t>+0.09</w:t>
            </w:r>
          </w:p>
        </w:tc>
        <w:tc>
          <w:tcPr>
            <w:tcW w:w="1814" w:type="dxa"/>
            <w:vAlign w:val="center"/>
          </w:tcPr>
          <w:p w14:paraId="0E5338DE">
            <w:pPr>
              <w:spacing w:before="20" w:after="20" w:line="259" w:lineRule="auto"/>
              <w:ind w:firstLine="0"/>
              <w:jc w:val="center"/>
            </w:pPr>
            <w:r>
              <w:rPr>
                <w:rFonts w:ascii="Times New Roman" w:hAnsi="Times New Roman" w:eastAsia="宋体"/>
                <w:b w:val="0"/>
                <w:i w:val="0"/>
                <w:sz w:val="18"/>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33A1A375">
            <w:pPr>
              <w:spacing w:before="20" w:after="20" w:line="259" w:lineRule="auto"/>
              <w:ind w:firstLine="0"/>
              <w:jc w:val="center"/>
            </w:pPr>
            <w:r>
              <w:rPr>
                <w:rFonts w:ascii="Times New Roman" w:hAnsi="Times New Roman" w:eastAsia="宋体"/>
                <w:b w:val="0"/>
                <w:i w:val="0"/>
                <w:sz w:val="18"/>
              </w:rPr>
              <w:t>2013</w:t>
            </w:r>
          </w:p>
        </w:tc>
        <w:tc>
          <w:tcPr>
            <w:tcW w:w="1247" w:type="dxa"/>
            <w:vAlign w:val="center"/>
          </w:tcPr>
          <w:p w14:paraId="2A4B0D13">
            <w:pPr>
              <w:spacing w:before="20" w:after="20" w:line="259" w:lineRule="auto"/>
              <w:ind w:firstLine="0"/>
              <w:jc w:val="center"/>
            </w:pPr>
            <w:r>
              <w:rPr>
                <w:rFonts w:ascii="Times New Roman" w:hAnsi="Times New Roman" w:eastAsia="宋体"/>
                <w:b w:val="0"/>
                <w:i w:val="0"/>
                <w:sz w:val="18"/>
              </w:rPr>
              <w:t>6</w:t>
            </w:r>
          </w:p>
        </w:tc>
        <w:tc>
          <w:tcPr>
            <w:tcW w:w="1701" w:type="dxa"/>
            <w:vAlign w:val="center"/>
          </w:tcPr>
          <w:p w14:paraId="455AD908">
            <w:pPr>
              <w:spacing w:before="20" w:after="20" w:line="259" w:lineRule="auto"/>
              <w:ind w:firstLine="0"/>
              <w:jc w:val="center"/>
            </w:pPr>
            <w:r>
              <w:rPr>
                <w:rFonts w:ascii="Times New Roman" w:hAnsi="Times New Roman" w:eastAsia="宋体"/>
                <w:b w:val="0"/>
                <w:i w:val="0"/>
                <w:sz w:val="18"/>
              </w:rPr>
              <w:t>11.9</w:t>
            </w:r>
          </w:p>
        </w:tc>
        <w:tc>
          <w:tcPr>
            <w:tcW w:w="1814" w:type="dxa"/>
            <w:vAlign w:val="center"/>
          </w:tcPr>
          <w:p w14:paraId="4E1CFC08">
            <w:pPr>
              <w:spacing w:before="20" w:after="20" w:line="259" w:lineRule="auto"/>
              <w:ind w:firstLine="0"/>
              <w:jc w:val="center"/>
            </w:pPr>
            <w:r>
              <w:rPr>
                <w:rFonts w:ascii="Times New Roman" w:hAnsi="Times New Roman" w:eastAsia="宋体"/>
                <w:b w:val="0"/>
                <w:i w:val="0"/>
                <w:sz w:val="18"/>
              </w:rPr>
              <w:t>381</w:t>
            </w:r>
          </w:p>
        </w:tc>
        <w:tc>
          <w:tcPr>
            <w:tcW w:w="1814" w:type="dxa"/>
            <w:vAlign w:val="center"/>
          </w:tcPr>
          <w:p w14:paraId="76423905">
            <w:pPr>
              <w:spacing w:before="20" w:after="20" w:line="259" w:lineRule="auto"/>
              <w:ind w:firstLine="0"/>
              <w:jc w:val="center"/>
            </w:pPr>
            <w:r>
              <w:rPr>
                <w:rFonts w:ascii="Times New Roman" w:hAnsi="Times New Roman" w:eastAsia="宋体"/>
                <w:b w:val="0"/>
                <w:i w:val="0"/>
                <w:sz w:val="18"/>
              </w:rPr>
              <w:t>+3.00</w:t>
            </w:r>
          </w:p>
        </w:tc>
        <w:tc>
          <w:tcPr>
            <w:tcW w:w="1814" w:type="dxa"/>
            <w:vAlign w:val="center"/>
          </w:tcPr>
          <w:p w14:paraId="1C87F10C">
            <w:pPr>
              <w:spacing w:before="20" w:after="20" w:line="259" w:lineRule="auto"/>
              <w:ind w:firstLine="0"/>
              <w:jc w:val="center"/>
            </w:pPr>
            <w:r>
              <w:rPr>
                <w:rFonts w:ascii="Times New Roman" w:hAnsi="Times New Roman" w:eastAsia="宋体"/>
                <w:b w:val="0"/>
                <w:i w:val="0"/>
                <w:sz w:val="18"/>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57BB1BE4">
            <w:pPr>
              <w:spacing w:before="20" w:after="20" w:line="259" w:lineRule="auto"/>
              <w:ind w:firstLine="0"/>
              <w:jc w:val="center"/>
            </w:pPr>
            <w:r>
              <w:rPr>
                <w:rFonts w:ascii="Times New Roman" w:hAnsi="Times New Roman" w:eastAsia="宋体"/>
                <w:b w:val="0"/>
                <w:i w:val="0"/>
                <w:sz w:val="18"/>
              </w:rPr>
              <w:t>2014</w:t>
            </w:r>
          </w:p>
        </w:tc>
        <w:tc>
          <w:tcPr>
            <w:tcW w:w="1247" w:type="dxa"/>
            <w:vAlign w:val="center"/>
          </w:tcPr>
          <w:p w14:paraId="34309866">
            <w:pPr>
              <w:spacing w:before="20" w:after="20" w:line="259" w:lineRule="auto"/>
              <w:ind w:firstLine="0"/>
              <w:jc w:val="center"/>
            </w:pPr>
            <w:r>
              <w:rPr>
                <w:rFonts w:ascii="Times New Roman" w:hAnsi="Times New Roman" w:eastAsia="宋体"/>
                <w:b w:val="0"/>
                <w:i w:val="0"/>
                <w:sz w:val="18"/>
              </w:rPr>
              <w:t>9</w:t>
            </w:r>
          </w:p>
        </w:tc>
        <w:tc>
          <w:tcPr>
            <w:tcW w:w="1701" w:type="dxa"/>
            <w:vAlign w:val="center"/>
          </w:tcPr>
          <w:p w14:paraId="23BA1A39">
            <w:pPr>
              <w:spacing w:before="20" w:after="20" w:line="259" w:lineRule="auto"/>
              <w:ind w:firstLine="0"/>
              <w:jc w:val="center"/>
            </w:pPr>
            <w:r>
              <w:rPr>
                <w:rFonts w:ascii="Times New Roman" w:hAnsi="Times New Roman" w:eastAsia="宋体"/>
                <w:b w:val="0"/>
                <w:i w:val="0"/>
                <w:sz w:val="18"/>
              </w:rPr>
              <w:t>14.2</w:t>
            </w:r>
          </w:p>
        </w:tc>
        <w:tc>
          <w:tcPr>
            <w:tcW w:w="1814" w:type="dxa"/>
            <w:vAlign w:val="center"/>
          </w:tcPr>
          <w:p w14:paraId="086FBB93">
            <w:pPr>
              <w:spacing w:before="20" w:after="20" w:line="259" w:lineRule="auto"/>
              <w:ind w:firstLine="0"/>
              <w:jc w:val="center"/>
            </w:pPr>
            <w:r>
              <w:rPr>
                <w:rFonts w:ascii="Times New Roman" w:hAnsi="Times New Roman" w:eastAsia="宋体"/>
                <w:b w:val="0"/>
                <w:i w:val="0"/>
                <w:sz w:val="18"/>
              </w:rPr>
              <w:t>527</w:t>
            </w:r>
          </w:p>
        </w:tc>
        <w:tc>
          <w:tcPr>
            <w:tcW w:w="1814" w:type="dxa"/>
            <w:vAlign w:val="center"/>
          </w:tcPr>
          <w:p w14:paraId="480FB5B2">
            <w:pPr>
              <w:spacing w:before="20" w:after="20" w:line="259" w:lineRule="auto"/>
              <w:ind w:firstLine="0"/>
              <w:jc w:val="center"/>
            </w:pPr>
            <w:r>
              <w:rPr>
                <w:rFonts w:ascii="Times New Roman" w:hAnsi="Times New Roman" w:eastAsia="宋体"/>
                <w:b w:val="0"/>
                <w:i w:val="0"/>
                <w:sz w:val="18"/>
              </w:rPr>
              <w:t>+3.80</w:t>
            </w:r>
          </w:p>
        </w:tc>
        <w:tc>
          <w:tcPr>
            <w:tcW w:w="1814" w:type="dxa"/>
            <w:vAlign w:val="center"/>
          </w:tcPr>
          <w:p w14:paraId="662B4677">
            <w:pPr>
              <w:spacing w:before="20" w:after="20" w:line="259" w:lineRule="auto"/>
              <w:ind w:firstLine="0"/>
              <w:jc w:val="center"/>
            </w:pPr>
            <w:r>
              <w:rPr>
                <w:rFonts w:ascii="Times New Roman" w:hAnsi="Times New Roman" w:eastAsia="宋体"/>
                <w:b w:val="0"/>
                <w:i w:val="0"/>
                <w:sz w:val="18"/>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7F44B5C4">
            <w:pPr>
              <w:spacing w:before="20" w:after="20" w:line="259" w:lineRule="auto"/>
              <w:ind w:firstLine="0"/>
              <w:jc w:val="center"/>
            </w:pPr>
            <w:r>
              <w:rPr>
                <w:rFonts w:ascii="Times New Roman" w:hAnsi="Times New Roman" w:eastAsia="宋体"/>
                <w:b w:val="0"/>
                <w:i w:val="0"/>
                <w:sz w:val="18"/>
              </w:rPr>
              <w:t>2015</w:t>
            </w:r>
          </w:p>
        </w:tc>
        <w:tc>
          <w:tcPr>
            <w:tcW w:w="1247" w:type="dxa"/>
            <w:vAlign w:val="center"/>
          </w:tcPr>
          <w:p w14:paraId="0F359E8A">
            <w:pPr>
              <w:spacing w:before="20" w:after="20" w:line="259" w:lineRule="auto"/>
              <w:ind w:firstLine="0"/>
              <w:jc w:val="center"/>
            </w:pPr>
            <w:r>
              <w:rPr>
                <w:rFonts w:ascii="Times New Roman" w:hAnsi="Times New Roman" w:eastAsia="宋体"/>
                <w:b w:val="0"/>
                <w:i w:val="0"/>
                <w:sz w:val="18"/>
              </w:rPr>
              <w:t>28</w:t>
            </w:r>
          </w:p>
        </w:tc>
        <w:tc>
          <w:tcPr>
            <w:tcW w:w="1701" w:type="dxa"/>
            <w:vAlign w:val="center"/>
          </w:tcPr>
          <w:p w14:paraId="6C868BF4">
            <w:pPr>
              <w:spacing w:before="20" w:after="20" w:line="259" w:lineRule="auto"/>
              <w:ind w:firstLine="0"/>
              <w:jc w:val="center"/>
            </w:pPr>
            <w:r>
              <w:rPr>
                <w:rFonts w:ascii="Times New Roman" w:hAnsi="Times New Roman" w:eastAsia="宋体"/>
                <w:b w:val="0"/>
                <w:i w:val="0"/>
                <w:sz w:val="18"/>
              </w:rPr>
              <w:t>19.5</w:t>
            </w:r>
          </w:p>
        </w:tc>
        <w:tc>
          <w:tcPr>
            <w:tcW w:w="1814" w:type="dxa"/>
            <w:vAlign w:val="center"/>
          </w:tcPr>
          <w:p w14:paraId="26BE8548">
            <w:pPr>
              <w:spacing w:before="20" w:after="20" w:line="259" w:lineRule="auto"/>
              <w:ind w:firstLine="0"/>
              <w:jc w:val="center"/>
            </w:pPr>
            <w:r>
              <w:rPr>
                <w:rFonts w:ascii="Times New Roman" w:hAnsi="Times New Roman" w:eastAsia="宋体"/>
                <w:b w:val="0"/>
                <w:i w:val="0"/>
                <w:sz w:val="18"/>
              </w:rPr>
              <w:t>433</w:t>
            </w:r>
          </w:p>
        </w:tc>
        <w:tc>
          <w:tcPr>
            <w:tcW w:w="1814" w:type="dxa"/>
            <w:vAlign w:val="center"/>
          </w:tcPr>
          <w:p w14:paraId="549130D6">
            <w:pPr>
              <w:spacing w:before="20" w:after="20" w:line="259" w:lineRule="auto"/>
              <w:ind w:firstLine="0"/>
              <w:jc w:val="center"/>
            </w:pPr>
            <w:r>
              <w:rPr>
                <w:rFonts w:ascii="Times New Roman" w:hAnsi="Times New Roman" w:eastAsia="宋体"/>
                <w:b w:val="0"/>
                <w:i w:val="0"/>
                <w:sz w:val="18"/>
              </w:rPr>
              <w:t>+3.78</w:t>
            </w:r>
          </w:p>
        </w:tc>
        <w:tc>
          <w:tcPr>
            <w:tcW w:w="1814" w:type="dxa"/>
            <w:vAlign w:val="center"/>
          </w:tcPr>
          <w:p w14:paraId="51E83177">
            <w:pPr>
              <w:spacing w:before="20" w:after="20" w:line="259" w:lineRule="auto"/>
              <w:ind w:firstLine="0"/>
              <w:jc w:val="center"/>
            </w:pPr>
            <w:r>
              <w:rPr>
                <w:rFonts w:ascii="Times New Roman" w:hAnsi="Times New Roman" w:eastAsia="宋体"/>
                <w:b w:val="0"/>
                <w:i w:val="0"/>
                <w:sz w:val="18"/>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59C253B4">
            <w:pPr>
              <w:spacing w:before="20" w:after="20" w:line="259" w:lineRule="auto"/>
              <w:ind w:firstLine="0"/>
              <w:jc w:val="center"/>
            </w:pPr>
            <w:r>
              <w:rPr>
                <w:rFonts w:ascii="Times New Roman" w:hAnsi="Times New Roman" w:eastAsia="宋体"/>
                <w:b w:val="0"/>
                <w:i w:val="0"/>
                <w:sz w:val="18"/>
              </w:rPr>
              <w:t>2016</w:t>
            </w:r>
          </w:p>
        </w:tc>
        <w:tc>
          <w:tcPr>
            <w:tcW w:w="1247" w:type="dxa"/>
            <w:vAlign w:val="center"/>
          </w:tcPr>
          <w:p w14:paraId="5B192F35">
            <w:pPr>
              <w:spacing w:before="20" w:after="20" w:line="259" w:lineRule="auto"/>
              <w:ind w:firstLine="0"/>
              <w:jc w:val="center"/>
            </w:pPr>
            <w:r>
              <w:rPr>
                <w:rFonts w:ascii="Times New Roman" w:hAnsi="Times New Roman" w:eastAsia="宋体"/>
                <w:b w:val="0"/>
                <w:i w:val="0"/>
                <w:sz w:val="18"/>
              </w:rPr>
              <w:t>45</w:t>
            </w:r>
          </w:p>
        </w:tc>
        <w:tc>
          <w:tcPr>
            <w:tcW w:w="1701" w:type="dxa"/>
            <w:vAlign w:val="center"/>
          </w:tcPr>
          <w:p w14:paraId="7414AC04">
            <w:pPr>
              <w:spacing w:before="20" w:after="20" w:line="259" w:lineRule="auto"/>
              <w:ind w:firstLine="0"/>
              <w:jc w:val="center"/>
            </w:pPr>
            <w:r>
              <w:rPr>
                <w:rFonts w:ascii="Times New Roman" w:hAnsi="Times New Roman" w:eastAsia="宋体"/>
                <w:b w:val="0"/>
                <w:i w:val="0"/>
                <w:sz w:val="18"/>
              </w:rPr>
              <w:t>9.8</w:t>
            </w:r>
          </w:p>
        </w:tc>
        <w:tc>
          <w:tcPr>
            <w:tcW w:w="1814" w:type="dxa"/>
            <w:vAlign w:val="center"/>
          </w:tcPr>
          <w:p w14:paraId="3631628A">
            <w:pPr>
              <w:spacing w:before="20" w:after="20" w:line="259" w:lineRule="auto"/>
              <w:ind w:firstLine="0"/>
              <w:jc w:val="center"/>
            </w:pPr>
            <w:r>
              <w:rPr>
                <w:rFonts w:ascii="Times New Roman" w:hAnsi="Times New Roman" w:eastAsia="宋体"/>
                <w:b w:val="0"/>
                <w:i w:val="0"/>
                <w:sz w:val="18"/>
              </w:rPr>
              <w:t>285</w:t>
            </w:r>
          </w:p>
        </w:tc>
        <w:tc>
          <w:tcPr>
            <w:tcW w:w="1814" w:type="dxa"/>
            <w:vAlign w:val="center"/>
          </w:tcPr>
          <w:p w14:paraId="0BDC71FE">
            <w:pPr>
              <w:spacing w:before="20" w:after="20" w:line="259" w:lineRule="auto"/>
              <w:ind w:firstLine="0"/>
              <w:jc w:val="center"/>
            </w:pPr>
            <w:r>
              <w:rPr>
                <w:rFonts w:ascii="Times New Roman" w:hAnsi="Times New Roman" w:eastAsia="宋体"/>
                <w:b w:val="0"/>
                <w:i w:val="0"/>
                <w:sz w:val="18"/>
              </w:rPr>
              <w:t>-1.70</w:t>
            </w:r>
          </w:p>
        </w:tc>
        <w:tc>
          <w:tcPr>
            <w:tcW w:w="1814" w:type="dxa"/>
            <w:vAlign w:val="center"/>
          </w:tcPr>
          <w:p w14:paraId="3B584929">
            <w:pPr>
              <w:spacing w:before="20" w:after="20" w:line="259" w:lineRule="auto"/>
              <w:ind w:firstLine="0"/>
              <w:jc w:val="center"/>
            </w:pPr>
            <w:r>
              <w:rPr>
                <w:rFonts w:ascii="Times New Roman" w:hAnsi="Times New Roman" w:eastAsia="宋体"/>
                <w:b w:val="0"/>
                <w:i w:val="0"/>
                <w:sz w:val="18"/>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5A5E03DF">
            <w:pPr>
              <w:spacing w:before="20" w:after="20" w:line="259" w:lineRule="auto"/>
              <w:ind w:firstLine="0"/>
              <w:jc w:val="center"/>
            </w:pPr>
            <w:r>
              <w:rPr>
                <w:rFonts w:ascii="Times New Roman" w:hAnsi="Times New Roman" w:eastAsia="宋体"/>
                <w:b w:val="0"/>
                <w:i w:val="0"/>
                <w:sz w:val="18"/>
              </w:rPr>
              <w:t>2017</w:t>
            </w:r>
          </w:p>
        </w:tc>
        <w:tc>
          <w:tcPr>
            <w:tcW w:w="1247" w:type="dxa"/>
            <w:vAlign w:val="center"/>
          </w:tcPr>
          <w:p w14:paraId="1E228F86">
            <w:pPr>
              <w:spacing w:before="20" w:after="20" w:line="259" w:lineRule="auto"/>
              <w:ind w:firstLine="0"/>
              <w:jc w:val="center"/>
            </w:pPr>
            <w:r>
              <w:rPr>
                <w:rFonts w:ascii="Times New Roman" w:hAnsi="Times New Roman" w:eastAsia="宋体"/>
                <w:b w:val="0"/>
                <w:i w:val="0"/>
                <w:sz w:val="18"/>
              </w:rPr>
              <w:t>53</w:t>
            </w:r>
          </w:p>
        </w:tc>
        <w:tc>
          <w:tcPr>
            <w:tcW w:w="1701" w:type="dxa"/>
            <w:vAlign w:val="center"/>
          </w:tcPr>
          <w:p w14:paraId="35B5FB4F">
            <w:pPr>
              <w:spacing w:before="20" w:after="20" w:line="259" w:lineRule="auto"/>
              <w:ind w:firstLine="0"/>
              <w:jc w:val="center"/>
            </w:pPr>
            <w:r>
              <w:rPr>
                <w:rFonts w:ascii="Times New Roman" w:hAnsi="Times New Roman" w:eastAsia="宋体"/>
                <w:b w:val="0"/>
                <w:i w:val="0"/>
                <w:sz w:val="18"/>
              </w:rPr>
              <w:t>7.2</w:t>
            </w:r>
          </w:p>
        </w:tc>
        <w:tc>
          <w:tcPr>
            <w:tcW w:w="1814" w:type="dxa"/>
            <w:vAlign w:val="center"/>
          </w:tcPr>
          <w:p w14:paraId="572964C6">
            <w:pPr>
              <w:spacing w:before="20" w:after="20" w:line="259" w:lineRule="auto"/>
              <w:ind w:firstLine="0"/>
              <w:jc w:val="center"/>
            </w:pPr>
            <w:r>
              <w:rPr>
                <w:rFonts w:ascii="Times New Roman" w:hAnsi="Times New Roman" w:eastAsia="宋体"/>
                <w:b w:val="0"/>
                <w:i w:val="0"/>
                <w:sz w:val="18"/>
              </w:rPr>
              <w:t>314</w:t>
            </w:r>
          </w:p>
        </w:tc>
        <w:tc>
          <w:tcPr>
            <w:tcW w:w="1814" w:type="dxa"/>
            <w:vAlign w:val="center"/>
          </w:tcPr>
          <w:p w14:paraId="3A9223B3">
            <w:pPr>
              <w:spacing w:before="20" w:after="20" w:line="259" w:lineRule="auto"/>
              <w:ind w:firstLine="0"/>
              <w:jc w:val="center"/>
            </w:pPr>
            <w:r>
              <w:rPr>
                <w:rFonts w:ascii="Times New Roman" w:hAnsi="Times New Roman" w:eastAsia="宋体"/>
                <w:b w:val="0"/>
                <w:i w:val="0"/>
                <w:sz w:val="18"/>
              </w:rPr>
              <w:t>+2.46</w:t>
            </w:r>
          </w:p>
        </w:tc>
        <w:tc>
          <w:tcPr>
            <w:tcW w:w="1814" w:type="dxa"/>
            <w:vAlign w:val="center"/>
          </w:tcPr>
          <w:p w14:paraId="56021C6C">
            <w:pPr>
              <w:spacing w:before="20" w:after="20" w:line="259" w:lineRule="auto"/>
              <w:ind w:firstLine="0"/>
              <w:jc w:val="center"/>
            </w:pPr>
            <w:r>
              <w:rPr>
                <w:rFonts w:ascii="Times New Roman" w:hAnsi="Times New Roman" w:eastAsia="宋体"/>
                <w:b w:val="0"/>
                <w:i w:val="0"/>
                <w:sz w:val="18"/>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00080364">
            <w:pPr>
              <w:spacing w:before="20" w:after="20" w:line="259" w:lineRule="auto"/>
              <w:ind w:firstLine="0"/>
              <w:jc w:val="center"/>
            </w:pPr>
            <w:r>
              <w:rPr>
                <w:rFonts w:ascii="Times New Roman" w:hAnsi="Times New Roman" w:eastAsia="宋体"/>
                <w:b w:val="0"/>
                <w:i w:val="0"/>
                <w:sz w:val="18"/>
              </w:rPr>
              <w:t>2018</w:t>
            </w:r>
          </w:p>
        </w:tc>
        <w:tc>
          <w:tcPr>
            <w:tcW w:w="1247" w:type="dxa"/>
            <w:vAlign w:val="center"/>
          </w:tcPr>
          <w:p w14:paraId="43330BD9">
            <w:pPr>
              <w:spacing w:before="20" w:after="20" w:line="259" w:lineRule="auto"/>
              <w:ind w:firstLine="0"/>
              <w:jc w:val="center"/>
            </w:pPr>
            <w:r>
              <w:rPr>
                <w:rFonts w:ascii="Times New Roman" w:hAnsi="Times New Roman" w:eastAsia="宋体"/>
                <w:b w:val="0"/>
                <w:i w:val="0"/>
                <w:sz w:val="18"/>
              </w:rPr>
              <w:t>58</w:t>
            </w:r>
          </w:p>
        </w:tc>
        <w:tc>
          <w:tcPr>
            <w:tcW w:w="1701" w:type="dxa"/>
            <w:vAlign w:val="center"/>
          </w:tcPr>
          <w:p w14:paraId="4863EE89">
            <w:pPr>
              <w:spacing w:before="20" w:after="20" w:line="259" w:lineRule="auto"/>
              <w:ind w:firstLine="0"/>
              <w:jc w:val="center"/>
            </w:pPr>
            <w:r>
              <w:rPr>
                <w:rFonts w:ascii="Times New Roman" w:hAnsi="Times New Roman" w:eastAsia="宋体"/>
                <w:b w:val="0"/>
                <w:i w:val="0"/>
                <w:sz w:val="18"/>
              </w:rPr>
              <w:t>4.9</w:t>
            </w:r>
          </w:p>
        </w:tc>
        <w:tc>
          <w:tcPr>
            <w:tcW w:w="1814" w:type="dxa"/>
            <w:vAlign w:val="center"/>
          </w:tcPr>
          <w:p w14:paraId="597A2561">
            <w:pPr>
              <w:spacing w:before="20" w:after="20" w:line="259" w:lineRule="auto"/>
              <w:ind w:firstLine="0"/>
              <w:jc w:val="center"/>
            </w:pPr>
            <w:r>
              <w:rPr>
                <w:rFonts w:ascii="Times New Roman" w:hAnsi="Times New Roman" w:eastAsia="宋体"/>
                <w:b w:val="0"/>
                <w:i w:val="0"/>
                <w:sz w:val="18"/>
              </w:rPr>
              <w:t>303</w:t>
            </w:r>
          </w:p>
        </w:tc>
        <w:tc>
          <w:tcPr>
            <w:tcW w:w="1814" w:type="dxa"/>
            <w:vAlign w:val="center"/>
          </w:tcPr>
          <w:p w14:paraId="4AF6CD24">
            <w:pPr>
              <w:spacing w:before="20" w:after="20" w:line="259" w:lineRule="auto"/>
              <w:ind w:firstLine="0"/>
              <w:jc w:val="center"/>
            </w:pPr>
            <w:r>
              <w:rPr>
                <w:rFonts w:ascii="Times New Roman" w:hAnsi="Times New Roman" w:eastAsia="宋体"/>
                <w:b w:val="0"/>
                <w:i w:val="0"/>
                <w:sz w:val="18"/>
              </w:rPr>
              <w:t>-5.22</w:t>
            </w:r>
          </w:p>
        </w:tc>
        <w:tc>
          <w:tcPr>
            <w:tcW w:w="1814" w:type="dxa"/>
            <w:vAlign w:val="center"/>
          </w:tcPr>
          <w:p w14:paraId="7020CF51">
            <w:pPr>
              <w:spacing w:before="20" w:after="20" w:line="259" w:lineRule="auto"/>
              <w:ind w:firstLine="0"/>
              <w:jc w:val="center"/>
            </w:pPr>
            <w:r>
              <w:rPr>
                <w:rFonts w:ascii="Times New Roman" w:hAnsi="Times New Roman" w:eastAsia="宋体"/>
                <w:b w:val="0"/>
                <w:i w:val="0"/>
                <w:sz w:val="18"/>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558B25B0">
            <w:pPr>
              <w:spacing w:before="20" w:after="20" w:line="259" w:lineRule="auto"/>
              <w:ind w:firstLine="0"/>
              <w:jc w:val="center"/>
            </w:pPr>
            <w:r>
              <w:rPr>
                <w:rFonts w:ascii="Times New Roman" w:hAnsi="Times New Roman" w:eastAsia="宋体"/>
                <w:b w:val="0"/>
                <w:i w:val="0"/>
                <w:sz w:val="18"/>
              </w:rPr>
              <w:t>2019</w:t>
            </w:r>
          </w:p>
        </w:tc>
        <w:tc>
          <w:tcPr>
            <w:tcW w:w="1247" w:type="dxa"/>
            <w:vAlign w:val="center"/>
          </w:tcPr>
          <w:p w14:paraId="474843A7">
            <w:pPr>
              <w:spacing w:before="20" w:after="20" w:line="259" w:lineRule="auto"/>
              <w:ind w:firstLine="0"/>
              <w:jc w:val="center"/>
            </w:pPr>
            <w:r>
              <w:rPr>
                <w:rFonts w:ascii="Times New Roman" w:hAnsi="Times New Roman" w:eastAsia="宋体"/>
                <w:b w:val="0"/>
                <w:i w:val="0"/>
                <w:sz w:val="18"/>
              </w:rPr>
              <w:t>61</w:t>
            </w:r>
          </w:p>
        </w:tc>
        <w:tc>
          <w:tcPr>
            <w:tcW w:w="1701" w:type="dxa"/>
            <w:vAlign w:val="center"/>
          </w:tcPr>
          <w:p w14:paraId="452865E5">
            <w:pPr>
              <w:spacing w:before="20" w:after="20" w:line="259" w:lineRule="auto"/>
              <w:ind w:firstLine="0"/>
              <w:jc w:val="center"/>
            </w:pPr>
            <w:r>
              <w:rPr>
                <w:rFonts w:ascii="Times New Roman" w:hAnsi="Times New Roman" w:eastAsia="宋体"/>
                <w:b w:val="0"/>
                <w:i w:val="0"/>
                <w:sz w:val="18"/>
              </w:rPr>
              <w:t>4.8</w:t>
            </w:r>
          </w:p>
        </w:tc>
        <w:tc>
          <w:tcPr>
            <w:tcW w:w="1814" w:type="dxa"/>
            <w:vAlign w:val="center"/>
          </w:tcPr>
          <w:p w14:paraId="2F94DACE">
            <w:pPr>
              <w:spacing w:before="20" w:after="20" w:line="259" w:lineRule="auto"/>
              <w:ind w:firstLine="0"/>
              <w:jc w:val="center"/>
            </w:pPr>
            <w:r>
              <w:rPr>
                <w:rFonts w:ascii="Times New Roman" w:hAnsi="Times New Roman" w:eastAsia="宋体"/>
                <w:b w:val="0"/>
                <w:i w:val="0"/>
                <w:sz w:val="18"/>
              </w:rPr>
              <w:t>220</w:t>
            </w:r>
          </w:p>
        </w:tc>
        <w:tc>
          <w:tcPr>
            <w:tcW w:w="1814" w:type="dxa"/>
            <w:vAlign w:val="center"/>
          </w:tcPr>
          <w:p w14:paraId="34410BAF">
            <w:pPr>
              <w:spacing w:before="20" w:after="20" w:line="259" w:lineRule="auto"/>
              <w:ind w:firstLine="0"/>
              <w:jc w:val="center"/>
            </w:pPr>
            <w:r>
              <w:rPr>
                <w:rFonts w:ascii="Times New Roman" w:hAnsi="Times New Roman" w:eastAsia="宋体"/>
                <w:b w:val="0"/>
                <w:i w:val="0"/>
                <w:sz w:val="18"/>
              </w:rPr>
              <w:t>+8.38</w:t>
            </w:r>
          </w:p>
        </w:tc>
        <w:tc>
          <w:tcPr>
            <w:tcW w:w="1814" w:type="dxa"/>
            <w:vAlign w:val="center"/>
          </w:tcPr>
          <w:p w14:paraId="21C01E63">
            <w:pPr>
              <w:spacing w:before="20" w:after="20" w:line="259" w:lineRule="auto"/>
              <w:ind w:firstLine="0"/>
              <w:jc w:val="center"/>
            </w:pPr>
            <w:r>
              <w:rPr>
                <w:rFonts w:ascii="Times New Roman" w:hAnsi="Times New Roman" w:eastAsia="宋体"/>
                <w:b w:val="0"/>
                <w:i w:val="0"/>
                <w:sz w:val="18"/>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1B56B12E">
            <w:pPr>
              <w:spacing w:before="20" w:after="20" w:line="259" w:lineRule="auto"/>
              <w:ind w:firstLine="0"/>
              <w:jc w:val="center"/>
            </w:pPr>
            <w:r>
              <w:rPr>
                <w:rFonts w:ascii="Times New Roman" w:hAnsi="Times New Roman" w:eastAsia="宋体"/>
                <w:b w:val="0"/>
                <w:i w:val="0"/>
                <w:sz w:val="18"/>
              </w:rPr>
              <w:t>2020</w:t>
            </w:r>
          </w:p>
        </w:tc>
        <w:tc>
          <w:tcPr>
            <w:tcW w:w="1247" w:type="dxa"/>
            <w:vAlign w:val="center"/>
          </w:tcPr>
          <w:p w14:paraId="1A6E42C3">
            <w:pPr>
              <w:spacing w:before="20" w:after="20" w:line="259" w:lineRule="auto"/>
              <w:ind w:firstLine="0"/>
              <w:jc w:val="center"/>
            </w:pPr>
            <w:r>
              <w:rPr>
                <w:rFonts w:ascii="Times New Roman" w:hAnsi="Times New Roman" w:eastAsia="宋体"/>
                <w:b w:val="0"/>
                <w:i w:val="0"/>
                <w:sz w:val="18"/>
              </w:rPr>
              <w:t>286</w:t>
            </w:r>
          </w:p>
        </w:tc>
        <w:tc>
          <w:tcPr>
            <w:tcW w:w="1701" w:type="dxa"/>
            <w:vAlign w:val="center"/>
          </w:tcPr>
          <w:p w14:paraId="0E80A138">
            <w:pPr>
              <w:spacing w:before="20" w:after="20" w:line="259" w:lineRule="auto"/>
              <w:ind w:firstLine="0"/>
              <w:jc w:val="center"/>
            </w:pPr>
            <w:r>
              <w:rPr>
                <w:rFonts w:ascii="Times New Roman" w:hAnsi="Times New Roman" w:eastAsia="宋体"/>
                <w:b w:val="0"/>
                <w:i w:val="0"/>
                <w:sz w:val="18"/>
              </w:rPr>
              <w:t>17.9</w:t>
            </w:r>
          </w:p>
        </w:tc>
        <w:tc>
          <w:tcPr>
            <w:tcW w:w="1814" w:type="dxa"/>
            <w:vAlign w:val="center"/>
          </w:tcPr>
          <w:p w14:paraId="687D9CD9">
            <w:pPr>
              <w:spacing w:before="20" w:after="20" w:line="259" w:lineRule="auto"/>
              <w:ind w:firstLine="0"/>
              <w:jc w:val="center"/>
            </w:pPr>
            <w:r>
              <w:rPr>
                <w:rFonts w:ascii="Times New Roman" w:hAnsi="Times New Roman" w:eastAsia="宋体"/>
                <w:b w:val="0"/>
                <w:i w:val="0"/>
                <w:sz w:val="18"/>
              </w:rPr>
              <w:t>217</w:t>
            </w:r>
          </w:p>
        </w:tc>
        <w:tc>
          <w:tcPr>
            <w:tcW w:w="1814" w:type="dxa"/>
            <w:vAlign w:val="center"/>
          </w:tcPr>
          <w:p w14:paraId="56D09FF3">
            <w:pPr>
              <w:spacing w:before="20" w:after="20" w:line="259" w:lineRule="auto"/>
              <w:ind w:firstLine="0"/>
              <w:jc w:val="center"/>
            </w:pPr>
            <w:r>
              <w:rPr>
                <w:rFonts w:ascii="Times New Roman" w:hAnsi="Times New Roman" w:eastAsia="宋体"/>
                <w:b w:val="0"/>
                <w:i w:val="0"/>
                <w:sz w:val="18"/>
              </w:rPr>
              <w:t>+12.19</w:t>
            </w:r>
          </w:p>
        </w:tc>
        <w:tc>
          <w:tcPr>
            <w:tcW w:w="1814" w:type="dxa"/>
            <w:vAlign w:val="center"/>
          </w:tcPr>
          <w:p w14:paraId="7F16F1B7">
            <w:pPr>
              <w:spacing w:before="20" w:after="20" w:line="259" w:lineRule="auto"/>
              <w:ind w:firstLine="0"/>
              <w:jc w:val="center"/>
            </w:pPr>
            <w:r>
              <w:rPr>
                <w:rFonts w:ascii="Times New Roman" w:hAnsi="Times New Roman" w:eastAsia="宋体"/>
                <w:b w:val="0"/>
                <w:i w:val="0"/>
                <w:sz w:val="18"/>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5EF1B2E2">
            <w:pPr>
              <w:spacing w:before="20" w:after="20" w:line="259" w:lineRule="auto"/>
              <w:ind w:firstLine="0"/>
              <w:jc w:val="center"/>
            </w:pPr>
            <w:r>
              <w:rPr>
                <w:rFonts w:ascii="Times New Roman" w:hAnsi="Times New Roman" w:eastAsia="宋体"/>
                <w:b w:val="0"/>
                <w:i w:val="0"/>
                <w:sz w:val="18"/>
              </w:rPr>
              <w:t>2021</w:t>
            </w:r>
          </w:p>
        </w:tc>
        <w:tc>
          <w:tcPr>
            <w:tcW w:w="1247" w:type="dxa"/>
            <w:vAlign w:val="center"/>
          </w:tcPr>
          <w:p w14:paraId="4D33BC84">
            <w:pPr>
              <w:spacing w:before="20" w:after="20" w:line="259" w:lineRule="auto"/>
              <w:ind w:firstLine="0"/>
              <w:jc w:val="center"/>
            </w:pPr>
            <w:r>
              <w:rPr>
                <w:rFonts w:ascii="Times New Roman" w:hAnsi="Times New Roman" w:eastAsia="宋体"/>
                <w:b w:val="0"/>
                <w:i w:val="0"/>
                <w:sz w:val="18"/>
              </w:rPr>
              <w:t>320</w:t>
            </w:r>
          </w:p>
        </w:tc>
        <w:tc>
          <w:tcPr>
            <w:tcW w:w="1701" w:type="dxa"/>
            <w:vAlign w:val="center"/>
          </w:tcPr>
          <w:p w14:paraId="14A9DD7D">
            <w:pPr>
              <w:spacing w:before="20" w:after="20" w:line="259" w:lineRule="auto"/>
              <w:ind w:firstLine="0"/>
              <w:jc w:val="center"/>
            </w:pPr>
            <w:r>
              <w:rPr>
                <w:rFonts w:ascii="Times New Roman" w:hAnsi="Times New Roman" w:eastAsia="宋体"/>
                <w:b w:val="0"/>
                <w:i w:val="0"/>
                <w:sz w:val="18"/>
              </w:rPr>
              <w:t>20.0</w:t>
            </w:r>
          </w:p>
        </w:tc>
        <w:tc>
          <w:tcPr>
            <w:tcW w:w="1814" w:type="dxa"/>
            <w:vAlign w:val="center"/>
          </w:tcPr>
          <w:p w14:paraId="0F576931">
            <w:pPr>
              <w:spacing w:before="20" w:after="20" w:line="259" w:lineRule="auto"/>
              <w:ind w:firstLine="0"/>
              <w:jc w:val="center"/>
            </w:pPr>
            <w:r>
              <w:rPr>
                <w:rFonts w:ascii="Times New Roman" w:hAnsi="Times New Roman" w:eastAsia="宋体"/>
                <w:b w:val="0"/>
                <w:i w:val="0"/>
                <w:sz w:val="18"/>
              </w:rPr>
              <w:t>224</w:t>
            </w:r>
          </w:p>
        </w:tc>
        <w:tc>
          <w:tcPr>
            <w:tcW w:w="1814" w:type="dxa"/>
            <w:vAlign w:val="center"/>
          </w:tcPr>
          <w:p w14:paraId="344BB62A">
            <w:pPr>
              <w:spacing w:before="20" w:after="20" w:line="259" w:lineRule="auto"/>
              <w:ind w:firstLine="0"/>
              <w:jc w:val="center"/>
            </w:pPr>
            <w:r>
              <w:rPr>
                <w:rFonts w:ascii="Times New Roman" w:hAnsi="Times New Roman" w:eastAsia="宋体"/>
                <w:b w:val="0"/>
                <w:i w:val="0"/>
                <w:sz w:val="18"/>
              </w:rPr>
              <w:t>+3.42</w:t>
            </w:r>
          </w:p>
        </w:tc>
        <w:tc>
          <w:tcPr>
            <w:tcW w:w="1814" w:type="dxa"/>
            <w:vAlign w:val="center"/>
          </w:tcPr>
          <w:p w14:paraId="7C823028">
            <w:pPr>
              <w:spacing w:before="20" w:after="20" w:line="259" w:lineRule="auto"/>
              <w:ind w:firstLine="0"/>
              <w:jc w:val="center"/>
            </w:pPr>
            <w:r>
              <w:rPr>
                <w:rFonts w:ascii="Times New Roman" w:hAnsi="Times New Roman" w:eastAsia="宋体"/>
                <w:b w:val="0"/>
                <w:i w:val="0"/>
                <w:sz w:val="18"/>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1EB4F68A">
            <w:pPr>
              <w:spacing w:before="20" w:after="20" w:line="259" w:lineRule="auto"/>
              <w:ind w:firstLine="0"/>
              <w:jc w:val="center"/>
            </w:pPr>
            <w:r>
              <w:rPr>
                <w:rFonts w:ascii="Times New Roman" w:hAnsi="Times New Roman" w:eastAsia="宋体"/>
                <w:b w:val="0"/>
                <w:i w:val="0"/>
                <w:sz w:val="18"/>
              </w:rPr>
              <w:t>2022</w:t>
            </w:r>
          </w:p>
        </w:tc>
        <w:tc>
          <w:tcPr>
            <w:tcW w:w="1247" w:type="dxa"/>
            <w:vAlign w:val="center"/>
          </w:tcPr>
          <w:p w14:paraId="3076DF5A">
            <w:pPr>
              <w:spacing w:before="20" w:after="20" w:line="259" w:lineRule="auto"/>
              <w:ind w:firstLine="0"/>
              <w:jc w:val="center"/>
            </w:pPr>
            <w:r>
              <w:rPr>
                <w:rFonts w:ascii="Times New Roman" w:hAnsi="Times New Roman" w:eastAsia="宋体"/>
                <w:b w:val="0"/>
                <w:i w:val="0"/>
                <w:sz w:val="18"/>
              </w:rPr>
              <w:t>343</w:t>
            </w:r>
          </w:p>
        </w:tc>
        <w:tc>
          <w:tcPr>
            <w:tcW w:w="1701" w:type="dxa"/>
            <w:vAlign w:val="center"/>
          </w:tcPr>
          <w:p w14:paraId="35BC105B">
            <w:pPr>
              <w:spacing w:before="20" w:after="20" w:line="259" w:lineRule="auto"/>
              <w:ind w:firstLine="0"/>
              <w:jc w:val="center"/>
            </w:pPr>
            <w:r>
              <w:rPr>
                <w:rFonts w:ascii="Times New Roman" w:hAnsi="Times New Roman" w:eastAsia="宋体"/>
                <w:b w:val="0"/>
                <w:i w:val="0"/>
                <w:sz w:val="18"/>
              </w:rPr>
              <w:t>15.8</w:t>
            </w:r>
          </w:p>
        </w:tc>
        <w:tc>
          <w:tcPr>
            <w:tcW w:w="1814" w:type="dxa"/>
            <w:vAlign w:val="center"/>
          </w:tcPr>
          <w:p w14:paraId="643178C5">
            <w:pPr>
              <w:spacing w:before="20" w:after="20" w:line="259" w:lineRule="auto"/>
              <w:ind w:firstLine="0"/>
              <w:jc w:val="center"/>
            </w:pPr>
            <w:r>
              <w:rPr>
                <w:rFonts w:ascii="Times New Roman" w:hAnsi="Times New Roman" w:eastAsia="宋体"/>
                <w:b w:val="0"/>
                <w:i w:val="0"/>
                <w:sz w:val="18"/>
              </w:rPr>
              <w:t>234</w:t>
            </w:r>
          </w:p>
        </w:tc>
        <w:tc>
          <w:tcPr>
            <w:tcW w:w="1814" w:type="dxa"/>
            <w:vAlign w:val="center"/>
          </w:tcPr>
          <w:p w14:paraId="2408D77E">
            <w:pPr>
              <w:spacing w:before="20" w:after="20" w:line="259" w:lineRule="auto"/>
              <w:ind w:firstLine="0"/>
              <w:jc w:val="center"/>
            </w:pPr>
            <w:r>
              <w:rPr>
                <w:rFonts w:ascii="Times New Roman" w:hAnsi="Times New Roman" w:eastAsia="宋体"/>
                <w:b w:val="0"/>
                <w:i w:val="0"/>
                <w:sz w:val="18"/>
              </w:rPr>
              <w:t>-5.37</w:t>
            </w:r>
          </w:p>
        </w:tc>
        <w:tc>
          <w:tcPr>
            <w:tcW w:w="1814" w:type="dxa"/>
            <w:vAlign w:val="center"/>
          </w:tcPr>
          <w:p w14:paraId="32734FE8">
            <w:pPr>
              <w:spacing w:before="20" w:after="20" w:line="259" w:lineRule="auto"/>
              <w:ind w:firstLine="0"/>
              <w:jc w:val="center"/>
            </w:pPr>
            <w:r>
              <w:rPr>
                <w:rFonts w:ascii="Times New Roman" w:hAnsi="Times New Roman" w:eastAsia="宋体"/>
                <w:b w:val="0"/>
                <w:i w:val="0"/>
                <w:sz w:val="18"/>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0D03AAFC">
            <w:pPr>
              <w:spacing w:before="20" w:after="20" w:line="259" w:lineRule="auto"/>
              <w:ind w:firstLine="0"/>
              <w:jc w:val="center"/>
            </w:pPr>
            <w:r>
              <w:rPr>
                <w:rFonts w:ascii="Times New Roman" w:hAnsi="Times New Roman" w:eastAsia="宋体"/>
                <w:b w:val="0"/>
                <w:i w:val="0"/>
                <w:sz w:val="18"/>
              </w:rPr>
              <w:t>2023</w:t>
            </w:r>
          </w:p>
        </w:tc>
        <w:tc>
          <w:tcPr>
            <w:tcW w:w="1247" w:type="dxa"/>
            <w:vAlign w:val="center"/>
          </w:tcPr>
          <w:p w14:paraId="59C45830">
            <w:pPr>
              <w:spacing w:before="20" w:after="20" w:line="259" w:lineRule="auto"/>
              <w:ind w:firstLine="0"/>
              <w:jc w:val="center"/>
            </w:pPr>
            <w:r>
              <w:rPr>
                <w:rFonts w:ascii="Times New Roman" w:hAnsi="Times New Roman" w:eastAsia="宋体"/>
                <w:b w:val="0"/>
                <w:i w:val="0"/>
                <w:sz w:val="18"/>
              </w:rPr>
              <w:t>362</w:t>
            </w:r>
          </w:p>
        </w:tc>
        <w:tc>
          <w:tcPr>
            <w:tcW w:w="1701" w:type="dxa"/>
            <w:vAlign w:val="center"/>
          </w:tcPr>
          <w:p w14:paraId="3F9F4DFA">
            <w:pPr>
              <w:spacing w:before="20" w:after="20" w:line="259" w:lineRule="auto"/>
              <w:ind w:firstLine="0"/>
              <w:jc w:val="center"/>
            </w:pPr>
            <w:r>
              <w:rPr>
                <w:rFonts w:ascii="Times New Roman" w:hAnsi="Times New Roman" w:eastAsia="宋体"/>
                <w:b w:val="0"/>
                <w:i w:val="0"/>
                <w:sz w:val="18"/>
              </w:rPr>
              <w:t>13.3</w:t>
            </w:r>
          </w:p>
        </w:tc>
        <w:tc>
          <w:tcPr>
            <w:tcW w:w="1814" w:type="dxa"/>
            <w:vAlign w:val="center"/>
          </w:tcPr>
          <w:p w14:paraId="28C390C4">
            <w:pPr>
              <w:spacing w:before="20" w:after="20" w:line="259" w:lineRule="auto"/>
              <w:ind w:firstLine="0"/>
              <w:jc w:val="center"/>
            </w:pPr>
            <w:r>
              <w:rPr>
                <w:rFonts w:ascii="Times New Roman" w:hAnsi="Times New Roman" w:eastAsia="宋体"/>
                <w:b w:val="0"/>
                <w:i w:val="0"/>
                <w:sz w:val="18"/>
              </w:rPr>
              <w:t>218</w:t>
            </w:r>
          </w:p>
        </w:tc>
        <w:tc>
          <w:tcPr>
            <w:tcW w:w="1814" w:type="dxa"/>
            <w:vAlign w:val="center"/>
          </w:tcPr>
          <w:p w14:paraId="64728572">
            <w:pPr>
              <w:spacing w:before="20" w:after="20" w:line="259" w:lineRule="auto"/>
              <w:ind w:firstLine="0"/>
              <w:jc w:val="center"/>
            </w:pPr>
            <w:r>
              <w:rPr>
                <w:rFonts w:ascii="Times New Roman" w:hAnsi="Times New Roman" w:eastAsia="宋体"/>
                <w:b w:val="0"/>
                <w:i w:val="0"/>
                <w:sz w:val="18"/>
              </w:rPr>
              <w:t>-3.14</w:t>
            </w:r>
          </w:p>
        </w:tc>
        <w:tc>
          <w:tcPr>
            <w:tcW w:w="1814" w:type="dxa"/>
            <w:vAlign w:val="center"/>
          </w:tcPr>
          <w:p w14:paraId="0BCB1821">
            <w:pPr>
              <w:spacing w:before="20" w:after="20" w:line="259" w:lineRule="auto"/>
              <w:ind w:firstLine="0"/>
              <w:jc w:val="center"/>
            </w:pPr>
            <w:r>
              <w:rPr>
                <w:rFonts w:ascii="Times New Roman" w:hAnsi="Times New Roman" w:eastAsia="宋体"/>
                <w:b w:val="0"/>
                <w:i w:val="0"/>
                <w:sz w:val="18"/>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6F4813C5">
            <w:pPr>
              <w:spacing w:before="20" w:after="20" w:line="259" w:lineRule="auto"/>
              <w:ind w:firstLine="0"/>
              <w:jc w:val="center"/>
            </w:pPr>
            <w:r>
              <w:rPr>
                <w:rFonts w:ascii="Times New Roman" w:hAnsi="Times New Roman" w:eastAsia="宋体"/>
                <w:b w:val="0"/>
                <w:i w:val="0"/>
                <w:sz w:val="18"/>
              </w:rPr>
              <w:t>2024</w:t>
            </w:r>
          </w:p>
        </w:tc>
        <w:tc>
          <w:tcPr>
            <w:tcW w:w="1247" w:type="dxa"/>
            <w:vAlign w:val="center"/>
          </w:tcPr>
          <w:p w14:paraId="7CD6D993">
            <w:pPr>
              <w:spacing w:before="20" w:after="20" w:line="259" w:lineRule="auto"/>
              <w:ind w:firstLine="0"/>
              <w:jc w:val="center"/>
            </w:pPr>
            <w:r>
              <w:rPr>
                <w:rFonts w:ascii="Times New Roman" w:hAnsi="Times New Roman" w:eastAsia="宋体"/>
                <w:b w:val="0"/>
                <w:i w:val="0"/>
                <w:sz w:val="18"/>
              </w:rPr>
              <w:t>390</w:t>
            </w:r>
          </w:p>
        </w:tc>
        <w:tc>
          <w:tcPr>
            <w:tcW w:w="1701" w:type="dxa"/>
            <w:vAlign w:val="center"/>
          </w:tcPr>
          <w:p w14:paraId="437EC392">
            <w:pPr>
              <w:spacing w:before="20" w:after="20" w:line="259" w:lineRule="auto"/>
              <w:ind w:firstLine="0"/>
              <w:jc w:val="center"/>
            </w:pPr>
            <w:r>
              <w:rPr>
                <w:rFonts w:ascii="Times New Roman" w:hAnsi="Times New Roman" w:eastAsia="宋体"/>
                <w:b w:val="0"/>
                <w:i w:val="0"/>
                <w:sz w:val="18"/>
              </w:rPr>
              <w:t>10.3</w:t>
            </w:r>
          </w:p>
        </w:tc>
        <w:tc>
          <w:tcPr>
            <w:tcW w:w="1814" w:type="dxa"/>
            <w:vAlign w:val="center"/>
          </w:tcPr>
          <w:p w14:paraId="4C74BD56">
            <w:pPr>
              <w:spacing w:before="20" w:after="20" w:line="259" w:lineRule="auto"/>
              <w:ind w:firstLine="0"/>
              <w:jc w:val="center"/>
            </w:pPr>
            <w:r>
              <w:rPr>
                <w:rFonts w:ascii="Times New Roman" w:hAnsi="Times New Roman" w:eastAsia="宋体"/>
                <w:b w:val="0"/>
                <w:i w:val="0"/>
                <w:sz w:val="18"/>
              </w:rPr>
              <w:t>238</w:t>
            </w:r>
          </w:p>
        </w:tc>
        <w:tc>
          <w:tcPr>
            <w:tcW w:w="1814" w:type="dxa"/>
            <w:vAlign w:val="center"/>
          </w:tcPr>
          <w:p w14:paraId="4D4E1CFC">
            <w:pPr>
              <w:spacing w:before="20" w:after="20" w:line="259" w:lineRule="auto"/>
              <w:ind w:firstLine="0"/>
              <w:jc w:val="center"/>
            </w:pPr>
            <w:r>
              <w:rPr>
                <w:rFonts w:ascii="Times New Roman" w:hAnsi="Times New Roman" w:eastAsia="宋体"/>
                <w:b w:val="0"/>
                <w:i w:val="0"/>
                <w:sz w:val="18"/>
              </w:rPr>
              <w:t>+2.16</w:t>
            </w:r>
          </w:p>
        </w:tc>
        <w:tc>
          <w:tcPr>
            <w:tcW w:w="1814" w:type="dxa"/>
            <w:vAlign w:val="center"/>
          </w:tcPr>
          <w:p w14:paraId="2EEA0CA3">
            <w:pPr>
              <w:spacing w:before="20" w:after="20" w:line="259" w:lineRule="auto"/>
              <w:ind w:firstLine="0"/>
              <w:jc w:val="center"/>
            </w:pPr>
            <w:r>
              <w:rPr>
                <w:rFonts w:ascii="Times New Roman" w:hAnsi="Times New Roman" w:eastAsia="宋体"/>
                <w:b w:val="0"/>
                <w:i w:val="0"/>
                <w:sz w:val="18"/>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334A8C5E">
            <w:pPr>
              <w:spacing w:before="20" w:after="20" w:line="259" w:lineRule="auto"/>
              <w:ind w:firstLine="0"/>
              <w:jc w:val="center"/>
            </w:pPr>
            <w:r>
              <w:rPr>
                <w:rFonts w:ascii="Times New Roman" w:hAnsi="Times New Roman" w:eastAsia="宋体"/>
                <w:b w:val="0"/>
                <w:i w:val="0"/>
                <w:sz w:val="18"/>
              </w:rPr>
              <w:t>2025</w:t>
            </w:r>
          </w:p>
        </w:tc>
        <w:tc>
          <w:tcPr>
            <w:tcW w:w="1247" w:type="dxa"/>
            <w:vAlign w:val="center"/>
          </w:tcPr>
          <w:p w14:paraId="4CDBDE08">
            <w:pPr>
              <w:spacing w:before="20" w:after="20" w:line="259" w:lineRule="auto"/>
              <w:ind w:firstLine="0"/>
              <w:jc w:val="center"/>
            </w:pPr>
            <w:r>
              <w:rPr>
                <w:rFonts w:ascii="Times New Roman" w:hAnsi="Times New Roman" w:eastAsia="宋体"/>
                <w:b w:val="0"/>
                <w:i w:val="0"/>
                <w:sz w:val="18"/>
              </w:rPr>
              <w:t>400</w:t>
            </w:r>
          </w:p>
        </w:tc>
        <w:tc>
          <w:tcPr>
            <w:tcW w:w="1701" w:type="dxa"/>
            <w:vAlign w:val="center"/>
          </w:tcPr>
          <w:p w14:paraId="5BAE2741">
            <w:pPr>
              <w:spacing w:before="20" w:after="20" w:line="259" w:lineRule="auto"/>
              <w:ind w:firstLine="0"/>
              <w:jc w:val="center"/>
            </w:pPr>
            <w:r>
              <w:rPr>
                <w:rFonts w:ascii="Times New Roman" w:hAnsi="Times New Roman" w:eastAsia="宋体"/>
                <w:b w:val="0"/>
                <w:i w:val="0"/>
                <w:sz w:val="18"/>
              </w:rPr>
              <w:t>11.5</w:t>
            </w:r>
          </w:p>
        </w:tc>
        <w:tc>
          <w:tcPr>
            <w:tcW w:w="1814" w:type="dxa"/>
            <w:vAlign w:val="center"/>
          </w:tcPr>
          <w:p w14:paraId="14AE8A9D">
            <w:pPr>
              <w:spacing w:before="20" w:after="20" w:line="259" w:lineRule="auto"/>
              <w:ind w:firstLine="0"/>
              <w:jc w:val="center"/>
            </w:pPr>
            <w:r>
              <w:rPr>
                <w:rFonts w:ascii="Times New Roman" w:hAnsi="Times New Roman" w:eastAsia="宋体"/>
                <w:b w:val="0"/>
                <w:i w:val="0"/>
                <w:sz w:val="18"/>
              </w:rPr>
              <w:t>252</w:t>
            </w:r>
          </w:p>
        </w:tc>
        <w:tc>
          <w:tcPr>
            <w:tcW w:w="1814" w:type="dxa"/>
            <w:vAlign w:val="center"/>
          </w:tcPr>
          <w:p w14:paraId="500E777D">
            <w:pPr>
              <w:spacing w:before="20" w:after="20" w:line="259" w:lineRule="auto"/>
              <w:ind w:firstLine="0"/>
              <w:jc w:val="center"/>
            </w:pPr>
            <w:r>
              <w:rPr>
                <w:rFonts w:ascii="Times New Roman" w:hAnsi="Times New Roman" w:eastAsia="宋体"/>
                <w:b w:val="0"/>
                <w:i w:val="0"/>
                <w:sz w:val="18"/>
              </w:rPr>
              <w:t>+15.30</w:t>
            </w:r>
          </w:p>
        </w:tc>
        <w:tc>
          <w:tcPr>
            <w:tcW w:w="1814" w:type="dxa"/>
            <w:vAlign w:val="center"/>
          </w:tcPr>
          <w:p w14:paraId="22BB549C">
            <w:pPr>
              <w:spacing w:before="20" w:after="20" w:line="259" w:lineRule="auto"/>
              <w:ind w:firstLine="0"/>
              <w:jc w:val="center"/>
            </w:pPr>
            <w:r>
              <w:rPr>
                <w:rFonts w:ascii="Times New Roman" w:hAnsi="Times New Roman" w:eastAsia="宋体"/>
                <w:b w:val="0"/>
                <w:i w:val="0"/>
                <w:sz w:val="18"/>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3B3C9662">
            <w:pPr>
              <w:spacing w:before="20" w:after="20" w:line="259" w:lineRule="auto"/>
              <w:ind w:firstLine="0"/>
              <w:jc w:val="center"/>
            </w:pPr>
            <w:r>
              <w:rPr>
                <w:rFonts w:ascii="Times New Roman" w:hAnsi="Times New Roman" w:eastAsia="宋体"/>
                <w:b w:val="0"/>
                <w:i w:val="0"/>
                <w:sz w:val="18"/>
              </w:rPr>
              <w:t>2026</w:t>
            </w:r>
          </w:p>
        </w:tc>
        <w:tc>
          <w:tcPr>
            <w:tcW w:w="1247" w:type="dxa"/>
            <w:vAlign w:val="center"/>
          </w:tcPr>
          <w:p w14:paraId="37130295">
            <w:pPr>
              <w:spacing w:before="20" w:after="20" w:line="259" w:lineRule="auto"/>
              <w:ind w:firstLine="0"/>
              <w:jc w:val="center"/>
            </w:pPr>
            <w:r>
              <w:rPr>
                <w:rFonts w:ascii="Times New Roman" w:hAnsi="Times New Roman" w:eastAsia="宋体"/>
                <w:b w:val="0"/>
                <w:i w:val="0"/>
                <w:sz w:val="18"/>
              </w:rPr>
              <w:t>400</w:t>
            </w:r>
          </w:p>
        </w:tc>
        <w:tc>
          <w:tcPr>
            <w:tcW w:w="1701" w:type="dxa"/>
            <w:vAlign w:val="center"/>
          </w:tcPr>
          <w:p w14:paraId="56511F80">
            <w:pPr>
              <w:spacing w:before="20" w:after="20" w:line="259" w:lineRule="auto"/>
              <w:ind w:firstLine="0"/>
              <w:jc w:val="center"/>
            </w:pPr>
            <w:r>
              <w:rPr>
                <w:rFonts w:ascii="Times New Roman" w:hAnsi="Times New Roman" w:eastAsia="宋体"/>
                <w:b w:val="0"/>
                <w:i w:val="0"/>
                <w:sz w:val="18"/>
              </w:rPr>
              <w:t>22.2</w:t>
            </w:r>
          </w:p>
        </w:tc>
        <w:tc>
          <w:tcPr>
            <w:tcW w:w="1814" w:type="dxa"/>
            <w:vAlign w:val="center"/>
          </w:tcPr>
          <w:p w14:paraId="1479C40C">
            <w:pPr>
              <w:spacing w:before="20" w:after="20" w:line="259" w:lineRule="auto"/>
              <w:ind w:firstLine="0"/>
              <w:jc w:val="center"/>
            </w:pPr>
            <w:r>
              <w:rPr>
                <w:rFonts w:ascii="Times New Roman" w:hAnsi="Times New Roman" w:eastAsia="宋体"/>
                <w:b w:val="0"/>
                <w:i w:val="0"/>
                <w:sz w:val="18"/>
              </w:rPr>
              <w:t>—</w:t>
            </w:r>
          </w:p>
        </w:tc>
        <w:tc>
          <w:tcPr>
            <w:tcW w:w="1814" w:type="dxa"/>
            <w:vAlign w:val="center"/>
          </w:tcPr>
          <w:p w14:paraId="01EE6412">
            <w:pPr>
              <w:spacing w:before="20" w:after="20" w:line="259" w:lineRule="auto"/>
              <w:ind w:firstLine="0"/>
              <w:jc w:val="center"/>
            </w:pPr>
            <w:r>
              <w:rPr>
                <w:rFonts w:ascii="Times New Roman" w:hAnsi="Times New Roman" w:eastAsia="宋体"/>
                <w:b w:val="0"/>
                <w:i w:val="0"/>
                <w:sz w:val="18"/>
              </w:rPr>
              <w:t>+39.35</w:t>
            </w:r>
          </w:p>
        </w:tc>
        <w:tc>
          <w:tcPr>
            <w:tcW w:w="1814" w:type="dxa"/>
            <w:vAlign w:val="center"/>
          </w:tcPr>
          <w:p w14:paraId="2928AEE5">
            <w:pPr>
              <w:spacing w:before="20" w:after="20" w:line="259" w:lineRule="auto"/>
              <w:ind w:firstLine="0"/>
              <w:jc w:val="center"/>
            </w:pPr>
            <w:r>
              <w:rPr>
                <w:rFonts w:ascii="Times New Roman" w:hAnsi="Times New Roman" w:eastAsia="宋体"/>
                <w:b w:val="0"/>
                <w:i w:val="0"/>
                <w:sz w:val="18"/>
              </w:rPr>
              <w:t>+3.62</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vAlign w:val="center"/>
          </w:tcPr>
          <w:p w14:paraId="256A88DC">
            <w:pPr>
              <w:spacing w:before="20" w:after="20" w:line="259" w:lineRule="auto"/>
              <w:ind w:firstLine="0"/>
              <w:jc w:val="center"/>
            </w:pPr>
            <w:r>
              <w:rPr>
                <w:rFonts w:ascii="Times New Roman" w:hAnsi="Times New Roman" w:eastAsia="宋体"/>
                <w:b w:val="0"/>
                <w:i w:val="0"/>
                <w:sz w:val="18"/>
              </w:rPr>
              <w:t>全样本</w:t>
            </w:r>
          </w:p>
        </w:tc>
        <w:tc>
          <w:tcPr>
            <w:tcW w:w="1247" w:type="dxa"/>
            <w:vAlign w:val="center"/>
          </w:tcPr>
          <w:p w14:paraId="76FD970B">
            <w:pPr>
              <w:spacing w:before="20" w:after="20" w:line="259" w:lineRule="auto"/>
              <w:ind w:firstLine="0"/>
              <w:jc w:val="center"/>
            </w:pPr>
            <w:r>
              <w:rPr>
                <w:rFonts w:ascii="Times New Roman" w:hAnsi="Times New Roman" w:eastAsia="宋体"/>
                <w:b w:val="0"/>
                <w:i w:val="0"/>
                <w:sz w:val="18"/>
              </w:rPr>
              <w:t>400</w:t>
            </w:r>
          </w:p>
        </w:tc>
        <w:tc>
          <w:tcPr>
            <w:tcW w:w="1701" w:type="dxa"/>
            <w:vAlign w:val="center"/>
          </w:tcPr>
          <w:p w14:paraId="0A1F5523">
            <w:pPr>
              <w:spacing w:before="20" w:after="20" w:line="259" w:lineRule="auto"/>
              <w:ind w:firstLine="0"/>
              <w:jc w:val="center"/>
            </w:pPr>
            <w:r>
              <w:rPr>
                <w:rFonts w:ascii="Times New Roman" w:hAnsi="Times New Roman" w:eastAsia="宋体"/>
                <w:b w:val="0"/>
                <w:i w:val="0"/>
                <w:sz w:val="18"/>
              </w:rPr>
              <w:t>14.4</w:t>
            </w:r>
          </w:p>
        </w:tc>
        <w:tc>
          <w:tcPr>
            <w:tcW w:w="1814" w:type="dxa"/>
            <w:vAlign w:val="center"/>
          </w:tcPr>
          <w:p w14:paraId="31F9D752">
            <w:pPr>
              <w:spacing w:before="20" w:after="20" w:line="259" w:lineRule="auto"/>
              <w:ind w:firstLine="0"/>
              <w:jc w:val="center"/>
            </w:pPr>
            <w:r>
              <w:rPr>
                <w:rFonts w:ascii="Times New Roman" w:hAnsi="Times New Roman" w:eastAsia="宋体"/>
                <w:b w:val="0"/>
                <w:i w:val="0"/>
                <w:sz w:val="18"/>
              </w:rPr>
              <w:t>236</w:t>
            </w:r>
          </w:p>
        </w:tc>
        <w:tc>
          <w:tcPr>
            <w:tcW w:w="1814" w:type="dxa"/>
            <w:vAlign w:val="center"/>
          </w:tcPr>
          <w:p w14:paraId="7AC0E7DD">
            <w:pPr>
              <w:spacing w:before="20" w:after="20" w:line="259" w:lineRule="auto"/>
              <w:ind w:firstLine="0"/>
              <w:jc w:val="center"/>
            </w:pPr>
            <w:r>
              <w:rPr>
                <w:rFonts w:ascii="Times New Roman" w:hAnsi="Times New Roman" w:eastAsia="宋体"/>
                <w:b w:val="0"/>
                <w:i w:val="0"/>
                <w:sz w:val="18"/>
              </w:rPr>
              <w:t>+8.41</w:t>
            </w:r>
          </w:p>
        </w:tc>
        <w:tc>
          <w:tcPr>
            <w:tcW w:w="1814" w:type="dxa"/>
            <w:vAlign w:val="center"/>
          </w:tcPr>
          <w:p w14:paraId="6682A26A">
            <w:pPr>
              <w:spacing w:before="20" w:after="20" w:line="259" w:lineRule="auto"/>
              <w:ind w:firstLine="0"/>
              <w:jc w:val="center"/>
            </w:pPr>
            <w:r>
              <w:rPr>
                <w:rFonts w:ascii="Times New Roman" w:hAnsi="Times New Roman" w:eastAsia="宋体"/>
                <w:b w:val="0"/>
                <w:i w:val="0"/>
                <w:sz w:val="18"/>
              </w:rPr>
              <w:t>+4.42</w:t>
            </w:r>
          </w:p>
        </w:tc>
      </w:tr>
    </w:tbl>
    <w:p w14:paraId="5927E81D">
      <w:pPr>
        <w:spacing w:before="40" w:after="120" w:line="276" w:lineRule="auto"/>
      </w:pPr>
      <w:r>
        <w:rPr>
          <w:rFonts w:ascii="Times New Roman" w:hAnsi="Times New Roman" w:eastAsia="楷体"/>
          <w:b w:val="0"/>
          <w:i w:val="0"/>
          <w:sz w:val="17"/>
        </w:rPr>
        <w:t>注：规模、收益与超额均为等权年均；换手率为 Wind 单边年化，1%/99% 缩尾，未更新记「—」；超额收益＝季度收益减沪深 300。2015 年前基金较少仅供参照；2026 年仅含前两季。</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001A80E1">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k</m:t>
              </m:r>
              <m:r>
                <m:rPr>
                  <m:sty m:val="p"/>
                </m:rPr>
                <m:t xml:space="preserve"> = 1</m:t>
              </m:r>
            </m:sub>
            <m:sup>
              <m:r>
                <m:rPr/>
                <m:t>K</m:t>
              </m:r>
            </m:sup>
            <m:e>
              <m:sSub>
                <m:sSubPr/>
                <m:e>
                  <m:r>
                    <m:rPr/>
                    <m:t>β</m:t>
                  </m:r>
                </m:e>
                <m:sub>
                  <m:r>
                    <m:rPr/>
                    <m:t>k</m:t>
                  </m:r>
                </m:sub>
              </m:sSub>
              <m:r>
                <m:rPr>
                  <m:sty m:val="p"/>
                </m:rPr>
                <m:t xml:space="preserve"> · </m:t>
              </m:r>
              <m:sSub>
                <m:sSubPr/>
                <m:e>
                  <m:r>
                    <m:rPr/>
                    <m:t>X</m:t>
                  </m:r>
                </m:e>
                <m:sub>
                  <m:r>
                    <m:rPr/>
                    <m:t>k,i</m:t>
                  </m:r>
                </m:sub>
              </m:sSub>
            </m:e>
          </m:nary>
          <m:r>
            <m:rPr>
              <m:sty m:val="p"/>
            </m:rPr>
            <m:t xml:space="preserve"> + </m:t>
          </m:r>
          <m:sSub>
            <m:sSubPr/>
            <m:e>
              <m:r>
                <m:rPr/>
                <m:t>u</m:t>
              </m:r>
            </m:e>
            <m:sub>
              <m:r>
                <m:rPr/>
                <m:t>i</m:t>
              </m:r>
            </m:sub>
          </m:sSub>
        </m:oMath>
      </m:oMathPara>
    </w:p>
    <w:p w14:paraId="477383FB">
      <w:pPr>
        <w:sectPr>
          <w:footerReference r:id="rId5" w:type="default"/>
          <w:pgSz w:w="11906" w:h="16838"/>
          <w:pgMar w:top="1361" w:right="1134" w:bottom="1361" w:left="1134" w:header="720" w:footer="720" w:gutter="0"/>
          <w:cols w:space="720" w:num="1"/>
          <w:docGrid w:linePitch="360" w:charSpace="0"/>
        </w:sectPr>
      </w:pPr>
    </w:p>
    <w:p w14:paraId="1380E9F2">
      <w:pPr>
        <w:sectPr>
          <w:pgSz w:w="16838" w:h="11906" w:orient="landscape"/>
          <w:pgMar w:top="680" w:right="737" w:bottom="680" w:left="737" w:header="720" w:footer="720" w:gutter="0"/>
          <w:cols w:space="720" w:num="1"/>
          <w:docGrid w:linePitch="360" w:charSpace="0"/>
        </w:sectPr>
      </w:pPr>
    </w:p>
    <w:p w14:paraId="6BB96DDC">
      <w:pPr>
        <w:spacing w:after="80" w:line="324" w:lineRule="auto"/>
        <w:ind w:firstLine="480"/>
      </w:pPr>
      <w:r>
        <w:t>t 值回答“是否显著”，系数回答“值多少钱”。标准差换算后（年化）：处置效应恶化 1 个标准差吞噬年化超额 2.2%（占季度均值约四分之一），行业集中度与 Sharpe 则分别贡献 +2.9% 与 +3.7%。25 个指标中 12 个行为指标在单变量回归中全部显著且方向与理论一致：集中押注（ICI）、盈利进攻（risk_asym）、报表外调仓（ARG）、跌市防守（timing）与三项转化比率显著为正；处置效应（de）、过度自信（oc_conf）、风格漂移（ISDI）与高位锚定（anchor_high）显著为负。基本面边界均为负向，与规模不经济物理约束一致；个人背景标签无独立解释力。联立全模型 R² 跃升至 0.7141，ARG、timing、MPPM 与 ICI 净效应稳固，印证多维行为协同价值。</w:t>
      </w:r>
    </w:p>
    <w:p w14:paraId="30F10C59">
      <w:pPr>
        <w:keepNext/>
        <w:spacing w:before="120" w:after="60" w:line="312" w:lineRule="auto"/>
        <w:jc w:val="center"/>
      </w:pPr>
      <w:r>
        <w:t>表 4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24" w:type="dxa"/>
            <w:shd w:val="clear" w:color="auto" w:fill="F2F4F5"/>
            <w:vAlign w:val="center"/>
          </w:tcPr>
          <w:p w14:paraId="54DF6817">
            <w:pPr>
              <w:spacing w:before="20" w:after="20" w:line="259" w:lineRule="auto"/>
              <w:ind w:firstLine="0"/>
              <w:jc w:val="center"/>
            </w:pPr>
            <w:r>
              <w:rPr>
                <w:rFonts w:ascii="Times New Roman" w:hAnsi="Times New Roman" w:eastAsia="黑体"/>
                <w:b/>
                <w:i w:val="0"/>
                <w:sz w:val="17"/>
              </w:rPr>
              <w:t>指标</w:t>
            </w:r>
          </w:p>
        </w:tc>
        <w:tc>
          <w:tcPr>
            <w:tcW w:w="2438" w:type="dxa"/>
            <w:shd w:val="clear" w:color="auto" w:fill="F2F4F5"/>
            <w:vAlign w:val="center"/>
          </w:tcPr>
          <w:p w14:paraId="3A1367F1">
            <w:pPr>
              <w:spacing w:before="20" w:after="20" w:line="259" w:lineRule="auto"/>
              <w:ind w:firstLine="0"/>
              <w:jc w:val="center"/>
            </w:pPr>
            <w:r>
              <w:rPr>
                <w:rFonts w:ascii="Times New Roman" w:hAnsi="Times New Roman" w:eastAsia="黑体"/>
                <w:b/>
                <w:i w:val="0"/>
                <w:sz w:val="17"/>
              </w:rPr>
              <w:t>超额收益（对沪深300）</w:t>
            </w:r>
          </w:p>
        </w:tc>
        <w:tc>
          <w:tcPr>
            <w:tcW w:w="2438" w:type="dxa"/>
            <w:shd w:val="clear" w:color="auto" w:fill="F2F4F5"/>
            <w:vAlign w:val="center"/>
          </w:tcPr>
          <w:p w14:paraId="1124A296">
            <w:pPr>
              <w:spacing w:before="20" w:after="20" w:line="259" w:lineRule="auto"/>
              <w:ind w:firstLine="0"/>
              <w:jc w:val="center"/>
            </w:pPr>
            <w:r>
              <w:rPr>
                <w:rFonts w:ascii="Times New Roman" w:hAnsi="Times New Roman" w:eastAsia="黑体"/>
                <w:b/>
                <w:i w:val="0"/>
                <w:sz w:val="17"/>
              </w:rPr>
              <w:t>FF3 alpha</w:t>
            </w:r>
          </w:p>
        </w:tc>
        <w:tc>
          <w:tcPr>
            <w:tcW w:w="2438" w:type="dxa"/>
            <w:shd w:val="clear" w:color="auto" w:fill="F2F4F5"/>
            <w:vAlign w:val="center"/>
          </w:tcPr>
          <w:p w14:paraId="49280A0B">
            <w:pPr>
              <w:spacing w:before="20" w:after="20" w:line="259" w:lineRule="auto"/>
              <w:ind w:firstLine="0"/>
              <w:jc w:val="center"/>
            </w:pPr>
            <w:r>
              <w:rPr>
                <w:rFonts w:ascii="Times New Roman" w:hAnsi="Times New Roman" w:eastAsia="黑体"/>
                <w:b/>
                <w:i w:val="0"/>
                <w:sz w:val="17"/>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714EB48F">
            <w:pPr>
              <w:spacing w:before="20" w:after="20" w:line="259" w:lineRule="auto"/>
              <w:ind w:firstLine="0"/>
              <w:jc w:val="center"/>
            </w:pPr>
            <w:r>
              <w:rPr>
                <w:rFonts w:ascii="Times New Roman" w:hAnsi="Times New Roman" w:eastAsia="宋体"/>
                <w:b w:val="0"/>
                <w:i w:val="0"/>
                <w:sz w:val="17"/>
              </w:rPr>
              <w:t>任职年限</w:t>
            </w:r>
          </w:p>
        </w:tc>
        <w:tc>
          <w:tcPr>
            <w:tcW w:w="2438" w:type="dxa"/>
            <w:vAlign w:val="center"/>
          </w:tcPr>
          <w:p w14:paraId="36EFD6AC">
            <w:pPr>
              <w:spacing w:before="20" w:after="20" w:line="259" w:lineRule="auto"/>
              <w:ind w:firstLine="0"/>
              <w:jc w:val="center"/>
            </w:pPr>
            <w:r>
              <w:rPr>
                <w:rFonts w:ascii="Times New Roman" w:hAnsi="Times New Roman" w:eastAsia="宋体"/>
                <w:b w:val="0"/>
                <w:i w:val="0"/>
                <w:sz w:val="17"/>
              </w:rPr>
              <w:t>-7.2***</w:t>
            </w:r>
          </w:p>
        </w:tc>
        <w:tc>
          <w:tcPr>
            <w:tcW w:w="2438" w:type="dxa"/>
            <w:vAlign w:val="center"/>
          </w:tcPr>
          <w:p w14:paraId="02A998EB">
            <w:pPr>
              <w:spacing w:before="20" w:after="20" w:line="259" w:lineRule="auto"/>
              <w:ind w:firstLine="0"/>
              <w:jc w:val="center"/>
            </w:pPr>
            <w:r>
              <w:rPr>
                <w:rFonts w:ascii="Times New Roman" w:hAnsi="Times New Roman" w:eastAsia="宋体"/>
                <w:b w:val="0"/>
                <w:i w:val="0"/>
                <w:sz w:val="17"/>
              </w:rPr>
              <w:t>-3.3***</w:t>
            </w:r>
          </w:p>
        </w:tc>
        <w:tc>
          <w:tcPr>
            <w:tcW w:w="2438" w:type="dxa"/>
            <w:vAlign w:val="center"/>
          </w:tcPr>
          <w:p w14:paraId="52DF9CC2">
            <w:pPr>
              <w:spacing w:before="20" w:after="20" w:line="259" w:lineRule="auto"/>
              <w:ind w:firstLine="0"/>
              <w:jc w:val="center"/>
            </w:pPr>
            <w:r>
              <w:rPr>
                <w:rFonts w:ascii="Times New Roman" w:hAnsi="Times New Roman" w:eastAsia="宋体"/>
                <w:b w:val="0"/>
                <w:i w:val="0"/>
                <w:sz w:val="17"/>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4A8E96D8">
            <w:pPr>
              <w:spacing w:before="20" w:after="20" w:line="259" w:lineRule="auto"/>
              <w:ind w:firstLine="0"/>
              <w:jc w:val="center"/>
            </w:pPr>
            <w:r>
              <w:rPr>
                <w:rFonts w:ascii="Times New Roman" w:hAnsi="Times New Roman" w:eastAsia="宋体"/>
                <w:b w:val="0"/>
                <w:i w:val="0"/>
                <w:sz w:val="17"/>
              </w:rPr>
              <w:t>基金年龄</w:t>
            </w:r>
          </w:p>
        </w:tc>
        <w:tc>
          <w:tcPr>
            <w:tcW w:w="2438" w:type="dxa"/>
            <w:vAlign w:val="center"/>
          </w:tcPr>
          <w:p w14:paraId="388B42C1">
            <w:pPr>
              <w:spacing w:before="20" w:after="20" w:line="259" w:lineRule="auto"/>
              <w:ind w:firstLine="0"/>
              <w:jc w:val="center"/>
            </w:pPr>
            <w:r>
              <w:rPr>
                <w:rFonts w:ascii="Times New Roman" w:hAnsi="Times New Roman" w:eastAsia="宋体"/>
                <w:b w:val="0"/>
                <w:i w:val="0"/>
                <w:sz w:val="17"/>
              </w:rPr>
              <w:t>-13.0***</w:t>
            </w:r>
          </w:p>
        </w:tc>
        <w:tc>
          <w:tcPr>
            <w:tcW w:w="2438" w:type="dxa"/>
            <w:vAlign w:val="center"/>
          </w:tcPr>
          <w:p w14:paraId="27AE1A72">
            <w:pPr>
              <w:spacing w:before="20" w:after="20" w:line="259" w:lineRule="auto"/>
              <w:ind w:firstLine="0"/>
              <w:jc w:val="center"/>
            </w:pPr>
            <w:r>
              <w:rPr>
                <w:rFonts w:ascii="Times New Roman" w:hAnsi="Times New Roman" w:eastAsia="宋体"/>
                <w:b w:val="0"/>
                <w:i w:val="0"/>
                <w:sz w:val="17"/>
              </w:rPr>
              <w:t>-5.8***</w:t>
            </w:r>
          </w:p>
        </w:tc>
        <w:tc>
          <w:tcPr>
            <w:tcW w:w="2438" w:type="dxa"/>
            <w:vAlign w:val="center"/>
          </w:tcPr>
          <w:p w14:paraId="239AB1DA">
            <w:pPr>
              <w:spacing w:before="20" w:after="20" w:line="259" w:lineRule="auto"/>
              <w:ind w:firstLine="0"/>
              <w:jc w:val="center"/>
            </w:pPr>
            <w:r>
              <w:rPr>
                <w:rFonts w:ascii="Times New Roman" w:hAnsi="Times New Roman" w:eastAsia="宋体"/>
                <w:b w:val="0"/>
                <w:i w:val="0"/>
                <w:sz w:val="17"/>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70AECF68">
            <w:pPr>
              <w:spacing w:before="20" w:after="20" w:line="259" w:lineRule="auto"/>
              <w:ind w:firstLine="0"/>
              <w:jc w:val="center"/>
            </w:pPr>
            <w:r>
              <w:rPr>
                <w:rFonts w:ascii="Times New Roman" w:hAnsi="Times New Roman" w:eastAsia="宋体"/>
                <w:b w:val="0"/>
                <w:i w:val="0"/>
                <w:sz w:val="17"/>
              </w:rPr>
              <w:t>基金规模</w:t>
            </w:r>
          </w:p>
        </w:tc>
        <w:tc>
          <w:tcPr>
            <w:tcW w:w="2438" w:type="dxa"/>
            <w:vAlign w:val="center"/>
          </w:tcPr>
          <w:p w14:paraId="29101364">
            <w:pPr>
              <w:spacing w:before="20" w:after="20" w:line="259" w:lineRule="auto"/>
              <w:ind w:firstLine="0"/>
              <w:jc w:val="center"/>
            </w:pPr>
            <w:r>
              <w:rPr>
                <w:rFonts w:ascii="Times New Roman" w:hAnsi="Times New Roman" w:eastAsia="宋体"/>
                <w:b w:val="0"/>
                <w:i w:val="0"/>
                <w:sz w:val="17"/>
              </w:rPr>
              <w:t>-4.5***</w:t>
            </w:r>
          </w:p>
        </w:tc>
        <w:tc>
          <w:tcPr>
            <w:tcW w:w="2438" w:type="dxa"/>
            <w:vAlign w:val="center"/>
          </w:tcPr>
          <w:p w14:paraId="324062B7">
            <w:pPr>
              <w:spacing w:before="20" w:after="20" w:line="259" w:lineRule="auto"/>
              <w:ind w:firstLine="0"/>
              <w:jc w:val="center"/>
            </w:pPr>
            <w:r>
              <w:rPr>
                <w:rFonts w:ascii="Times New Roman" w:hAnsi="Times New Roman" w:eastAsia="宋体"/>
                <w:b w:val="0"/>
                <w:i w:val="0"/>
                <w:sz w:val="17"/>
              </w:rPr>
              <w:t>-2.3**</w:t>
            </w:r>
          </w:p>
        </w:tc>
        <w:tc>
          <w:tcPr>
            <w:tcW w:w="2438" w:type="dxa"/>
            <w:vAlign w:val="center"/>
          </w:tcPr>
          <w:p w14:paraId="38545090">
            <w:pPr>
              <w:spacing w:before="20" w:after="20" w:line="259" w:lineRule="auto"/>
              <w:ind w:firstLine="0"/>
              <w:jc w:val="center"/>
            </w:pPr>
            <w:r>
              <w:rPr>
                <w:rFonts w:ascii="Times New Roman" w:hAnsi="Times New Roman" w:eastAsia="宋体"/>
                <w:b w:val="0"/>
                <w:i w:val="0"/>
                <w:sz w:val="17"/>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74C5BFA7">
            <w:pPr>
              <w:spacing w:before="20" w:after="20" w:line="259" w:lineRule="auto"/>
              <w:ind w:firstLine="0"/>
              <w:jc w:val="center"/>
            </w:pPr>
            <w:r>
              <w:rPr>
                <w:rFonts w:ascii="Times New Roman" w:hAnsi="Times New Roman" w:eastAsia="宋体"/>
                <w:b w:val="0"/>
                <w:i w:val="0"/>
                <w:sz w:val="17"/>
              </w:rPr>
              <w:t>性别（男=1）</w:t>
            </w:r>
          </w:p>
        </w:tc>
        <w:tc>
          <w:tcPr>
            <w:tcW w:w="2438" w:type="dxa"/>
            <w:vAlign w:val="center"/>
          </w:tcPr>
          <w:p w14:paraId="25D9C415">
            <w:pPr>
              <w:spacing w:before="20" w:after="20" w:line="259" w:lineRule="auto"/>
              <w:ind w:firstLine="0"/>
              <w:jc w:val="center"/>
            </w:pPr>
            <w:r>
              <w:rPr>
                <w:rFonts w:ascii="Times New Roman" w:hAnsi="Times New Roman" w:eastAsia="宋体"/>
                <w:b w:val="0"/>
                <w:i w:val="0"/>
                <w:sz w:val="17"/>
              </w:rPr>
              <w:t>-1.5</w:t>
            </w:r>
          </w:p>
        </w:tc>
        <w:tc>
          <w:tcPr>
            <w:tcW w:w="2438" w:type="dxa"/>
            <w:vAlign w:val="center"/>
          </w:tcPr>
          <w:p w14:paraId="515E76FB">
            <w:pPr>
              <w:spacing w:before="20" w:after="20" w:line="259" w:lineRule="auto"/>
              <w:ind w:firstLine="0"/>
              <w:jc w:val="center"/>
            </w:pPr>
            <w:r>
              <w:rPr>
                <w:rFonts w:ascii="Times New Roman" w:hAnsi="Times New Roman" w:eastAsia="宋体"/>
                <w:b w:val="0"/>
                <w:i w:val="0"/>
                <w:sz w:val="17"/>
              </w:rPr>
              <w:t>+0.3</w:t>
            </w:r>
          </w:p>
        </w:tc>
        <w:tc>
          <w:tcPr>
            <w:tcW w:w="2438" w:type="dxa"/>
            <w:vAlign w:val="center"/>
          </w:tcPr>
          <w:p w14:paraId="26B5D5D1">
            <w:pPr>
              <w:spacing w:before="20" w:after="20" w:line="259" w:lineRule="auto"/>
              <w:ind w:firstLine="0"/>
              <w:jc w:val="center"/>
            </w:pPr>
            <w:r>
              <w:rPr>
                <w:rFonts w:ascii="Times New Roman" w:hAnsi="Times New Roman" w:eastAsia="宋体"/>
                <w:b w:val="0"/>
                <w:i w:val="0"/>
                <w:sz w:val="17"/>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6D0EAEF6">
            <w:pPr>
              <w:spacing w:before="20" w:after="20" w:line="259" w:lineRule="auto"/>
              <w:ind w:firstLine="0"/>
              <w:jc w:val="center"/>
            </w:pPr>
            <w:r>
              <w:rPr>
                <w:rFonts w:ascii="Times New Roman" w:hAnsi="Times New Roman" w:eastAsia="宋体"/>
                <w:b w:val="0"/>
                <w:i w:val="0"/>
                <w:sz w:val="17"/>
              </w:rPr>
              <w:t>CFA 持证</w:t>
            </w:r>
          </w:p>
        </w:tc>
        <w:tc>
          <w:tcPr>
            <w:tcW w:w="2438" w:type="dxa"/>
            <w:vAlign w:val="center"/>
          </w:tcPr>
          <w:p w14:paraId="4B063A4C">
            <w:pPr>
              <w:spacing w:before="20" w:after="20" w:line="259" w:lineRule="auto"/>
              <w:ind w:firstLine="0"/>
              <w:jc w:val="center"/>
            </w:pPr>
            <w:r>
              <w:rPr>
                <w:rFonts w:ascii="Times New Roman" w:hAnsi="Times New Roman" w:eastAsia="宋体"/>
                <w:b w:val="0"/>
                <w:i w:val="0"/>
                <w:sz w:val="17"/>
              </w:rPr>
              <w:t>+0.9</w:t>
            </w:r>
          </w:p>
        </w:tc>
        <w:tc>
          <w:tcPr>
            <w:tcW w:w="2438" w:type="dxa"/>
            <w:vAlign w:val="center"/>
          </w:tcPr>
          <w:p w14:paraId="22185334">
            <w:pPr>
              <w:spacing w:before="20" w:after="20" w:line="259" w:lineRule="auto"/>
              <w:ind w:firstLine="0"/>
              <w:jc w:val="center"/>
            </w:pPr>
            <w:r>
              <w:rPr>
                <w:rFonts w:ascii="Times New Roman" w:hAnsi="Times New Roman" w:eastAsia="宋体"/>
                <w:b w:val="0"/>
                <w:i w:val="0"/>
                <w:sz w:val="17"/>
              </w:rPr>
              <w:t>-1.3</w:t>
            </w:r>
          </w:p>
        </w:tc>
        <w:tc>
          <w:tcPr>
            <w:tcW w:w="2438" w:type="dxa"/>
            <w:vAlign w:val="center"/>
          </w:tcPr>
          <w:p w14:paraId="71FB9F67">
            <w:pPr>
              <w:spacing w:before="20" w:after="20" w:line="259" w:lineRule="auto"/>
              <w:ind w:firstLine="0"/>
              <w:jc w:val="center"/>
            </w:pPr>
            <w:r>
              <w:rPr>
                <w:rFonts w:ascii="Times New Roman" w:hAnsi="Times New Roman" w:eastAsia="宋体"/>
                <w:b w:val="0"/>
                <w:i w:val="0"/>
                <w:sz w:val="17"/>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518B6682">
            <w:pPr>
              <w:spacing w:before="20" w:after="20" w:line="259" w:lineRule="auto"/>
              <w:ind w:firstLine="0"/>
              <w:jc w:val="center"/>
            </w:pPr>
            <w:r>
              <w:rPr>
                <w:rFonts w:ascii="Times New Roman" w:hAnsi="Times New Roman" w:eastAsia="宋体"/>
                <w:b w:val="0"/>
                <w:i w:val="0"/>
                <w:sz w:val="17"/>
              </w:rPr>
              <w:t>硕士及以上</w:t>
            </w:r>
          </w:p>
        </w:tc>
        <w:tc>
          <w:tcPr>
            <w:tcW w:w="2438" w:type="dxa"/>
            <w:vAlign w:val="center"/>
          </w:tcPr>
          <w:p w14:paraId="5372D991">
            <w:pPr>
              <w:spacing w:before="20" w:after="20" w:line="259" w:lineRule="auto"/>
              <w:ind w:firstLine="0"/>
              <w:jc w:val="center"/>
            </w:pPr>
            <w:r>
              <w:rPr>
                <w:rFonts w:ascii="Times New Roman" w:hAnsi="Times New Roman" w:eastAsia="宋体"/>
                <w:b w:val="0"/>
                <w:i w:val="0"/>
                <w:sz w:val="17"/>
              </w:rPr>
              <w:t>+7.1***</w:t>
            </w:r>
          </w:p>
        </w:tc>
        <w:tc>
          <w:tcPr>
            <w:tcW w:w="2438" w:type="dxa"/>
            <w:vAlign w:val="center"/>
          </w:tcPr>
          <w:p w14:paraId="1A243329">
            <w:pPr>
              <w:spacing w:before="20" w:after="20" w:line="259" w:lineRule="auto"/>
              <w:ind w:firstLine="0"/>
              <w:jc w:val="center"/>
            </w:pPr>
            <w:r>
              <w:rPr>
                <w:rFonts w:ascii="Times New Roman" w:hAnsi="Times New Roman" w:eastAsia="宋体"/>
                <w:b w:val="0"/>
                <w:i w:val="0"/>
                <w:sz w:val="17"/>
              </w:rPr>
              <w:t>+4.2***</w:t>
            </w:r>
          </w:p>
        </w:tc>
        <w:tc>
          <w:tcPr>
            <w:tcW w:w="2438" w:type="dxa"/>
            <w:vAlign w:val="center"/>
          </w:tcPr>
          <w:p w14:paraId="442B79C9">
            <w:pPr>
              <w:spacing w:before="20" w:after="20" w:line="259" w:lineRule="auto"/>
              <w:ind w:firstLine="0"/>
              <w:jc w:val="center"/>
            </w:pPr>
            <w:r>
              <w:rPr>
                <w:rFonts w:ascii="Times New Roman" w:hAnsi="Times New Roman" w:eastAsia="宋体"/>
                <w:b w:val="0"/>
                <w:i w:val="0"/>
                <w:sz w:val="17"/>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6767D6FC">
            <w:pPr>
              <w:spacing w:before="20" w:after="20" w:line="259" w:lineRule="auto"/>
              <w:ind w:firstLine="0"/>
              <w:jc w:val="center"/>
            </w:pPr>
            <w:r>
              <w:rPr>
                <w:rFonts w:ascii="Times New Roman" w:hAnsi="Times New Roman" w:eastAsia="宋体"/>
                <w:b w:val="0"/>
                <w:i w:val="0"/>
                <w:sz w:val="17"/>
              </w:rPr>
              <w:t>名校毕业</w:t>
            </w:r>
          </w:p>
        </w:tc>
        <w:tc>
          <w:tcPr>
            <w:tcW w:w="2438" w:type="dxa"/>
            <w:vAlign w:val="center"/>
          </w:tcPr>
          <w:p w14:paraId="7AC661C7">
            <w:pPr>
              <w:spacing w:before="20" w:after="20" w:line="259" w:lineRule="auto"/>
              <w:ind w:firstLine="0"/>
              <w:jc w:val="center"/>
            </w:pPr>
            <w:r>
              <w:rPr>
                <w:rFonts w:ascii="Times New Roman" w:hAnsi="Times New Roman" w:eastAsia="宋体"/>
                <w:b w:val="0"/>
                <w:i w:val="0"/>
                <w:sz w:val="17"/>
              </w:rPr>
              <w:t>-0.3</w:t>
            </w:r>
          </w:p>
        </w:tc>
        <w:tc>
          <w:tcPr>
            <w:tcW w:w="2438" w:type="dxa"/>
            <w:vAlign w:val="center"/>
          </w:tcPr>
          <w:p w14:paraId="7E0713D6">
            <w:pPr>
              <w:spacing w:before="20" w:after="20" w:line="259" w:lineRule="auto"/>
              <w:ind w:firstLine="0"/>
              <w:jc w:val="center"/>
            </w:pPr>
            <w:r>
              <w:rPr>
                <w:rFonts w:ascii="Times New Roman" w:hAnsi="Times New Roman" w:eastAsia="宋体"/>
                <w:b w:val="0"/>
                <w:i w:val="0"/>
                <w:sz w:val="17"/>
              </w:rPr>
              <w:t>+1.0</w:t>
            </w:r>
          </w:p>
        </w:tc>
        <w:tc>
          <w:tcPr>
            <w:tcW w:w="2438" w:type="dxa"/>
            <w:vAlign w:val="center"/>
          </w:tcPr>
          <w:p w14:paraId="6C70C118">
            <w:pPr>
              <w:spacing w:before="20" w:after="20" w:line="259" w:lineRule="auto"/>
              <w:ind w:firstLine="0"/>
              <w:jc w:val="center"/>
            </w:pPr>
            <w:r>
              <w:rPr>
                <w:rFonts w:ascii="Times New Roman" w:hAnsi="Times New Roman" w:eastAsia="宋体"/>
                <w:b w:val="0"/>
                <w:i w:val="0"/>
                <w:sz w:val="17"/>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47131C75">
            <w:pPr>
              <w:spacing w:before="20" w:after="20" w:line="259" w:lineRule="auto"/>
              <w:ind w:firstLine="0"/>
              <w:jc w:val="center"/>
            </w:pPr>
            <w:r>
              <w:rPr>
                <w:rFonts w:ascii="Times New Roman" w:hAnsi="Times New Roman" w:eastAsia="宋体"/>
                <w:b w:val="0"/>
                <w:i w:val="0"/>
                <w:sz w:val="17"/>
              </w:rPr>
              <w:t>风险偏好不对称性</w:t>
            </w:r>
          </w:p>
        </w:tc>
        <w:tc>
          <w:tcPr>
            <w:tcW w:w="2438" w:type="dxa"/>
            <w:vAlign w:val="center"/>
          </w:tcPr>
          <w:p w14:paraId="07486B10">
            <w:pPr>
              <w:spacing w:before="20" w:after="20" w:line="259" w:lineRule="auto"/>
              <w:ind w:firstLine="0"/>
              <w:jc w:val="center"/>
            </w:pPr>
            <w:r>
              <w:rPr>
                <w:rFonts w:ascii="Times New Roman" w:hAnsi="Times New Roman" w:eastAsia="宋体"/>
                <w:b w:val="0"/>
                <w:i w:val="0"/>
                <w:sz w:val="17"/>
              </w:rPr>
              <w:t>+12.7***</w:t>
            </w:r>
          </w:p>
        </w:tc>
        <w:tc>
          <w:tcPr>
            <w:tcW w:w="2438" w:type="dxa"/>
            <w:vAlign w:val="center"/>
          </w:tcPr>
          <w:p w14:paraId="32279B48">
            <w:pPr>
              <w:spacing w:before="20" w:after="20" w:line="259" w:lineRule="auto"/>
              <w:ind w:firstLine="0"/>
              <w:jc w:val="center"/>
            </w:pPr>
            <w:r>
              <w:rPr>
                <w:rFonts w:ascii="Times New Roman" w:hAnsi="Times New Roman" w:eastAsia="宋体"/>
                <w:b w:val="0"/>
                <w:i w:val="0"/>
                <w:sz w:val="17"/>
              </w:rPr>
              <w:t>+5.5***</w:t>
            </w:r>
          </w:p>
        </w:tc>
        <w:tc>
          <w:tcPr>
            <w:tcW w:w="2438" w:type="dxa"/>
            <w:vAlign w:val="center"/>
          </w:tcPr>
          <w:p w14:paraId="6B308A4A">
            <w:pPr>
              <w:spacing w:before="20" w:after="20" w:line="259" w:lineRule="auto"/>
              <w:ind w:firstLine="0"/>
              <w:jc w:val="center"/>
            </w:pPr>
            <w:r>
              <w:rPr>
                <w:rFonts w:ascii="Times New Roman" w:hAnsi="Times New Roman" w:eastAsia="宋体"/>
                <w:b w:val="0"/>
                <w:i w:val="0"/>
                <w:sz w:val="17"/>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4C71C28E">
            <w:pPr>
              <w:spacing w:before="20" w:after="20" w:line="259" w:lineRule="auto"/>
              <w:ind w:firstLine="0"/>
              <w:jc w:val="center"/>
            </w:pPr>
            <w:r>
              <w:rPr>
                <w:rFonts w:ascii="Times New Roman" w:hAnsi="Times New Roman" w:eastAsia="宋体"/>
                <w:b w:val="0"/>
                <w:i w:val="0"/>
                <w:sz w:val="17"/>
              </w:rPr>
              <w:t>处置效应</w:t>
            </w:r>
          </w:p>
        </w:tc>
        <w:tc>
          <w:tcPr>
            <w:tcW w:w="2438" w:type="dxa"/>
            <w:vAlign w:val="center"/>
          </w:tcPr>
          <w:p w14:paraId="7FA3977D">
            <w:pPr>
              <w:spacing w:before="20" w:after="20" w:line="259" w:lineRule="auto"/>
              <w:ind w:firstLine="0"/>
              <w:jc w:val="center"/>
            </w:pPr>
            <w:r>
              <w:rPr>
                <w:rFonts w:ascii="Times New Roman" w:hAnsi="Times New Roman" w:eastAsia="宋体"/>
                <w:b w:val="0"/>
                <w:i w:val="0"/>
                <w:sz w:val="17"/>
              </w:rPr>
              <w:t>-4.9***</w:t>
            </w:r>
          </w:p>
        </w:tc>
        <w:tc>
          <w:tcPr>
            <w:tcW w:w="2438" w:type="dxa"/>
            <w:vAlign w:val="center"/>
          </w:tcPr>
          <w:p w14:paraId="1DE60B24">
            <w:pPr>
              <w:spacing w:before="20" w:after="20" w:line="259" w:lineRule="auto"/>
              <w:ind w:firstLine="0"/>
              <w:jc w:val="center"/>
            </w:pPr>
            <w:r>
              <w:rPr>
                <w:rFonts w:ascii="Times New Roman" w:hAnsi="Times New Roman" w:eastAsia="宋体"/>
                <w:b w:val="0"/>
                <w:i w:val="0"/>
                <w:sz w:val="17"/>
              </w:rPr>
              <w:t>-4.0***</w:t>
            </w:r>
          </w:p>
        </w:tc>
        <w:tc>
          <w:tcPr>
            <w:tcW w:w="2438" w:type="dxa"/>
            <w:vAlign w:val="center"/>
          </w:tcPr>
          <w:p w14:paraId="6035FF23">
            <w:pPr>
              <w:spacing w:before="20" w:after="20" w:line="259" w:lineRule="auto"/>
              <w:ind w:firstLine="0"/>
              <w:jc w:val="center"/>
            </w:pPr>
            <w:r>
              <w:rPr>
                <w:rFonts w:ascii="Times New Roman" w:hAnsi="Times New Roman" w:eastAsia="宋体"/>
                <w:b w:val="0"/>
                <w:i w:val="0"/>
                <w:sz w:val="17"/>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1C0F01F8">
            <w:pPr>
              <w:spacing w:before="20" w:after="20" w:line="259" w:lineRule="auto"/>
              <w:ind w:firstLine="0"/>
              <w:jc w:val="center"/>
            </w:pPr>
            <w:r>
              <w:rPr>
                <w:rFonts w:ascii="Times New Roman" w:hAnsi="Times New Roman" w:eastAsia="宋体"/>
                <w:b w:val="0"/>
                <w:i w:val="0"/>
                <w:sz w:val="17"/>
              </w:rPr>
              <w:t>过度自信（换手×过度交易）</w:t>
            </w:r>
          </w:p>
        </w:tc>
        <w:tc>
          <w:tcPr>
            <w:tcW w:w="2438" w:type="dxa"/>
            <w:vAlign w:val="center"/>
          </w:tcPr>
          <w:p w14:paraId="3CA1F90A">
            <w:pPr>
              <w:spacing w:before="20" w:after="20" w:line="259" w:lineRule="auto"/>
              <w:ind w:firstLine="0"/>
              <w:jc w:val="center"/>
            </w:pPr>
            <w:r>
              <w:rPr>
                <w:rFonts w:ascii="Times New Roman" w:hAnsi="Times New Roman" w:eastAsia="宋体"/>
                <w:b w:val="0"/>
                <w:i w:val="0"/>
                <w:sz w:val="17"/>
              </w:rPr>
              <w:t>+1.4</w:t>
            </w:r>
          </w:p>
        </w:tc>
        <w:tc>
          <w:tcPr>
            <w:tcW w:w="2438" w:type="dxa"/>
            <w:vAlign w:val="center"/>
          </w:tcPr>
          <w:p w14:paraId="7384E4C9">
            <w:pPr>
              <w:spacing w:before="20" w:after="20" w:line="259" w:lineRule="auto"/>
              <w:ind w:firstLine="0"/>
              <w:jc w:val="center"/>
            </w:pPr>
            <w:r>
              <w:rPr>
                <w:rFonts w:ascii="Times New Roman" w:hAnsi="Times New Roman" w:eastAsia="宋体"/>
                <w:b w:val="0"/>
                <w:i w:val="0"/>
                <w:sz w:val="17"/>
              </w:rPr>
              <w:t>-1.5</w:t>
            </w:r>
          </w:p>
        </w:tc>
        <w:tc>
          <w:tcPr>
            <w:tcW w:w="2438" w:type="dxa"/>
            <w:vAlign w:val="center"/>
          </w:tcPr>
          <w:p w14:paraId="5E8863B8">
            <w:pPr>
              <w:spacing w:before="20" w:after="20" w:line="259" w:lineRule="auto"/>
              <w:ind w:firstLine="0"/>
              <w:jc w:val="center"/>
            </w:pPr>
            <w:r>
              <w:rPr>
                <w:rFonts w:ascii="Times New Roman" w:hAnsi="Times New Roman" w:eastAsia="宋体"/>
                <w:b w:val="0"/>
                <w:i w:val="0"/>
                <w:sz w:val="17"/>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370AB872">
            <w:pPr>
              <w:spacing w:before="20" w:after="20" w:line="259" w:lineRule="auto"/>
              <w:ind w:firstLine="0"/>
              <w:jc w:val="center"/>
            </w:pPr>
            <w:r>
              <w:rPr>
                <w:rFonts w:ascii="Times New Roman" w:hAnsi="Times New Roman" w:eastAsia="宋体"/>
                <w:b w:val="0"/>
                <w:i w:val="0"/>
                <w:sz w:val="17"/>
              </w:rPr>
              <w:t>追涨杀跌</w:t>
            </w:r>
          </w:p>
        </w:tc>
        <w:tc>
          <w:tcPr>
            <w:tcW w:w="2438" w:type="dxa"/>
            <w:vAlign w:val="center"/>
          </w:tcPr>
          <w:p w14:paraId="2D0744CA">
            <w:pPr>
              <w:spacing w:before="20" w:after="20" w:line="259" w:lineRule="auto"/>
              <w:ind w:firstLine="0"/>
              <w:jc w:val="center"/>
            </w:pPr>
            <w:r>
              <w:rPr>
                <w:rFonts w:ascii="Times New Roman" w:hAnsi="Times New Roman" w:eastAsia="宋体"/>
                <w:b w:val="0"/>
                <w:i w:val="0"/>
                <w:sz w:val="17"/>
              </w:rPr>
              <w:t>-2.1**</w:t>
            </w:r>
          </w:p>
        </w:tc>
        <w:tc>
          <w:tcPr>
            <w:tcW w:w="2438" w:type="dxa"/>
            <w:vAlign w:val="center"/>
          </w:tcPr>
          <w:p w14:paraId="13B30CE9">
            <w:pPr>
              <w:spacing w:before="20" w:after="20" w:line="259" w:lineRule="auto"/>
              <w:ind w:firstLine="0"/>
              <w:jc w:val="center"/>
            </w:pPr>
            <w:r>
              <w:rPr>
                <w:rFonts w:ascii="Times New Roman" w:hAnsi="Times New Roman" w:eastAsia="宋体"/>
                <w:b w:val="0"/>
                <w:i w:val="0"/>
                <w:sz w:val="17"/>
              </w:rPr>
              <w:t>-3.4***</w:t>
            </w:r>
          </w:p>
        </w:tc>
        <w:tc>
          <w:tcPr>
            <w:tcW w:w="2438" w:type="dxa"/>
            <w:vAlign w:val="center"/>
          </w:tcPr>
          <w:p w14:paraId="5E920A51">
            <w:pPr>
              <w:spacing w:before="20" w:after="20" w:line="259" w:lineRule="auto"/>
              <w:ind w:firstLine="0"/>
              <w:jc w:val="center"/>
            </w:pPr>
            <w:r>
              <w:rPr>
                <w:rFonts w:ascii="Times New Roman" w:hAnsi="Times New Roman" w:eastAsia="宋体"/>
                <w:b w:val="0"/>
                <w:i w:val="0"/>
                <w:sz w:val="17"/>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7D708ED2">
            <w:pPr>
              <w:spacing w:before="20" w:after="20" w:line="259" w:lineRule="auto"/>
              <w:ind w:firstLine="0"/>
              <w:jc w:val="center"/>
            </w:pPr>
            <w:r>
              <w:rPr>
                <w:rFonts w:ascii="Times New Roman" w:hAnsi="Times New Roman" w:eastAsia="宋体"/>
                <w:b w:val="0"/>
                <w:i w:val="0"/>
                <w:sz w:val="17"/>
              </w:rPr>
              <w:t>锚定效应</w:t>
            </w:r>
          </w:p>
        </w:tc>
        <w:tc>
          <w:tcPr>
            <w:tcW w:w="2438" w:type="dxa"/>
            <w:vAlign w:val="center"/>
          </w:tcPr>
          <w:p w14:paraId="4C7E3C7C">
            <w:pPr>
              <w:spacing w:before="20" w:after="20" w:line="259" w:lineRule="auto"/>
              <w:ind w:firstLine="0"/>
              <w:jc w:val="center"/>
            </w:pPr>
            <w:r>
              <w:rPr>
                <w:rFonts w:ascii="Times New Roman" w:hAnsi="Times New Roman" w:eastAsia="宋体"/>
                <w:b w:val="0"/>
                <w:i w:val="0"/>
                <w:sz w:val="17"/>
              </w:rPr>
              <w:t>+7.5***</w:t>
            </w:r>
          </w:p>
        </w:tc>
        <w:tc>
          <w:tcPr>
            <w:tcW w:w="2438" w:type="dxa"/>
            <w:vAlign w:val="center"/>
          </w:tcPr>
          <w:p w14:paraId="7156AC07">
            <w:pPr>
              <w:spacing w:before="20" w:after="20" w:line="259" w:lineRule="auto"/>
              <w:ind w:firstLine="0"/>
              <w:jc w:val="center"/>
            </w:pPr>
            <w:r>
              <w:rPr>
                <w:rFonts w:ascii="Times New Roman" w:hAnsi="Times New Roman" w:eastAsia="宋体"/>
                <w:b w:val="0"/>
                <w:i w:val="0"/>
                <w:sz w:val="17"/>
              </w:rPr>
              <w:t>+5.7***</w:t>
            </w:r>
          </w:p>
        </w:tc>
        <w:tc>
          <w:tcPr>
            <w:tcW w:w="2438" w:type="dxa"/>
            <w:vAlign w:val="center"/>
          </w:tcPr>
          <w:p w14:paraId="343801D7">
            <w:pPr>
              <w:spacing w:before="20" w:after="20" w:line="259" w:lineRule="auto"/>
              <w:ind w:firstLine="0"/>
              <w:jc w:val="center"/>
            </w:pPr>
            <w:r>
              <w:rPr>
                <w:rFonts w:ascii="Times New Roman" w:hAnsi="Times New Roman" w:eastAsia="宋体"/>
                <w:b w:val="0"/>
                <w:i w:val="0"/>
                <w:sz w:val="17"/>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56AF336B">
            <w:pPr>
              <w:spacing w:before="20" w:after="20" w:line="259" w:lineRule="auto"/>
              <w:ind w:firstLine="0"/>
              <w:jc w:val="center"/>
            </w:pPr>
            <w:r>
              <w:rPr>
                <w:rFonts w:ascii="Times New Roman" w:hAnsi="Times New Roman" w:eastAsia="宋体"/>
                <w:b w:val="0"/>
                <w:i w:val="0"/>
                <w:sz w:val="17"/>
              </w:rPr>
              <w:t>行业集中度</w:t>
            </w:r>
          </w:p>
        </w:tc>
        <w:tc>
          <w:tcPr>
            <w:tcW w:w="2438" w:type="dxa"/>
            <w:vAlign w:val="center"/>
          </w:tcPr>
          <w:p w14:paraId="526B2CB5">
            <w:pPr>
              <w:spacing w:before="20" w:after="20" w:line="259" w:lineRule="auto"/>
              <w:ind w:firstLine="0"/>
              <w:jc w:val="center"/>
            </w:pPr>
            <w:r>
              <w:rPr>
                <w:rFonts w:ascii="Times New Roman" w:hAnsi="Times New Roman" w:eastAsia="宋体"/>
                <w:b w:val="0"/>
                <w:i w:val="0"/>
                <w:sz w:val="17"/>
              </w:rPr>
              <w:t>+10.9***</w:t>
            </w:r>
          </w:p>
        </w:tc>
        <w:tc>
          <w:tcPr>
            <w:tcW w:w="2438" w:type="dxa"/>
            <w:vAlign w:val="center"/>
          </w:tcPr>
          <w:p w14:paraId="1AC53C3B">
            <w:pPr>
              <w:spacing w:before="20" w:after="20" w:line="259" w:lineRule="auto"/>
              <w:ind w:firstLine="0"/>
              <w:jc w:val="center"/>
            </w:pPr>
            <w:r>
              <w:rPr>
                <w:rFonts w:ascii="Times New Roman" w:hAnsi="Times New Roman" w:eastAsia="宋体"/>
                <w:b w:val="0"/>
                <w:i w:val="0"/>
                <w:sz w:val="17"/>
              </w:rPr>
              <w:t>+4.9***</w:t>
            </w:r>
          </w:p>
        </w:tc>
        <w:tc>
          <w:tcPr>
            <w:tcW w:w="2438" w:type="dxa"/>
            <w:vAlign w:val="center"/>
          </w:tcPr>
          <w:p w14:paraId="4999C682">
            <w:pPr>
              <w:spacing w:before="20" w:after="20" w:line="259" w:lineRule="auto"/>
              <w:ind w:firstLine="0"/>
              <w:jc w:val="center"/>
            </w:pPr>
            <w:r>
              <w:rPr>
                <w:rFonts w:ascii="Times New Roman" w:hAnsi="Times New Roman" w:eastAsia="宋体"/>
                <w:b w:val="0"/>
                <w:i w:val="0"/>
                <w:sz w:val="17"/>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5C0D073F">
            <w:pPr>
              <w:spacing w:before="20" w:after="20" w:line="259" w:lineRule="auto"/>
              <w:ind w:firstLine="0"/>
              <w:jc w:val="center"/>
            </w:pPr>
            <w:r>
              <w:rPr>
                <w:rFonts w:ascii="Times New Roman" w:hAnsi="Times New Roman" w:eastAsia="宋体"/>
                <w:b w:val="0"/>
                <w:i w:val="0"/>
                <w:sz w:val="17"/>
              </w:rPr>
              <w:t>行业风格漂移指数</w:t>
            </w:r>
          </w:p>
        </w:tc>
        <w:tc>
          <w:tcPr>
            <w:tcW w:w="2438" w:type="dxa"/>
            <w:vAlign w:val="center"/>
          </w:tcPr>
          <w:p w14:paraId="071BD870">
            <w:pPr>
              <w:spacing w:before="20" w:after="20" w:line="259" w:lineRule="auto"/>
              <w:ind w:firstLine="0"/>
              <w:jc w:val="center"/>
            </w:pPr>
            <w:r>
              <w:rPr>
                <w:rFonts w:ascii="Times New Roman" w:hAnsi="Times New Roman" w:eastAsia="宋体"/>
                <w:b w:val="0"/>
                <w:i w:val="0"/>
                <w:sz w:val="17"/>
              </w:rPr>
              <w:t>-9.2***</w:t>
            </w:r>
          </w:p>
        </w:tc>
        <w:tc>
          <w:tcPr>
            <w:tcW w:w="2438" w:type="dxa"/>
            <w:vAlign w:val="center"/>
          </w:tcPr>
          <w:p w14:paraId="5DF4C911">
            <w:pPr>
              <w:spacing w:before="20" w:after="20" w:line="259" w:lineRule="auto"/>
              <w:ind w:firstLine="0"/>
              <w:jc w:val="center"/>
            </w:pPr>
            <w:r>
              <w:rPr>
                <w:rFonts w:ascii="Times New Roman" w:hAnsi="Times New Roman" w:eastAsia="宋体"/>
                <w:b w:val="0"/>
                <w:i w:val="0"/>
                <w:sz w:val="17"/>
              </w:rPr>
              <w:t>-4.9***</w:t>
            </w:r>
          </w:p>
        </w:tc>
        <w:tc>
          <w:tcPr>
            <w:tcW w:w="2438" w:type="dxa"/>
            <w:vAlign w:val="center"/>
          </w:tcPr>
          <w:p w14:paraId="43A63553">
            <w:pPr>
              <w:spacing w:before="20" w:after="20" w:line="259" w:lineRule="auto"/>
              <w:ind w:firstLine="0"/>
              <w:jc w:val="center"/>
            </w:pPr>
            <w:r>
              <w:rPr>
                <w:rFonts w:ascii="Times New Roman" w:hAnsi="Times New Roman" w:eastAsia="宋体"/>
                <w:b w:val="0"/>
                <w:i w:val="0"/>
                <w:sz w:val="17"/>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5B89B38D">
            <w:pPr>
              <w:spacing w:before="20" w:after="20" w:line="259" w:lineRule="auto"/>
              <w:ind w:firstLine="0"/>
              <w:jc w:val="center"/>
            </w:pPr>
            <w:r>
              <w:rPr>
                <w:rFonts w:ascii="Times New Roman" w:hAnsi="Times New Roman" w:eastAsia="宋体"/>
                <w:b w:val="0"/>
                <w:i w:val="0"/>
                <w:sz w:val="17"/>
              </w:rPr>
              <w:t>改进主动份额</w:t>
            </w:r>
          </w:p>
        </w:tc>
        <w:tc>
          <w:tcPr>
            <w:tcW w:w="2438" w:type="dxa"/>
            <w:vAlign w:val="center"/>
          </w:tcPr>
          <w:p w14:paraId="14F482C8">
            <w:pPr>
              <w:spacing w:before="20" w:after="20" w:line="259" w:lineRule="auto"/>
              <w:ind w:firstLine="0"/>
              <w:jc w:val="center"/>
            </w:pPr>
            <w:r>
              <w:rPr>
                <w:rFonts w:ascii="Times New Roman" w:hAnsi="Times New Roman" w:eastAsia="宋体"/>
                <w:b w:val="0"/>
                <w:i w:val="0"/>
                <w:sz w:val="17"/>
              </w:rPr>
              <w:t>+3.2***</w:t>
            </w:r>
          </w:p>
        </w:tc>
        <w:tc>
          <w:tcPr>
            <w:tcW w:w="2438" w:type="dxa"/>
            <w:vAlign w:val="center"/>
          </w:tcPr>
          <w:p w14:paraId="3A3C1655">
            <w:pPr>
              <w:spacing w:before="20" w:after="20" w:line="259" w:lineRule="auto"/>
              <w:ind w:firstLine="0"/>
              <w:jc w:val="center"/>
            </w:pPr>
            <w:r>
              <w:rPr>
                <w:rFonts w:ascii="Times New Roman" w:hAnsi="Times New Roman" w:eastAsia="宋体"/>
                <w:b w:val="0"/>
                <w:i w:val="0"/>
                <w:sz w:val="17"/>
              </w:rPr>
              <w:t>+2.7***</w:t>
            </w:r>
          </w:p>
        </w:tc>
        <w:tc>
          <w:tcPr>
            <w:tcW w:w="2438" w:type="dxa"/>
            <w:vAlign w:val="center"/>
          </w:tcPr>
          <w:p w14:paraId="3BA19F61">
            <w:pPr>
              <w:spacing w:before="20" w:after="20" w:line="259" w:lineRule="auto"/>
              <w:ind w:firstLine="0"/>
              <w:jc w:val="center"/>
            </w:pPr>
            <w:r>
              <w:rPr>
                <w:rFonts w:ascii="Times New Roman" w:hAnsi="Times New Roman" w:eastAsia="宋体"/>
                <w:b w:val="0"/>
                <w:i w:val="0"/>
                <w:sz w:val="17"/>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2F037749">
            <w:pPr>
              <w:spacing w:before="20" w:after="20" w:line="259" w:lineRule="auto"/>
              <w:ind w:firstLine="0"/>
              <w:jc w:val="center"/>
            </w:pPr>
            <w:r>
              <w:rPr>
                <w:rFonts w:ascii="Times New Roman" w:hAnsi="Times New Roman" w:eastAsia="宋体"/>
                <w:b w:val="0"/>
                <w:i w:val="0"/>
                <w:sz w:val="17"/>
              </w:rPr>
              <w:t>调仓幅度</w:t>
            </w:r>
          </w:p>
        </w:tc>
        <w:tc>
          <w:tcPr>
            <w:tcW w:w="2438" w:type="dxa"/>
            <w:vAlign w:val="center"/>
          </w:tcPr>
          <w:p w14:paraId="60C94E95">
            <w:pPr>
              <w:spacing w:before="20" w:after="20" w:line="259" w:lineRule="auto"/>
              <w:ind w:firstLine="0"/>
              <w:jc w:val="center"/>
            </w:pPr>
            <w:r>
              <w:rPr>
                <w:rFonts w:ascii="Times New Roman" w:hAnsi="Times New Roman" w:eastAsia="宋体"/>
                <w:b w:val="0"/>
                <w:i w:val="0"/>
                <w:sz w:val="17"/>
              </w:rPr>
              <w:t>+14.6***</w:t>
            </w:r>
          </w:p>
        </w:tc>
        <w:tc>
          <w:tcPr>
            <w:tcW w:w="2438" w:type="dxa"/>
            <w:vAlign w:val="center"/>
          </w:tcPr>
          <w:p w14:paraId="494F333E">
            <w:pPr>
              <w:spacing w:before="20" w:after="20" w:line="259" w:lineRule="auto"/>
              <w:ind w:firstLine="0"/>
              <w:jc w:val="center"/>
            </w:pPr>
            <w:r>
              <w:rPr>
                <w:rFonts w:ascii="Times New Roman" w:hAnsi="Times New Roman" w:eastAsia="宋体"/>
                <w:b w:val="0"/>
                <w:i w:val="0"/>
                <w:sz w:val="17"/>
              </w:rPr>
              <w:t>+6.2***</w:t>
            </w:r>
          </w:p>
        </w:tc>
        <w:tc>
          <w:tcPr>
            <w:tcW w:w="2438" w:type="dxa"/>
            <w:vAlign w:val="center"/>
          </w:tcPr>
          <w:p w14:paraId="66B388D2">
            <w:pPr>
              <w:spacing w:before="20" w:after="20" w:line="259" w:lineRule="auto"/>
              <w:ind w:firstLine="0"/>
              <w:jc w:val="center"/>
            </w:pPr>
            <w:r>
              <w:rPr>
                <w:rFonts w:ascii="Times New Roman" w:hAnsi="Times New Roman" w:eastAsia="宋体"/>
                <w:b w:val="0"/>
                <w:i w:val="0"/>
                <w:sz w:val="17"/>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47038866">
            <w:pPr>
              <w:spacing w:before="20" w:after="20" w:line="259" w:lineRule="auto"/>
              <w:ind w:firstLine="0"/>
              <w:jc w:val="center"/>
            </w:pPr>
            <w:r>
              <w:rPr>
                <w:rFonts w:ascii="Times New Roman" w:hAnsi="Times New Roman" w:eastAsia="宋体"/>
                <w:b w:val="0"/>
                <w:i w:val="0"/>
                <w:sz w:val="17"/>
              </w:rPr>
              <w:t>下行保护系数（−HM γ）</w:t>
            </w:r>
          </w:p>
        </w:tc>
        <w:tc>
          <w:tcPr>
            <w:tcW w:w="2438" w:type="dxa"/>
            <w:vAlign w:val="center"/>
          </w:tcPr>
          <w:p w14:paraId="44EF2410">
            <w:pPr>
              <w:spacing w:before="20" w:after="20" w:line="259" w:lineRule="auto"/>
              <w:ind w:firstLine="0"/>
              <w:jc w:val="center"/>
            </w:pPr>
            <w:r>
              <w:rPr>
                <w:rFonts w:ascii="Times New Roman" w:hAnsi="Times New Roman" w:eastAsia="宋体"/>
                <w:b w:val="0"/>
                <w:i w:val="0"/>
                <w:sz w:val="17"/>
              </w:rPr>
              <w:t>+1.6*</w:t>
            </w:r>
          </w:p>
        </w:tc>
        <w:tc>
          <w:tcPr>
            <w:tcW w:w="2438" w:type="dxa"/>
            <w:vAlign w:val="center"/>
          </w:tcPr>
          <w:p w14:paraId="048E8194">
            <w:pPr>
              <w:spacing w:before="20" w:after="20" w:line="259" w:lineRule="auto"/>
              <w:ind w:firstLine="0"/>
              <w:jc w:val="center"/>
            </w:pPr>
            <w:r>
              <w:rPr>
                <w:rFonts w:ascii="Times New Roman" w:hAnsi="Times New Roman" w:eastAsia="宋体"/>
                <w:b w:val="0"/>
                <w:i w:val="0"/>
                <w:sz w:val="17"/>
              </w:rPr>
              <w:t>+1.6</w:t>
            </w:r>
          </w:p>
        </w:tc>
        <w:tc>
          <w:tcPr>
            <w:tcW w:w="2438" w:type="dxa"/>
            <w:vAlign w:val="center"/>
          </w:tcPr>
          <w:p w14:paraId="577E997A">
            <w:pPr>
              <w:spacing w:before="20" w:after="20" w:line="259" w:lineRule="auto"/>
              <w:ind w:firstLine="0"/>
              <w:jc w:val="center"/>
            </w:pPr>
            <w:r>
              <w:rPr>
                <w:rFonts w:ascii="Times New Roman" w:hAnsi="Times New Roman" w:eastAsia="宋体"/>
                <w:b w:val="0"/>
                <w:i w:val="0"/>
                <w:sz w:val="17"/>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65D7655F">
            <w:pPr>
              <w:spacing w:before="20" w:after="20" w:line="259" w:lineRule="auto"/>
              <w:ind w:firstLine="0"/>
              <w:jc w:val="center"/>
            </w:pPr>
            <w:r>
              <w:rPr>
                <w:rFonts w:ascii="Times New Roman" w:hAnsi="Times New Roman" w:eastAsia="宋体"/>
                <w:b w:val="0"/>
                <w:i w:val="0"/>
                <w:sz w:val="17"/>
              </w:rPr>
              <w:t>收益波动率</w:t>
            </w:r>
          </w:p>
        </w:tc>
        <w:tc>
          <w:tcPr>
            <w:tcW w:w="2438" w:type="dxa"/>
            <w:vAlign w:val="center"/>
          </w:tcPr>
          <w:p w14:paraId="0B7D2FA8">
            <w:pPr>
              <w:spacing w:before="20" w:after="20" w:line="259" w:lineRule="auto"/>
              <w:ind w:firstLine="0"/>
              <w:jc w:val="center"/>
            </w:pPr>
            <w:r>
              <w:rPr>
                <w:rFonts w:ascii="Times New Roman" w:hAnsi="Times New Roman" w:eastAsia="宋体"/>
                <w:b w:val="0"/>
                <w:i w:val="0"/>
                <w:sz w:val="17"/>
              </w:rPr>
              <w:t>+18.0***</w:t>
            </w:r>
          </w:p>
        </w:tc>
        <w:tc>
          <w:tcPr>
            <w:tcW w:w="2438" w:type="dxa"/>
            <w:vAlign w:val="center"/>
          </w:tcPr>
          <w:p w14:paraId="4B6D98D5">
            <w:pPr>
              <w:spacing w:before="20" w:after="20" w:line="259" w:lineRule="auto"/>
              <w:ind w:firstLine="0"/>
              <w:jc w:val="center"/>
            </w:pPr>
            <w:r>
              <w:rPr>
                <w:rFonts w:ascii="Times New Roman" w:hAnsi="Times New Roman" w:eastAsia="宋体"/>
                <w:b w:val="0"/>
                <w:i w:val="0"/>
                <w:sz w:val="17"/>
              </w:rPr>
              <w:t>+7.2***</w:t>
            </w:r>
          </w:p>
        </w:tc>
        <w:tc>
          <w:tcPr>
            <w:tcW w:w="2438" w:type="dxa"/>
            <w:vAlign w:val="center"/>
          </w:tcPr>
          <w:p w14:paraId="04814B36">
            <w:pPr>
              <w:spacing w:before="20" w:after="20" w:line="259" w:lineRule="auto"/>
              <w:ind w:firstLine="0"/>
              <w:jc w:val="center"/>
            </w:pPr>
            <w:r>
              <w:rPr>
                <w:rFonts w:ascii="Times New Roman" w:hAnsi="Times New Roman" w:eastAsia="宋体"/>
                <w:b w:val="0"/>
                <w:i w:val="0"/>
                <w:sz w:val="17"/>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1D8B114B">
            <w:pPr>
              <w:spacing w:before="20" w:after="20" w:line="259" w:lineRule="auto"/>
              <w:ind w:firstLine="0"/>
              <w:jc w:val="center"/>
            </w:pPr>
            <w:r>
              <w:rPr>
                <w:rFonts w:ascii="Times New Roman" w:hAnsi="Times New Roman" w:eastAsia="宋体"/>
                <w:b w:val="0"/>
                <w:i w:val="0"/>
                <w:sz w:val="17"/>
              </w:rPr>
              <w:t>风险稳定性</w:t>
            </w:r>
          </w:p>
        </w:tc>
        <w:tc>
          <w:tcPr>
            <w:tcW w:w="2438" w:type="dxa"/>
            <w:vAlign w:val="center"/>
          </w:tcPr>
          <w:p w14:paraId="2A75AD8A">
            <w:pPr>
              <w:spacing w:before="20" w:after="20" w:line="259" w:lineRule="auto"/>
              <w:ind w:firstLine="0"/>
              <w:jc w:val="center"/>
            </w:pPr>
            <w:r>
              <w:rPr>
                <w:rFonts w:ascii="Times New Roman" w:hAnsi="Times New Roman" w:eastAsia="宋体"/>
                <w:b w:val="0"/>
                <w:i w:val="0"/>
                <w:sz w:val="17"/>
              </w:rPr>
              <w:t>-13.8***</w:t>
            </w:r>
          </w:p>
        </w:tc>
        <w:tc>
          <w:tcPr>
            <w:tcW w:w="2438" w:type="dxa"/>
            <w:vAlign w:val="center"/>
          </w:tcPr>
          <w:p w14:paraId="06F7E09D">
            <w:pPr>
              <w:spacing w:before="20" w:after="20" w:line="259" w:lineRule="auto"/>
              <w:ind w:firstLine="0"/>
              <w:jc w:val="center"/>
            </w:pPr>
            <w:r>
              <w:rPr>
                <w:rFonts w:ascii="Times New Roman" w:hAnsi="Times New Roman" w:eastAsia="宋体"/>
                <w:b w:val="0"/>
                <w:i w:val="0"/>
                <w:sz w:val="17"/>
              </w:rPr>
              <w:t>-12.2***</w:t>
            </w:r>
          </w:p>
        </w:tc>
        <w:tc>
          <w:tcPr>
            <w:tcW w:w="2438" w:type="dxa"/>
            <w:vAlign w:val="center"/>
          </w:tcPr>
          <w:p w14:paraId="7C6155C3">
            <w:pPr>
              <w:spacing w:before="20" w:after="20" w:line="259" w:lineRule="auto"/>
              <w:ind w:firstLine="0"/>
              <w:jc w:val="center"/>
            </w:pPr>
            <w:r>
              <w:rPr>
                <w:rFonts w:ascii="Times New Roman" w:hAnsi="Times New Roman" w:eastAsia="宋体"/>
                <w:b w:val="0"/>
                <w:i w:val="0"/>
                <w:sz w:val="17"/>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33720253">
            <w:pPr>
              <w:spacing w:before="20" w:after="20" w:line="259" w:lineRule="auto"/>
              <w:ind w:firstLine="0"/>
              <w:jc w:val="center"/>
            </w:pPr>
            <w:r>
              <w:rPr>
                <w:rFonts w:ascii="Times New Roman" w:hAnsi="Times New Roman" w:eastAsia="宋体"/>
                <w:b w:val="0"/>
                <w:i w:val="0"/>
                <w:sz w:val="17"/>
              </w:rPr>
              <w:t>Sharpe比率</w:t>
            </w:r>
          </w:p>
        </w:tc>
        <w:tc>
          <w:tcPr>
            <w:tcW w:w="2438" w:type="dxa"/>
            <w:vAlign w:val="center"/>
          </w:tcPr>
          <w:p w14:paraId="11B69601">
            <w:pPr>
              <w:spacing w:before="20" w:after="20" w:line="259" w:lineRule="auto"/>
              <w:ind w:firstLine="0"/>
              <w:jc w:val="center"/>
            </w:pPr>
            <w:r>
              <w:rPr>
                <w:rFonts w:ascii="Times New Roman" w:hAnsi="Times New Roman" w:eastAsia="宋体"/>
                <w:b w:val="0"/>
                <w:i w:val="0"/>
                <w:sz w:val="17"/>
              </w:rPr>
              <w:t>+6.1***</w:t>
            </w:r>
          </w:p>
        </w:tc>
        <w:tc>
          <w:tcPr>
            <w:tcW w:w="2438" w:type="dxa"/>
            <w:vAlign w:val="center"/>
          </w:tcPr>
          <w:p w14:paraId="6ACB6410">
            <w:pPr>
              <w:spacing w:before="20" w:after="20" w:line="259" w:lineRule="auto"/>
              <w:ind w:firstLine="0"/>
              <w:jc w:val="center"/>
            </w:pPr>
            <w:r>
              <w:rPr>
                <w:rFonts w:ascii="Times New Roman" w:hAnsi="Times New Roman" w:eastAsia="宋体"/>
                <w:b w:val="0"/>
                <w:i w:val="0"/>
                <w:sz w:val="17"/>
              </w:rPr>
              <w:t>+7.5***</w:t>
            </w:r>
          </w:p>
        </w:tc>
        <w:tc>
          <w:tcPr>
            <w:tcW w:w="2438" w:type="dxa"/>
            <w:vAlign w:val="center"/>
          </w:tcPr>
          <w:p w14:paraId="0F11A231">
            <w:pPr>
              <w:spacing w:before="20" w:after="20" w:line="259" w:lineRule="auto"/>
              <w:ind w:firstLine="0"/>
              <w:jc w:val="center"/>
            </w:pPr>
            <w:r>
              <w:rPr>
                <w:rFonts w:ascii="Times New Roman" w:hAnsi="Times New Roman" w:eastAsia="宋体"/>
                <w:b w:val="0"/>
                <w:i w:val="0"/>
                <w:sz w:val="17"/>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2E453E41">
            <w:pPr>
              <w:spacing w:before="20" w:after="20" w:line="259" w:lineRule="auto"/>
              <w:ind w:firstLine="0"/>
              <w:jc w:val="center"/>
            </w:pPr>
            <w:r>
              <w:rPr>
                <w:rFonts w:ascii="Times New Roman" w:hAnsi="Times New Roman" w:eastAsia="宋体"/>
                <w:b w:val="0"/>
                <w:i w:val="0"/>
                <w:sz w:val="17"/>
              </w:rPr>
              <w:t>Sortino比率</w:t>
            </w:r>
          </w:p>
        </w:tc>
        <w:tc>
          <w:tcPr>
            <w:tcW w:w="2438" w:type="dxa"/>
            <w:vAlign w:val="center"/>
          </w:tcPr>
          <w:p w14:paraId="717735CD">
            <w:pPr>
              <w:spacing w:before="20" w:after="20" w:line="259" w:lineRule="auto"/>
              <w:ind w:firstLine="0"/>
              <w:jc w:val="center"/>
            </w:pPr>
            <w:r>
              <w:rPr>
                <w:rFonts w:ascii="Times New Roman" w:hAnsi="Times New Roman" w:eastAsia="宋体"/>
                <w:b w:val="0"/>
                <w:i w:val="0"/>
                <w:sz w:val="17"/>
              </w:rPr>
              <w:t>+10.3***</w:t>
            </w:r>
          </w:p>
        </w:tc>
        <w:tc>
          <w:tcPr>
            <w:tcW w:w="2438" w:type="dxa"/>
            <w:vAlign w:val="center"/>
          </w:tcPr>
          <w:p w14:paraId="37D13BBD">
            <w:pPr>
              <w:spacing w:before="20" w:after="20" w:line="259" w:lineRule="auto"/>
              <w:ind w:firstLine="0"/>
              <w:jc w:val="center"/>
            </w:pPr>
            <w:r>
              <w:rPr>
                <w:rFonts w:ascii="Times New Roman" w:hAnsi="Times New Roman" w:eastAsia="宋体"/>
                <w:b w:val="0"/>
                <w:i w:val="0"/>
                <w:sz w:val="17"/>
              </w:rPr>
              <w:t>+7.5***</w:t>
            </w:r>
          </w:p>
        </w:tc>
        <w:tc>
          <w:tcPr>
            <w:tcW w:w="2438" w:type="dxa"/>
            <w:vAlign w:val="center"/>
          </w:tcPr>
          <w:p w14:paraId="68C81DD4">
            <w:pPr>
              <w:spacing w:before="20" w:after="20" w:line="259" w:lineRule="auto"/>
              <w:ind w:firstLine="0"/>
              <w:jc w:val="center"/>
            </w:pPr>
            <w:r>
              <w:rPr>
                <w:rFonts w:ascii="Times New Roman" w:hAnsi="Times New Roman" w:eastAsia="宋体"/>
                <w:b w:val="0"/>
                <w:i w:val="0"/>
                <w:sz w:val="17"/>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6727A02F">
            <w:pPr>
              <w:spacing w:before="20" w:after="20" w:line="259" w:lineRule="auto"/>
              <w:ind w:firstLine="0"/>
              <w:jc w:val="center"/>
            </w:pPr>
            <w:r>
              <w:rPr>
                <w:rFonts w:ascii="Times New Roman" w:hAnsi="Times New Roman" w:eastAsia="宋体"/>
                <w:b w:val="0"/>
                <w:i w:val="0"/>
                <w:sz w:val="17"/>
              </w:rPr>
              <w:t>操纵稳健业绩测度MPPM</w:t>
            </w:r>
          </w:p>
        </w:tc>
        <w:tc>
          <w:tcPr>
            <w:tcW w:w="2438" w:type="dxa"/>
            <w:vAlign w:val="center"/>
          </w:tcPr>
          <w:p w14:paraId="741EE1B0">
            <w:pPr>
              <w:spacing w:before="20" w:after="20" w:line="259" w:lineRule="auto"/>
              <w:ind w:firstLine="0"/>
              <w:jc w:val="center"/>
            </w:pPr>
            <w:r>
              <w:rPr>
                <w:rFonts w:ascii="Times New Roman" w:hAnsi="Times New Roman" w:eastAsia="宋体"/>
                <w:b w:val="0"/>
                <w:i w:val="0"/>
                <w:sz w:val="17"/>
              </w:rPr>
              <w:t>+11.7***</w:t>
            </w:r>
          </w:p>
        </w:tc>
        <w:tc>
          <w:tcPr>
            <w:tcW w:w="2438" w:type="dxa"/>
            <w:vAlign w:val="center"/>
          </w:tcPr>
          <w:p w14:paraId="03768B9F">
            <w:pPr>
              <w:spacing w:before="20" w:after="20" w:line="259" w:lineRule="auto"/>
              <w:ind w:firstLine="0"/>
              <w:jc w:val="center"/>
            </w:pPr>
            <w:r>
              <w:rPr>
                <w:rFonts w:ascii="Times New Roman" w:hAnsi="Times New Roman" w:eastAsia="宋体"/>
                <w:b w:val="0"/>
                <w:i w:val="0"/>
                <w:sz w:val="17"/>
              </w:rPr>
              <w:t>+12.3***</w:t>
            </w:r>
          </w:p>
        </w:tc>
        <w:tc>
          <w:tcPr>
            <w:tcW w:w="2438" w:type="dxa"/>
            <w:vAlign w:val="center"/>
          </w:tcPr>
          <w:p w14:paraId="2E938327">
            <w:pPr>
              <w:spacing w:before="20" w:after="20" w:line="259" w:lineRule="auto"/>
              <w:ind w:firstLine="0"/>
              <w:jc w:val="center"/>
            </w:pPr>
            <w:r>
              <w:rPr>
                <w:rFonts w:ascii="Times New Roman" w:hAnsi="Times New Roman" w:eastAsia="宋体"/>
                <w:b w:val="0"/>
                <w:i w:val="0"/>
                <w:sz w:val="17"/>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3F050853">
            <w:pPr>
              <w:spacing w:before="20" w:after="20" w:line="259" w:lineRule="auto"/>
              <w:ind w:firstLine="0"/>
              <w:jc w:val="center"/>
            </w:pPr>
            <w:r>
              <w:rPr>
                <w:rFonts w:ascii="Times New Roman" w:hAnsi="Times New Roman" w:eastAsia="宋体"/>
                <w:b w:val="0"/>
                <w:i w:val="0"/>
                <w:sz w:val="17"/>
              </w:rPr>
              <w:t>策略偏离指数</w:t>
            </w:r>
          </w:p>
        </w:tc>
        <w:tc>
          <w:tcPr>
            <w:tcW w:w="2438" w:type="dxa"/>
            <w:vAlign w:val="center"/>
          </w:tcPr>
          <w:p w14:paraId="181D1FBB">
            <w:pPr>
              <w:spacing w:before="20" w:after="20" w:line="259" w:lineRule="auto"/>
              <w:ind w:firstLine="0"/>
              <w:jc w:val="center"/>
            </w:pPr>
            <w:r>
              <w:rPr>
                <w:rFonts w:ascii="Times New Roman" w:hAnsi="Times New Roman" w:eastAsia="宋体"/>
                <w:b w:val="0"/>
                <w:i w:val="0"/>
                <w:sz w:val="17"/>
              </w:rPr>
              <w:t>-9.4***</w:t>
            </w:r>
          </w:p>
        </w:tc>
        <w:tc>
          <w:tcPr>
            <w:tcW w:w="2438" w:type="dxa"/>
            <w:vAlign w:val="center"/>
          </w:tcPr>
          <w:p w14:paraId="1A574C0E">
            <w:pPr>
              <w:spacing w:before="20" w:after="20" w:line="259" w:lineRule="auto"/>
              <w:ind w:firstLine="0"/>
              <w:jc w:val="center"/>
            </w:pPr>
            <w:r>
              <w:rPr>
                <w:rFonts w:ascii="Times New Roman" w:hAnsi="Times New Roman" w:eastAsia="宋体"/>
                <w:b w:val="0"/>
                <w:i w:val="0"/>
                <w:sz w:val="17"/>
              </w:rPr>
              <w:t>-3.5***</w:t>
            </w:r>
          </w:p>
        </w:tc>
        <w:tc>
          <w:tcPr>
            <w:tcW w:w="2438" w:type="dxa"/>
            <w:vAlign w:val="center"/>
          </w:tcPr>
          <w:p w14:paraId="2900F330">
            <w:pPr>
              <w:spacing w:before="20" w:after="20" w:line="259" w:lineRule="auto"/>
              <w:ind w:firstLine="0"/>
              <w:jc w:val="center"/>
            </w:pPr>
            <w:r>
              <w:rPr>
                <w:rFonts w:ascii="Times New Roman" w:hAnsi="Times New Roman" w:eastAsia="宋体"/>
                <w:b w:val="0"/>
                <w:i w:val="0"/>
                <w:sz w:val="17"/>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43B721BD">
            <w:pPr>
              <w:spacing w:before="20" w:after="20" w:line="259" w:lineRule="auto"/>
              <w:ind w:firstLine="0"/>
              <w:jc w:val="center"/>
            </w:pPr>
            <w:r>
              <w:rPr>
                <w:rFonts w:ascii="Times New Roman" w:hAnsi="Times New Roman" w:eastAsia="宋体"/>
                <w:b w:val="0"/>
                <w:i w:val="0"/>
                <w:sz w:val="17"/>
              </w:rPr>
              <w:t>交易趋同度LSV</w:t>
            </w:r>
          </w:p>
        </w:tc>
        <w:tc>
          <w:tcPr>
            <w:tcW w:w="2438" w:type="dxa"/>
            <w:vAlign w:val="center"/>
          </w:tcPr>
          <w:p w14:paraId="6708507B">
            <w:pPr>
              <w:spacing w:before="20" w:after="20" w:line="259" w:lineRule="auto"/>
              <w:ind w:firstLine="0"/>
              <w:jc w:val="center"/>
            </w:pPr>
            <w:r>
              <w:rPr>
                <w:rFonts w:ascii="Times New Roman" w:hAnsi="Times New Roman" w:eastAsia="宋体"/>
                <w:b w:val="0"/>
                <w:i w:val="0"/>
                <w:sz w:val="17"/>
              </w:rPr>
              <w:t>+7.0***</w:t>
            </w:r>
          </w:p>
        </w:tc>
        <w:tc>
          <w:tcPr>
            <w:tcW w:w="2438" w:type="dxa"/>
            <w:vAlign w:val="center"/>
          </w:tcPr>
          <w:p w14:paraId="499A09EB">
            <w:pPr>
              <w:spacing w:before="20" w:after="20" w:line="259" w:lineRule="auto"/>
              <w:ind w:firstLine="0"/>
              <w:jc w:val="center"/>
            </w:pPr>
            <w:r>
              <w:rPr>
                <w:rFonts w:ascii="Times New Roman" w:hAnsi="Times New Roman" w:eastAsia="宋体"/>
                <w:b w:val="0"/>
                <w:i w:val="0"/>
                <w:sz w:val="17"/>
              </w:rPr>
              <w:t>+4.3***</w:t>
            </w:r>
          </w:p>
        </w:tc>
        <w:tc>
          <w:tcPr>
            <w:tcW w:w="2438" w:type="dxa"/>
            <w:vAlign w:val="center"/>
          </w:tcPr>
          <w:p w14:paraId="35B1B5F9">
            <w:pPr>
              <w:spacing w:before="20" w:after="20" w:line="259" w:lineRule="auto"/>
              <w:ind w:firstLine="0"/>
              <w:jc w:val="center"/>
            </w:pPr>
            <w:r>
              <w:rPr>
                <w:rFonts w:ascii="Times New Roman" w:hAnsi="Times New Roman" w:eastAsia="宋体"/>
                <w:b w:val="0"/>
                <w:i w:val="0"/>
                <w:sz w:val="17"/>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vAlign w:val="center"/>
          </w:tcPr>
          <w:p w14:paraId="1DAD15C9">
            <w:pPr>
              <w:spacing w:before="20" w:after="20" w:line="259" w:lineRule="auto"/>
              <w:ind w:firstLine="0"/>
              <w:jc w:val="center"/>
            </w:pPr>
            <w:r>
              <w:rPr>
                <w:rFonts w:ascii="Times New Roman" w:hAnsi="Times New Roman" w:eastAsia="宋体"/>
                <w:b w:val="0"/>
                <w:i w:val="0"/>
                <w:sz w:val="17"/>
              </w:rPr>
              <w:t>换手率</w:t>
            </w:r>
          </w:p>
        </w:tc>
        <w:tc>
          <w:tcPr>
            <w:tcW w:w="2438" w:type="dxa"/>
            <w:vAlign w:val="center"/>
          </w:tcPr>
          <w:p w14:paraId="56FDE1B6">
            <w:pPr>
              <w:spacing w:before="20" w:after="20" w:line="259" w:lineRule="auto"/>
              <w:ind w:firstLine="0"/>
              <w:jc w:val="center"/>
            </w:pPr>
            <w:r>
              <w:rPr>
                <w:rFonts w:ascii="Times New Roman" w:hAnsi="Times New Roman" w:eastAsia="宋体"/>
                <w:b w:val="0"/>
                <w:i w:val="0"/>
                <w:sz w:val="17"/>
              </w:rPr>
              <w:t>+3.2***</w:t>
            </w:r>
          </w:p>
        </w:tc>
        <w:tc>
          <w:tcPr>
            <w:tcW w:w="2438" w:type="dxa"/>
            <w:vAlign w:val="center"/>
          </w:tcPr>
          <w:p w14:paraId="535AB9A1">
            <w:pPr>
              <w:spacing w:before="20" w:after="20" w:line="259" w:lineRule="auto"/>
              <w:ind w:firstLine="0"/>
              <w:jc w:val="center"/>
            </w:pPr>
            <w:r>
              <w:rPr>
                <w:rFonts w:ascii="Times New Roman" w:hAnsi="Times New Roman" w:eastAsia="宋体"/>
                <w:b w:val="0"/>
                <w:i w:val="0"/>
                <w:sz w:val="17"/>
              </w:rPr>
              <w:t>+3.3***</w:t>
            </w:r>
          </w:p>
        </w:tc>
        <w:tc>
          <w:tcPr>
            <w:tcW w:w="2438" w:type="dxa"/>
            <w:vAlign w:val="center"/>
          </w:tcPr>
          <w:p w14:paraId="4A64DD36">
            <w:pPr>
              <w:spacing w:before="20" w:after="20" w:line="259" w:lineRule="auto"/>
              <w:ind w:firstLine="0"/>
              <w:jc w:val="center"/>
            </w:pPr>
            <w:r>
              <w:rPr>
                <w:rFonts w:ascii="Times New Roman" w:hAnsi="Times New Roman" w:eastAsia="宋体"/>
                <w:b w:val="0"/>
                <w:i w:val="0"/>
                <w:sz w:val="17"/>
              </w:rPr>
              <w:t>+1.1</w:t>
            </w:r>
          </w:p>
        </w:tc>
      </w:tr>
    </w:tbl>
    <w:p w14:paraId="4E7B9A08">
      <w:pPr>
        <w:spacing w:before="40" w:after="120" w:line="276" w:lineRule="auto"/>
      </w:pPr>
      <w:r>
        <w:rPr>
          <w:rFonts w:ascii="Times New Roman" w:hAnsi="Times New Roman" w:eastAsia="楷体"/>
          <w:b w:val="0"/>
          <w:i w:val="0"/>
          <w:sz w:val="17"/>
        </w:rPr>
        <w:t>注：单元格为基金层横截面 OLS 的 t 值与显著性；三列回归样本随因变量覆盖率微调（N≈352–362）。简单超额不剔因子、风格暴露留在残差，仅作参照。</w:t>
      </w:r>
    </w:p>
    <w:p w14:paraId="4CB5A140">
      <w:pPr>
        <w:spacing w:after="80" w:line="324" w:lineRule="auto"/>
        <w:ind w:firstLine="480"/>
      </w:pPr>
      <w:r>
        <w:t>切换因变量揭示两类信息：其一，稳健真信号——核心行为指标在三种口径下方向与显著性高度一致，是归并主力；其二，风格伪信号——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权重。锚定效应并入认知维度，有效捕捉经理在历史高点参考点上的沉没成本偏差。</w:t>
      </w:r>
    </w:p>
    <w:p w14:paraId="5757CD1A">
      <w:pPr>
        <w:spacing w:after="80" w:line="324" w:lineRule="auto"/>
        <w:ind w:firstLine="480"/>
      </w:pPr>
      <w:r>
        <w:rPr>
          <w:rFonts w:ascii="Times New Roman" w:hAnsi="Times New Roman" w:eastAsia="宋体"/>
          <w:b w:val="0"/>
          <w:i w:val="0"/>
          <w:sz w:val="24"/>
        </w:rPr>
        <w:t>把六个维度得分同时放入回归（主回归方程）：</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t>六个得分均为 z 分尺度，β_d 可横向比较；联立中 β_d 即净效应——交易执行与基本面优势转不显著，是信号被相关性最高的维度吸收（净效应消失不等于无效，单维结果见表 5）。维度间两两相关最高 0.629（风险应对与认知能力）、最低 0.183，无严重多重共线性（图 1）。</w:t>
      </w:r>
    </w:p>
    <w:p w14:paraId="4CB1E58B">
      <w:pPr>
        <w:spacing w:before="120" w:after="40"/>
        <w:jc w:val="center"/>
      </w:pPr>
      <w:r>
        <w:drawing>
          <wp:inline distT="0" distB="0" distL="114300" distR="114300">
            <wp:extent cx="5471795" cy="3793490"/>
            <wp:effectExtent l="0" t="0" r="146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793687"/>
                    </a:xfrm>
                    <a:prstGeom prst="rect">
                      <a:avLst/>
                    </a:prstGeom>
                  </pic:spPr>
                </pic:pic>
              </a:graphicData>
            </a:graphic>
          </wp:inline>
        </w:drawing>
      </w:r>
    </w:p>
    <w:p w14:paraId="25BD82ED">
      <w:pPr>
        <w:spacing w:after="200"/>
        <w:jc w:val="center"/>
      </w:pPr>
      <w:r>
        <w:rPr>
          <w:rFonts w:ascii="Times New Roman" w:hAnsi="Times New Roman" w:eastAsia="黑体"/>
          <w:b/>
          <w:i w:val="0"/>
          <w:sz w:val="18"/>
        </w:rPr>
        <w:t>图 1  六个能力维度的两两相关系数热力图</w:t>
      </w:r>
    </w:p>
    <w:p w14:paraId="24C9DF09">
      <w:pPr>
        <w:keepNext/>
        <w:spacing w:before="120" w:after="60" w:line="312" w:lineRule="auto"/>
        <w:jc w:val="center"/>
      </w:pPr>
      <w:r>
        <w:t>表 5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041" w:type="dxa"/>
            <w:shd w:val="clear" w:color="auto" w:fill="F2F4F5"/>
            <w:vAlign w:val="center"/>
          </w:tcPr>
          <w:p w14:paraId="25F7579A">
            <w:pPr>
              <w:spacing w:before="20" w:after="20" w:line="259" w:lineRule="auto"/>
              <w:ind w:firstLine="0"/>
              <w:jc w:val="center"/>
            </w:pPr>
            <w:r>
              <w:rPr>
                <w:rFonts w:ascii="Times New Roman" w:hAnsi="Times New Roman" w:eastAsia="黑体"/>
                <w:b/>
                <w:i w:val="0"/>
                <w:sz w:val="18"/>
              </w:rPr>
              <w:t>维度</w:t>
            </w:r>
          </w:p>
        </w:tc>
        <w:tc>
          <w:tcPr>
            <w:tcW w:w="1474" w:type="dxa"/>
            <w:shd w:val="clear" w:color="auto" w:fill="F2F4F5"/>
            <w:vAlign w:val="center"/>
          </w:tcPr>
          <w:p w14:paraId="62FBA7F1">
            <w:pPr>
              <w:spacing w:before="20" w:after="20" w:line="259" w:lineRule="auto"/>
              <w:ind w:firstLine="0"/>
              <w:jc w:val="center"/>
            </w:pPr>
            <w:r>
              <w:rPr>
                <w:rFonts w:ascii="Times New Roman" w:hAnsi="Times New Roman" w:eastAsia="黑体"/>
                <w:b/>
                <w:i w:val="0"/>
                <w:sz w:val="18"/>
              </w:rPr>
              <w:t>单维系数</w:t>
            </w:r>
          </w:p>
        </w:tc>
        <w:tc>
          <w:tcPr>
            <w:tcW w:w="1361" w:type="dxa"/>
            <w:shd w:val="clear" w:color="auto" w:fill="F2F4F5"/>
            <w:vAlign w:val="center"/>
          </w:tcPr>
          <w:p w14:paraId="1C36B1AD">
            <w:pPr>
              <w:spacing w:before="20" w:after="20" w:line="259" w:lineRule="auto"/>
              <w:ind w:firstLine="0"/>
              <w:jc w:val="center"/>
            </w:pPr>
            <w:r>
              <w:rPr>
                <w:rFonts w:ascii="Times New Roman" w:hAnsi="Times New Roman" w:eastAsia="黑体"/>
                <w:b/>
                <w:i w:val="0"/>
                <w:sz w:val="18"/>
              </w:rPr>
              <w:t>单维 t</w:t>
            </w:r>
          </w:p>
        </w:tc>
        <w:tc>
          <w:tcPr>
            <w:tcW w:w="1361" w:type="dxa"/>
            <w:shd w:val="clear" w:color="auto" w:fill="F2F4F5"/>
            <w:vAlign w:val="center"/>
          </w:tcPr>
          <w:p w14:paraId="5BC2C9E0">
            <w:pPr>
              <w:spacing w:before="20" w:after="20" w:line="259" w:lineRule="auto"/>
              <w:ind w:firstLine="0"/>
              <w:jc w:val="center"/>
            </w:pPr>
            <w:r>
              <w:rPr>
                <w:rFonts w:ascii="Times New Roman" w:hAnsi="Times New Roman" w:eastAsia="黑体"/>
                <w:b/>
                <w:i w:val="0"/>
                <w:sz w:val="18"/>
              </w:rPr>
              <w:t>单维 R²</w:t>
            </w:r>
          </w:p>
        </w:tc>
        <w:tc>
          <w:tcPr>
            <w:tcW w:w="1474" w:type="dxa"/>
            <w:shd w:val="clear" w:color="auto" w:fill="F2F4F5"/>
            <w:vAlign w:val="center"/>
          </w:tcPr>
          <w:p w14:paraId="66301A58">
            <w:pPr>
              <w:spacing w:before="20" w:after="20" w:line="259" w:lineRule="auto"/>
              <w:ind w:firstLine="0"/>
              <w:jc w:val="center"/>
            </w:pPr>
            <w:r>
              <w:rPr>
                <w:rFonts w:ascii="Times New Roman" w:hAnsi="Times New Roman" w:eastAsia="黑体"/>
                <w:b/>
                <w:i w:val="0"/>
                <w:sz w:val="18"/>
              </w:rPr>
              <w:t>联立系数</w:t>
            </w:r>
          </w:p>
        </w:tc>
        <w:tc>
          <w:tcPr>
            <w:tcW w:w="1361" w:type="dxa"/>
            <w:shd w:val="clear" w:color="auto" w:fill="F2F4F5"/>
            <w:vAlign w:val="center"/>
          </w:tcPr>
          <w:p w14:paraId="12165F46">
            <w:pPr>
              <w:spacing w:before="20" w:after="20" w:line="259" w:lineRule="auto"/>
              <w:ind w:firstLine="0"/>
              <w:jc w:val="center"/>
            </w:pPr>
            <w:r>
              <w:rPr>
                <w:rFonts w:ascii="Times New Roman" w:hAnsi="Times New Roman" w:eastAsia="黑体"/>
                <w:b/>
                <w:i w:val="0"/>
                <w:sz w:val="18"/>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vAlign w:val="center"/>
          </w:tcPr>
          <w:p w14:paraId="1D2A513B">
            <w:pPr>
              <w:spacing w:before="20" w:after="20" w:line="259" w:lineRule="auto"/>
              <w:ind w:firstLine="0"/>
              <w:jc w:val="center"/>
            </w:pPr>
            <w:r>
              <w:rPr>
                <w:rFonts w:ascii="Times New Roman" w:hAnsi="Times New Roman" w:eastAsia="宋体"/>
                <w:b w:val="0"/>
                <w:i w:val="0"/>
                <w:sz w:val="18"/>
              </w:rPr>
              <w:t>基本面优势</w:t>
            </w:r>
          </w:p>
        </w:tc>
        <w:tc>
          <w:tcPr>
            <w:tcW w:w="1474" w:type="dxa"/>
            <w:vAlign w:val="center"/>
          </w:tcPr>
          <w:p w14:paraId="4170D06A">
            <w:pPr>
              <w:spacing w:before="20" w:after="20" w:line="259" w:lineRule="auto"/>
              <w:ind w:firstLine="0"/>
              <w:jc w:val="center"/>
            </w:pPr>
            <w:r>
              <w:rPr>
                <w:rFonts w:ascii="Times New Roman" w:hAnsi="Times New Roman" w:eastAsia="宋体"/>
                <w:b w:val="0"/>
                <w:i w:val="0"/>
                <w:sz w:val="18"/>
              </w:rPr>
              <w:t>0.0040</w:t>
            </w:r>
          </w:p>
        </w:tc>
        <w:tc>
          <w:tcPr>
            <w:tcW w:w="1361" w:type="dxa"/>
            <w:vAlign w:val="center"/>
          </w:tcPr>
          <w:p w14:paraId="6890247F">
            <w:pPr>
              <w:spacing w:before="20" w:after="20" w:line="259" w:lineRule="auto"/>
              <w:ind w:firstLine="0"/>
              <w:jc w:val="center"/>
            </w:pPr>
            <w:r>
              <w:rPr>
                <w:rFonts w:ascii="Times New Roman" w:hAnsi="Times New Roman" w:eastAsia="宋体"/>
                <w:b w:val="0"/>
                <w:i w:val="0"/>
                <w:sz w:val="18"/>
              </w:rPr>
              <w:t>2.86***</w:t>
            </w:r>
          </w:p>
        </w:tc>
        <w:tc>
          <w:tcPr>
            <w:tcW w:w="1361" w:type="dxa"/>
            <w:vAlign w:val="center"/>
          </w:tcPr>
          <w:p w14:paraId="5AE2F2D8">
            <w:pPr>
              <w:spacing w:before="20" w:after="20" w:line="259" w:lineRule="auto"/>
              <w:ind w:firstLine="0"/>
              <w:jc w:val="center"/>
            </w:pPr>
            <w:r>
              <w:rPr>
                <w:rFonts w:ascii="Times New Roman" w:hAnsi="Times New Roman" w:eastAsia="宋体"/>
                <w:b w:val="0"/>
                <w:i w:val="0"/>
                <w:sz w:val="18"/>
              </w:rPr>
              <w:t>0.0222</w:t>
            </w:r>
          </w:p>
        </w:tc>
        <w:tc>
          <w:tcPr>
            <w:tcW w:w="1474" w:type="dxa"/>
            <w:vAlign w:val="center"/>
          </w:tcPr>
          <w:p w14:paraId="529FD59B">
            <w:pPr>
              <w:spacing w:before="20" w:after="20" w:line="259" w:lineRule="auto"/>
              <w:ind w:firstLine="0"/>
              <w:jc w:val="center"/>
            </w:pPr>
            <w:r>
              <w:rPr>
                <w:rFonts w:ascii="Times New Roman" w:hAnsi="Times New Roman" w:eastAsia="宋体"/>
                <w:b w:val="0"/>
                <w:i w:val="0"/>
                <w:sz w:val="18"/>
              </w:rPr>
              <w:t>-0.0008</w:t>
            </w:r>
          </w:p>
        </w:tc>
        <w:tc>
          <w:tcPr>
            <w:tcW w:w="1361" w:type="dxa"/>
            <w:vAlign w:val="center"/>
          </w:tcPr>
          <w:p w14:paraId="7F36C61E">
            <w:pPr>
              <w:spacing w:before="20" w:after="20" w:line="259" w:lineRule="auto"/>
              <w:ind w:firstLine="0"/>
              <w:jc w:val="center"/>
            </w:pPr>
            <w:r>
              <w:rPr>
                <w:rFonts w:ascii="Times New Roman" w:hAnsi="Times New Roman" w:eastAsia="宋体"/>
                <w:b w:val="0"/>
                <w:i w:val="0"/>
                <w:sz w:val="18"/>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vAlign w:val="center"/>
          </w:tcPr>
          <w:p w14:paraId="623ECCEB">
            <w:pPr>
              <w:spacing w:before="20" w:after="20" w:line="259" w:lineRule="auto"/>
              <w:ind w:firstLine="0"/>
              <w:jc w:val="center"/>
            </w:pPr>
            <w:r>
              <w:rPr>
                <w:rFonts w:ascii="Times New Roman" w:hAnsi="Times New Roman" w:eastAsia="宋体"/>
                <w:b w:val="0"/>
                <w:i w:val="0"/>
                <w:sz w:val="18"/>
              </w:rPr>
              <w:t>认知能力</w:t>
            </w:r>
          </w:p>
        </w:tc>
        <w:tc>
          <w:tcPr>
            <w:tcW w:w="1474" w:type="dxa"/>
            <w:vAlign w:val="center"/>
          </w:tcPr>
          <w:p w14:paraId="42324512">
            <w:pPr>
              <w:spacing w:before="20" w:after="20" w:line="259" w:lineRule="auto"/>
              <w:ind w:firstLine="0"/>
              <w:jc w:val="center"/>
            </w:pPr>
            <w:r>
              <w:rPr>
                <w:rFonts w:ascii="Times New Roman" w:hAnsi="Times New Roman" w:eastAsia="宋体"/>
                <w:b w:val="0"/>
                <w:i w:val="0"/>
                <w:sz w:val="18"/>
              </w:rPr>
              <w:t>0.0179</w:t>
            </w:r>
          </w:p>
        </w:tc>
        <w:tc>
          <w:tcPr>
            <w:tcW w:w="1361" w:type="dxa"/>
            <w:vAlign w:val="center"/>
          </w:tcPr>
          <w:p w14:paraId="629BBF45">
            <w:pPr>
              <w:spacing w:before="20" w:after="20" w:line="259" w:lineRule="auto"/>
              <w:ind w:firstLine="0"/>
              <w:jc w:val="center"/>
            </w:pPr>
            <w:r>
              <w:rPr>
                <w:rFonts w:ascii="Times New Roman" w:hAnsi="Times New Roman" w:eastAsia="宋体"/>
                <w:b w:val="0"/>
                <w:i w:val="0"/>
                <w:sz w:val="18"/>
              </w:rPr>
              <w:t>8.15***</w:t>
            </w:r>
          </w:p>
        </w:tc>
        <w:tc>
          <w:tcPr>
            <w:tcW w:w="1361" w:type="dxa"/>
            <w:vAlign w:val="center"/>
          </w:tcPr>
          <w:p w14:paraId="48243511">
            <w:pPr>
              <w:spacing w:before="20" w:after="20" w:line="259" w:lineRule="auto"/>
              <w:ind w:firstLine="0"/>
              <w:jc w:val="center"/>
            </w:pPr>
            <w:r>
              <w:rPr>
                <w:rFonts w:ascii="Times New Roman" w:hAnsi="Times New Roman" w:eastAsia="宋体"/>
                <w:b w:val="0"/>
                <w:i w:val="0"/>
                <w:sz w:val="18"/>
              </w:rPr>
              <w:t>0.2030</w:t>
            </w:r>
          </w:p>
        </w:tc>
        <w:tc>
          <w:tcPr>
            <w:tcW w:w="1474" w:type="dxa"/>
            <w:vAlign w:val="center"/>
          </w:tcPr>
          <w:p w14:paraId="2703B408">
            <w:pPr>
              <w:spacing w:before="20" w:after="20" w:line="259" w:lineRule="auto"/>
              <w:ind w:firstLine="0"/>
              <w:jc w:val="center"/>
            </w:pPr>
            <w:r>
              <w:rPr>
                <w:rFonts w:ascii="Times New Roman" w:hAnsi="Times New Roman" w:eastAsia="宋体"/>
                <w:b w:val="0"/>
                <w:i w:val="0"/>
                <w:sz w:val="18"/>
              </w:rPr>
              <w:t>0.0093</w:t>
            </w:r>
          </w:p>
        </w:tc>
        <w:tc>
          <w:tcPr>
            <w:tcW w:w="1361" w:type="dxa"/>
            <w:vAlign w:val="center"/>
          </w:tcPr>
          <w:p w14:paraId="24204757">
            <w:pPr>
              <w:spacing w:before="20" w:after="20" w:line="259" w:lineRule="auto"/>
              <w:ind w:firstLine="0"/>
              <w:jc w:val="center"/>
            </w:pPr>
            <w:r>
              <w:rPr>
                <w:rFonts w:ascii="Times New Roman" w:hAnsi="Times New Roman" w:eastAsia="宋体"/>
                <w:b w:val="0"/>
                <w:i w:val="0"/>
                <w:sz w:val="18"/>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vAlign w:val="center"/>
          </w:tcPr>
          <w:p w14:paraId="4D4745CB">
            <w:pPr>
              <w:spacing w:before="20" w:after="20" w:line="259" w:lineRule="auto"/>
              <w:ind w:firstLine="0"/>
              <w:jc w:val="center"/>
            </w:pPr>
            <w:r>
              <w:rPr>
                <w:rFonts w:ascii="Times New Roman" w:hAnsi="Times New Roman" w:eastAsia="宋体"/>
                <w:b w:val="0"/>
                <w:i w:val="0"/>
                <w:sz w:val="18"/>
              </w:rPr>
              <w:t>配置选择能力</w:t>
            </w:r>
          </w:p>
        </w:tc>
        <w:tc>
          <w:tcPr>
            <w:tcW w:w="1474" w:type="dxa"/>
            <w:vAlign w:val="center"/>
          </w:tcPr>
          <w:p w14:paraId="313A1480">
            <w:pPr>
              <w:spacing w:before="20" w:after="20" w:line="259" w:lineRule="auto"/>
              <w:ind w:firstLine="0"/>
              <w:jc w:val="center"/>
            </w:pPr>
            <w:r>
              <w:rPr>
                <w:rFonts w:ascii="Times New Roman" w:hAnsi="Times New Roman" w:eastAsia="宋体"/>
                <w:b w:val="0"/>
                <w:i w:val="0"/>
                <w:sz w:val="18"/>
              </w:rPr>
              <w:t>0.0065</w:t>
            </w:r>
          </w:p>
        </w:tc>
        <w:tc>
          <w:tcPr>
            <w:tcW w:w="1361" w:type="dxa"/>
            <w:vAlign w:val="center"/>
          </w:tcPr>
          <w:p w14:paraId="65C994E8">
            <w:pPr>
              <w:spacing w:before="20" w:after="20" w:line="259" w:lineRule="auto"/>
              <w:ind w:firstLine="0"/>
              <w:jc w:val="center"/>
            </w:pPr>
            <w:r>
              <w:rPr>
                <w:rFonts w:ascii="Times New Roman" w:hAnsi="Times New Roman" w:eastAsia="宋体"/>
                <w:b w:val="0"/>
                <w:i w:val="0"/>
                <w:sz w:val="18"/>
              </w:rPr>
              <w:t>4.22***</w:t>
            </w:r>
          </w:p>
        </w:tc>
        <w:tc>
          <w:tcPr>
            <w:tcW w:w="1361" w:type="dxa"/>
            <w:vAlign w:val="center"/>
          </w:tcPr>
          <w:p w14:paraId="1F0D7D56">
            <w:pPr>
              <w:spacing w:before="20" w:after="20" w:line="259" w:lineRule="auto"/>
              <w:ind w:firstLine="0"/>
              <w:jc w:val="center"/>
            </w:pPr>
            <w:r>
              <w:rPr>
                <w:rFonts w:ascii="Times New Roman" w:hAnsi="Times New Roman" w:eastAsia="宋体"/>
                <w:b w:val="0"/>
                <w:i w:val="0"/>
                <w:sz w:val="18"/>
              </w:rPr>
              <w:t>0.1202</w:t>
            </w:r>
          </w:p>
        </w:tc>
        <w:tc>
          <w:tcPr>
            <w:tcW w:w="1474" w:type="dxa"/>
            <w:vAlign w:val="center"/>
          </w:tcPr>
          <w:p w14:paraId="23237806">
            <w:pPr>
              <w:spacing w:before="20" w:after="20" w:line="259" w:lineRule="auto"/>
              <w:ind w:firstLine="0"/>
              <w:jc w:val="center"/>
            </w:pPr>
            <w:r>
              <w:rPr>
                <w:rFonts w:ascii="Times New Roman" w:hAnsi="Times New Roman" w:eastAsia="宋体"/>
                <w:b w:val="0"/>
                <w:i w:val="0"/>
                <w:sz w:val="18"/>
              </w:rPr>
              <w:t>0.0041</w:t>
            </w:r>
          </w:p>
        </w:tc>
        <w:tc>
          <w:tcPr>
            <w:tcW w:w="1361" w:type="dxa"/>
            <w:vAlign w:val="center"/>
          </w:tcPr>
          <w:p w14:paraId="7B3FA592">
            <w:pPr>
              <w:spacing w:before="20" w:after="20" w:line="259" w:lineRule="auto"/>
              <w:ind w:firstLine="0"/>
              <w:jc w:val="center"/>
            </w:pPr>
            <w:r>
              <w:rPr>
                <w:rFonts w:ascii="Times New Roman" w:hAnsi="Times New Roman" w:eastAsia="宋体"/>
                <w:b w:val="0"/>
                <w:i w:val="0"/>
                <w:sz w:val="18"/>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vAlign w:val="center"/>
          </w:tcPr>
          <w:p w14:paraId="279CB191">
            <w:pPr>
              <w:spacing w:before="20" w:after="20" w:line="259" w:lineRule="auto"/>
              <w:ind w:firstLine="0"/>
              <w:jc w:val="center"/>
            </w:pPr>
            <w:r>
              <w:rPr>
                <w:rFonts w:ascii="Times New Roman" w:hAnsi="Times New Roman" w:eastAsia="宋体"/>
                <w:b w:val="0"/>
                <w:i w:val="0"/>
                <w:sz w:val="18"/>
              </w:rPr>
              <w:t>风险应对能力</w:t>
            </w:r>
          </w:p>
        </w:tc>
        <w:tc>
          <w:tcPr>
            <w:tcW w:w="1474" w:type="dxa"/>
            <w:vAlign w:val="center"/>
          </w:tcPr>
          <w:p w14:paraId="57C0AA46">
            <w:pPr>
              <w:spacing w:before="20" w:after="20" w:line="259" w:lineRule="auto"/>
              <w:ind w:firstLine="0"/>
              <w:jc w:val="center"/>
            </w:pPr>
            <w:r>
              <w:rPr>
                <w:rFonts w:ascii="Times New Roman" w:hAnsi="Times New Roman" w:eastAsia="宋体"/>
                <w:b w:val="0"/>
                <w:i w:val="0"/>
                <w:sz w:val="18"/>
              </w:rPr>
              <w:t>0.0138</w:t>
            </w:r>
          </w:p>
        </w:tc>
        <w:tc>
          <w:tcPr>
            <w:tcW w:w="1361" w:type="dxa"/>
            <w:vAlign w:val="center"/>
          </w:tcPr>
          <w:p w14:paraId="33F96716">
            <w:pPr>
              <w:spacing w:before="20" w:after="20" w:line="259" w:lineRule="auto"/>
              <w:ind w:firstLine="0"/>
              <w:jc w:val="center"/>
            </w:pPr>
            <w:r>
              <w:rPr>
                <w:rFonts w:ascii="Times New Roman" w:hAnsi="Times New Roman" w:eastAsia="宋体"/>
                <w:b w:val="0"/>
                <w:i w:val="0"/>
                <w:sz w:val="18"/>
              </w:rPr>
              <w:t>7.03***</w:t>
            </w:r>
          </w:p>
        </w:tc>
        <w:tc>
          <w:tcPr>
            <w:tcW w:w="1361" w:type="dxa"/>
            <w:vAlign w:val="center"/>
          </w:tcPr>
          <w:p w14:paraId="44A4660D">
            <w:pPr>
              <w:spacing w:before="20" w:after="20" w:line="259" w:lineRule="auto"/>
              <w:ind w:firstLine="0"/>
              <w:jc w:val="center"/>
            </w:pPr>
            <w:r>
              <w:rPr>
                <w:rFonts w:ascii="Times New Roman" w:hAnsi="Times New Roman" w:eastAsia="宋体"/>
                <w:b w:val="0"/>
                <w:i w:val="0"/>
                <w:sz w:val="18"/>
              </w:rPr>
              <w:t>0.2012</w:t>
            </w:r>
          </w:p>
        </w:tc>
        <w:tc>
          <w:tcPr>
            <w:tcW w:w="1474" w:type="dxa"/>
            <w:vAlign w:val="center"/>
          </w:tcPr>
          <w:p w14:paraId="016FBB3D">
            <w:pPr>
              <w:spacing w:before="20" w:after="20" w:line="259" w:lineRule="auto"/>
              <w:ind w:firstLine="0"/>
              <w:jc w:val="center"/>
            </w:pPr>
            <w:r>
              <w:rPr>
                <w:rFonts w:ascii="Times New Roman" w:hAnsi="Times New Roman" w:eastAsia="宋体"/>
                <w:b w:val="0"/>
                <w:i w:val="0"/>
                <w:sz w:val="18"/>
              </w:rPr>
              <w:t>0.0089</w:t>
            </w:r>
          </w:p>
        </w:tc>
        <w:tc>
          <w:tcPr>
            <w:tcW w:w="1361" w:type="dxa"/>
            <w:vAlign w:val="center"/>
          </w:tcPr>
          <w:p w14:paraId="721A2476">
            <w:pPr>
              <w:spacing w:before="20" w:after="20" w:line="259" w:lineRule="auto"/>
              <w:ind w:firstLine="0"/>
              <w:jc w:val="center"/>
            </w:pPr>
            <w:r>
              <w:rPr>
                <w:rFonts w:ascii="Times New Roman" w:hAnsi="Times New Roman" w:eastAsia="宋体"/>
                <w:b w:val="0"/>
                <w:i w:val="0"/>
                <w:sz w:val="18"/>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vAlign w:val="center"/>
          </w:tcPr>
          <w:p w14:paraId="4FF4BA6D">
            <w:pPr>
              <w:spacing w:before="20" w:after="20" w:line="259" w:lineRule="auto"/>
              <w:ind w:firstLine="0"/>
              <w:jc w:val="center"/>
            </w:pPr>
            <w:r>
              <w:rPr>
                <w:rFonts w:ascii="Times New Roman" w:hAnsi="Times New Roman" w:eastAsia="宋体"/>
                <w:b w:val="0"/>
                <w:i w:val="0"/>
                <w:sz w:val="18"/>
              </w:rPr>
              <w:t>风险转化能力</w:t>
            </w:r>
          </w:p>
        </w:tc>
        <w:tc>
          <w:tcPr>
            <w:tcW w:w="1474" w:type="dxa"/>
            <w:vAlign w:val="center"/>
          </w:tcPr>
          <w:p w14:paraId="05FBBD8C">
            <w:pPr>
              <w:spacing w:before="20" w:after="20" w:line="259" w:lineRule="auto"/>
              <w:ind w:firstLine="0"/>
              <w:jc w:val="center"/>
            </w:pPr>
            <w:r>
              <w:rPr>
                <w:rFonts w:ascii="Times New Roman" w:hAnsi="Times New Roman" w:eastAsia="宋体"/>
                <w:b w:val="0"/>
                <w:i w:val="0"/>
                <w:sz w:val="18"/>
              </w:rPr>
              <w:t>0.0145</w:t>
            </w:r>
          </w:p>
        </w:tc>
        <w:tc>
          <w:tcPr>
            <w:tcW w:w="1361" w:type="dxa"/>
            <w:vAlign w:val="center"/>
          </w:tcPr>
          <w:p w14:paraId="36004335">
            <w:pPr>
              <w:spacing w:before="20" w:after="20" w:line="259" w:lineRule="auto"/>
              <w:ind w:firstLine="0"/>
              <w:jc w:val="center"/>
            </w:pPr>
            <w:r>
              <w:rPr>
                <w:rFonts w:ascii="Times New Roman" w:hAnsi="Times New Roman" w:eastAsia="宋体"/>
                <w:b w:val="0"/>
                <w:i w:val="0"/>
                <w:sz w:val="18"/>
              </w:rPr>
              <w:t>6.87***</w:t>
            </w:r>
          </w:p>
        </w:tc>
        <w:tc>
          <w:tcPr>
            <w:tcW w:w="1361" w:type="dxa"/>
            <w:vAlign w:val="center"/>
          </w:tcPr>
          <w:p w14:paraId="7AA57779">
            <w:pPr>
              <w:spacing w:before="20" w:after="20" w:line="259" w:lineRule="auto"/>
              <w:ind w:firstLine="0"/>
              <w:jc w:val="center"/>
            </w:pPr>
            <w:r>
              <w:rPr>
                <w:rFonts w:ascii="Times New Roman" w:hAnsi="Times New Roman" w:eastAsia="宋体"/>
                <w:b w:val="0"/>
                <w:i w:val="0"/>
                <w:sz w:val="18"/>
              </w:rPr>
              <w:t>0.2845</w:t>
            </w:r>
          </w:p>
        </w:tc>
        <w:tc>
          <w:tcPr>
            <w:tcW w:w="1474" w:type="dxa"/>
            <w:vAlign w:val="center"/>
          </w:tcPr>
          <w:p w14:paraId="75C87566">
            <w:pPr>
              <w:spacing w:before="20" w:after="20" w:line="259" w:lineRule="auto"/>
              <w:ind w:firstLine="0"/>
              <w:jc w:val="center"/>
            </w:pPr>
            <w:r>
              <w:rPr>
                <w:rFonts w:ascii="Times New Roman" w:hAnsi="Times New Roman" w:eastAsia="宋体"/>
                <w:b w:val="0"/>
                <w:i w:val="0"/>
                <w:sz w:val="18"/>
              </w:rPr>
              <w:t>0.0128</w:t>
            </w:r>
          </w:p>
        </w:tc>
        <w:tc>
          <w:tcPr>
            <w:tcW w:w="1361" w:type="dxa"/>
            <w:vAlign w:val="center"/>
          </w:tcPr>
          <w:p w14:paraId="6467AF4D">
            <w:pPr>
              <w:spacing w:before="20" w:after="20" w:line="259" w:lineRule="auto"/>
              <w:ind w:firstLine="0"/>
              <w:jc w:val="center"/>
            </w:pPr>
            <w:r>
              <w:rPr>
                <w:rFonts w:ascii="Times New Roman" w:hAnsi="Times New Roman" w:eastAsia="宋体"/>
                <w:b w:val="0"/>
                <w:i w:val="0"/>
                <w:sz w:val="18"/>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vAlign w:val="center"/>
          </w:tcPr>
          <w:p w14:paraId="23BC69D3">
            <w:pPr>
              <w:spacing w:before="20" w:after="20" w:line="259" w:lineRule="auto"/>
              <w:ind w:firstLine="0"/>
              <w:jc w:val="center"/>
            </w:pPr>
            <w:r>
              <w:rPr>
                <w:rFonts w:ascii="Times New Roman" w:hAnsi="Times New Roman" w:eastAsia="宋体"/>
                <w:b w:val="0"/>
                <w:i w:val="0"/>
                <w:sz w:val="18"/>
              </w:rPr>
              <w:t>交易执行能力</w:t>
            </w:r>
          </w:p>
        </w:tc>
        <w:tc>
          <w:tcPr>
            <w:tcW w:w="1474" w:type="dxa"/>
            <w:vAlign w:val="center"/>
          </w:tcPr>
          <w:p w14:paraId="2D09A644">
            <w:pPr>
              <w:spacing w:before="20" w:after="20" w:line="259" w:lineRule="auto"/>
              <w:ind w:firstLine="0"/>
              <w:jc w:val="center"/>
            </w:pPr>
            <w:r>
              <w:rPr>
                <w:rFonts w:ascii="Times New Roman" w:hAnsi="Times New Roman" w:eastAsia="宋体"/>
                <w:b w:val="0"/>
                <w:i w:val="0"/>
                <w:sz w:val="18"/>
              </w:rPr>
              <w:t>0.0051</w:t>
            </w:r>
          </w:p>
        </w:tc>
        <w:tc>
          <w:tcPr>
            <w:tcW w:w="1361" w:type="dxa"/>
            <w:vAlign w:val="center"/>
          </w:tcPr>
          <w:p w14:paraId="573E567D">
            <w:pPr>
              <w:spacing w:before="20" w:after="20" w:line="259" w:lineRule="auto"/>
              <w:ind w:firstLine="0"/>
              <w:jc w:val="center"/>
            </w:pPr>
            <w:r>
              <w:rPr>
                <w:rFonts w:ascii="Times New Roman" w:hAnsi="Times New Roman" w:eastAsia="宋体"/>
                <w:b w:val="0"/>
                <w:i w:val="0"/>
                <w:sz w:val="18"/>
              </w:rPr>
              <w:t>3.20***</w:t>
            </w:r>
          </w:p>
        </w:tc>
        <w:tc>
          <w:tcPr>
            <w:tcW w:w="1361" w:type="dxa"/>
            <w:vAlign w:val="center"/>
          </w:tcPr>
          <w:p w14:paraId="60C5F5DD">
            <w:pPr>
              <w:spacing w:before="20" w:after="20" w:line="259" w:lineRule="auto"/>
              <w:ind w:firstLine="0"/>
              <w:jc w:val="center"/>
            </w:pPr>
            <w:r>
              <w:rPr>
                <w:rFonts w:ascii="Times New Roman" w:hAnsi="Times New Roman" w:eastAsia="宋体"/>
                <w:b w:val="0"/>
                <w:i w:val="0"/>
                <w:sz w:val="18"/>
              </w:rPr>
              <w:t>0.0823</w:t>
            </w:r>
          </w:p>
        </w:tc>
        <w:tc>
          <w:tcPr>
            <w:tcW w:w="1474" w:type="dxa"/>
            <w:vAlign w:val="center"/>
          </w:tcPr>
          <w:p w14:paraId="7B661C46">
            <w:pPr>
              <w:spacing w:before="20" w:after="20" w:line="259" w:lineRule="auto"/>
              <w:ind w:firstLine="0"/>
              <w:jc w:val="center"/>
            </w:pPr>
            <w:r>
              <w:rPr>
                <w:rFonts w:ascii="Times New Roman" w:hAnsi="Times New Roman" w:eastAsia="宋体"/>
                <w:b w:val="0"/>
                <w:i w:val="0"/>
                <w:sz w:val="18"/>
              </w:rPr>
              <w:t>0.0018</w:t>
            </w:r>
          </w:p>
        </w:tc>
        <w:tc>
          <w:tcPr>
            <w:tcW w:w="1361" w:type="dxa"/>
            <w:vAlign w:val="center"/>
          </w:tcPr>
          <w:p w14:paraId="4CF51524">
            <w:pPr>
              <w:spacing w:before="20" w:after="20" w:line="259" w:lineRule="auto"/>
              <w:ind w:firstLine="0"/>
              <w:jc w:val="center"/>
            </w:pPr>
            <w:r>
              <w:rPr>
                <w:rFonts w:ascii="Times New Roman" w:hAnsi="Times New Roman" w:eastAsia="宋体"/>
                <w:b w:val="0"/>
                <w:i w:val="0"/>
                <w:sz w:val="18"/>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vAlign w:val="center"/>
          </w:tcPr>
          <w:p w14:paraId="4D8584C9">
            <w:pPr>
              <w:spacing w:before="20" w:after="20" w:line="259" w:lineRule="auto"/>
              <w:ind w:firstLine="0"/>
              <w:jc w:val="center"/>
            </w:pPr>
            <w:r>
              <w:rPr>
                <w:rFonts w:ascii="Times New Roman" w:hAnsi="Times New Roman" w:eastAsia="宋体"/>
                <w:b w:val="0"/>
                <w:i w:val="0"/>
                <w:sz w:val="18"/>
              </w:rPr>
              <w:t>综合能力</w:t>
            </w:r>
          </w:p>
        </w:tc>
        <w:tc>
          <w:tcPr>
            <w:tcW w:w="1474" w:type="dxa"/>
            <w:vAlign w:val="center"/>
          </w:tcPr>
          <w:p w14:paraId="72477253">
            <w:pPr>
              <w:spacing w:before="20" w:after="20" w:line="259" w:lineRule="auto"/>
              <w:ind w:firstLine="0"/>
              <w:jc w:val="center"/>
            </w:pPr>
            <w:r>
              <w:rPr>
                <w:rFonts w:ascii="Times New Roman" w:hAnsi="Times New Roman" w:eastAsia="宋体"/>
                <w:b w:val="0"/>
                <w:i w:val="0"/>
                <w:sz w:val="18"/>
              </w:rPr>
              <w:t>0.0450</w:t>
            </w:r>
          </w:p>
        </w:tc>
        <w:tc>
          <w:tcPr>
            <w:tcW w:w="1361" w:type="dxa"/>
            <w:vAlign w:val="center"/>
          </w:tcPr>
          <w:p w14:paraId="6B3C0824">
            <w:pPr>
              <w:spacing w:before="20" w:after="20" w:line="259" w:lineRule="auto"/>
              <w:ind w:firstLine="0"/>
              <w:jc w:val="center"/>
            </w:pPr>
            <w:r>
              <w:rPr>
                <w:rFonts w:ascii="Times New Roman" w:hAnsi="Times New Roman" w:eastAsia="宋体"/>
                <w:b w:val="0"/>
                <w:i w:val="0"/>
                <w:sz w:val="18"/>
              </w:rPr>
              <w:t>11.05***</w:t>
            </w:r>
          </w:p>
        </w:tc>
        <w:tc>
          <w:tcPr>
            <w:tcW w:w="1361" w:type="dxa"/>
            <w:vAlign w:val="center"/>
          </w:tcPr>
          <w:p w14:paraId="1299BFE9">
            <w:pPr>
              <w:spacing w:before="20" w:after="20" w:line="259" w:lineRule="auto"/>
              <w:ind w:firstLine="0"/>
              <w:jc w:val="center"/>
            </w:pPr>
            <w:r>
              <w:rPr>
                <w:rFonts w:ascii="Times New Roman" w:hAnsi="Times New Roman" w:eastAsia="宋体"/>
                <w:b w:val="0"/>
                <w:i w:val="0"/>
                <w:sz w:val="18"/>
              </w:rPr>
              <w:t>0.4011</w:t>
            </w:r>
          </w:p>
        </w:tc>
        <w:tc>
          <w:tcPr>
            <w:tcW w:w="1474" w:type="dxa"/>
            <w:vAlign w:val="center"/>
          </w:tcPr>
          <w:p w14:paraId="1C2C6F08">
            <w:pPr>
              <w:spacing w:before="20" w:after="20" w:line="259" w:lineRule="auto"/>
              <w:ind w:firstLine="0"/>
              <w:jc w:val="center"/>
            </w:pPr>
            <w:r>
              <w:rPr>
                <w:rFonts w:ascii="Times New Roman" w:hAnsi="Times New Roman" w:eastAsia="宋体"/>
                <w:b w:val="0"/>
                <w:i w:val="0"/>
                <w:sz w:val="18"/>
              </w:rPr>
              <w:t>—</w:t>
            </w:r>
          </w:p>
        </w:tc>
        <w:tc>
          <w:tcPr>
            <w:tcW w:w="1361" w:type="dxa"/>
            <w:vAlign w:val="center"/>
          </w:tcPr>
          <w:p w14:paraId="7423833F">
            <w:pPr>
              <w:spacing w:before="20" w:after="20" w:line="259" w:lineRule="auto"/>
              <w:ind w:firstLine="0"/>
              <w:jc w:val="center"/>
            </w:pPr>
            <w:r>
              <w:rPr>
                <w:rFonts w:ascii="Times New Roman" w:hAnsi="Times New Roman" w:eastAsia="宋体"/>
                <w:b w:val="0"/>
                <w:i w:val="0"/>
                <w:sz w:val="18"/>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rPr>
          <w:rFonts w:ascii="Times New Roman" w:hAnsi="Times New Roman" w:eastAsia="宋体"/>
          <w:b w:val="0"/>
          <w:i w:val="0"/>
          <w:sz w:val="24"/>
        </w:rPr>
        <w:t>能力分对收益的预测效果直观显著（图 2）：按综合能力五等分，FF5 alpha 自 Q1 的 0.51% 单调攀升至 Q5 的 3.85%，头尾差达 3.34 个百分点（t=11.24）；原始季度收益亦严格单调。复合能力得分展现出对未来业绩极强的穿透识别与区分度。</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pPr>
      <w:r>
        <w:rPr>
          <w:rFonts w:ascii="Times New Roman" w:hAnsi="Times New Roman" w:eastAsia="黑体"/>
          <w:b/>
          <w:i w:val="0"/>
          <w:sz w:val="18"/>
        </w:rPr>
        <w:t>图 2  按综合能力五等分的组合超额收益（FF5 alpha，季均）</w:t>
      </w:r>
    </w:p>
    <w:p w14:paraId="327388F2">
      <w:pPr>
        <w:keepNext/>
        <w:spacing w:before="120" w:after="60" w:line="312" w:lineRule="auto"/>
        <w:jc w:val="center"/>
      </w:pPr>
      <w:r>
        <w:t>表 6  入选指标的详细显著性（左：OLS 横截面；右：季度面板）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268" w:type="dxa"/>
            <w:shd w:val="clear" w:color="auto" w:fill="F2F4F5"/>
            <w:vAlign w:val="center"/>
          </w:tcPr>
          <w:p w14:paraId="1C725BD6">
            <w:pPr>
              <w:spacing w:before="20" w:after="20" w:line="259" w:lineRule="auto"/>
              <w:ind w:firstLine="0"/>
              <w:jc w:val="center"/>
            </w:pPr>
            <w:r>
              <w:rPr>
                <w:rFonts w:ascii="Times New Roman" w:hAnsi="Times New Roman" w:eastAsia="黑体"/>
                <w:b/>
                <w:i w:val="0"/>
                <w:sz w:val="18"/>
              </w:rPr>
              <w:t>指标</w:t>
            </w:r>
          </w:p>
        </w:tc>
        <w:tc>
          <w:tcPr>
            <w:tcW w:w="1984" w:type="dxa"/>
            <w:shd w:val="clear" w:color="auto" w:fill="F2F4F5"/>
            <w:vAlign w:val="center"/>
          </w:tcPr>
          <w:p w14:paraId="2CE2595A">
            <w:pPr>
              <w:spacing w:before="20" w:after="20" w:line="259" w:lineRule="auto"/>
              <w:ind w:firstLine="0"/>
              <w:jc w:val="center"/>
            </w:pPr>
            <w:r>
              <w:rPr>
                <w:rFonts w:ascii="Times New Roman" w:hAnsi="Times New Roman" w:eastAsia="黑体"/>
                <w:b/>
                <w:i w:val="0"/>
                <w:sz w:val="18"/>
              </w:rPr>
              <w:t>OLS 横截面</w:t>
            </w:r>
          </w:p>
        </w:tc>
        <w:tc>
          <w:tcPr>
            <w:tcW w:w="1984" w:type="dxa"/>
            <w:shd w:val="clear" w:color="auto" w:fill="F2F4F5"/>
            <w:vAlign w:val="center"/>
          </w:tcPr>
          <w:p w14:paraId="131FCF72">
            <w:pPr>
              <w:spacing w:before="20" w:after="20" w:line="259" w:lineRule="auto"/>
              <w:ind w:firstLine="0"/>
              <w:jc w:val="center"/>
            </w:pPr>
            <w:r>
              <w:rPr>
                <w:rFonts w:ascii="Times New Roman" w:hAnsi="Times New Roman" w:eastAsia="黑体"/>
                <w:b/>
                <w:i w:val="0"/>
                <w:sz w:val="18"/>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24FAFA52">
            <w:pPr>
              <w:spacing w:before="20" w:after="20" w:line="259" w:lineRule="auto"/>
              <w:ind w:firstLine="0"/>
              <w:jc w:val="center"/>
            </w:pPr>
            <w:r>
              <w:rPr>
                <w:rFonts w:ascii="Times New Roman" w:hAnsi="Times New Roman" w:eastAsia="宋体"/>
                <w:b w:val="0"/>
                <w:i w:val="0"/>
                <w:sz w:val="18"/>
              </w:rPr>
              <w:t>mgr_total_tenure_v2</w:t>
            </w:r>
            <w:r>
              <w:rPr>
                <w:rFonts w:ascii="Times New Roman" w:hAnsi="Times New Roman" w:eastAsia="宋体"/>
                <w:b w:val="0"/>
                <w:i w:val="0"/>
                <w:sz w:val="18"/>
              </w:rPr>
              <w:br w:type="textWrapping"/>
            </w:r>
            <w:r>
              <w:rPr>
                <w:rFonts w:ascii="Times New Roman" w:hAnsi="Times New Roman" w:eastAsia="宋体"/>
                <w:b w:val="0"/>
                <w:i w:val="0"/>
                <w:sz w:val="18"/>
              </w:rPr>
              <w:t>任职年限</w:t>
            </w:r>
          </w:p>
        </w:tc>
        <w:tc>
          <w:tcPr>
            <w:tcW w:w="1984" w:type="dxa"/>
            <w:vAlign w:val="center"/>
          </w:tcPr>
          <w:p w14:paraId="67890712">
            <w:pPr>
              <w:spacing w:before="20" w:after="20" w:line="259" w:lineRule="auto"/>
              <w:ind w:firstLine="0"/>
              <w:jc w:val="center"/>
            </w:pPr>
            <w:r>
              <w:rPr>
                <w:rFonts w:ascii="Times New Roman" w:hAnsi="Times New Roman" w:eastAsia="宋体"/>
                <w:b w:val="0"/>
                <w:i w:val="0"/>
                <w:sz w:val="18"/>
              </w:rPr>
              <w:t>t=-1.85*</w:t>
            </w:r>
          </w:p>
        </w:tc>
        <w:tc>
          <w:tcPr>
            <w:tcW w:w="1984" w:type="dxa"/>
            <w:vAlign w:val="center"/>
          </w:tcPr>
          <w:p w14:paraId="1C32AB60">
            <w:pPr>
              <w:spacing w:before="20" w:after="20" w:line="259" w:lineRule="auto"/>
              <w:ind w:firstLine="0"/>
              <w:jc w:val="center"/>
            </w:pPr>
            <w:r>
              <w:rPr>
                <w:rFonts w:ascii="Times New Roman" w:hAnsi="Times New Roman" w:eastAsia="宋体"/>
                <w:b w:val="0"/>
                <w:i w:val="0"/>
                <w:sz w:val="18"/>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2DC96B6B">
            <w:pPr>
              <w:spacing w:before="20" w:after="20" w:line="259" w:lineRule="auto"/>
              <w:ind w:firstLine="0"/>
              <w:jc w:val="center"/>
            </w:pPr>
            <w:r>
              <w:rPr>
                <w:rFonts w:ascii="Times New Roman" w:hAnsi="Times New Roman" w:eastAsia="宋体"/>
                <w:b w:val="0"/>
                <w:i w:val="0"/>
                <w:sz w:val="18"/>
              </w:rPr>
              <w:t>log_fund_age</w:t>
            </w:r>
            <w:r>
              <w:rPr>
                <w:rFonts w:ascii="Times New Roman" w:hAnsi="Times New Roman" w:eastAsia="宋体"/>
                <w:b w:val="0"/>
                <w:i w:val="0"/>
                <w:sz w:val="18"/>
              </w:rPr>
              <w:br w:type="textWrapping"/>
            </w:r>
            <w:r>
              <w:rPr>
                <w:rFonts w:ascii="Times New Roman" w:hAnsi="Times New Roman" w:eastAsia="宋体"/>
                <w:b w:val="0"/>
                <w:i w:val="0"/>
                <w:sz w:val="18"/>
              </w:rPr>
              <w:t>基金年龄</w:t>
            </w:r>
          </w:p>
        </w:tc>
        <w:tc>
          <w:tcPr>
            <w:tcW w:w="1984" w:type="dxa"/>
            <w:vAlign w:val="center"/>
          </w:tcPr>
          <w:p w14:paraId="5E7446F4">
            <w:pPr>
              <w:spacing w:before="20" w:after="20" w:line="259" w:lineRule="auto"/>
              <w:ind w:firstLine="0"/>
              <w:jc w:val="center"/>
            </w:pPr>
            <w:r>
              <w:rPr>
                <w:rFonts w:ascii="Times New Roman" w:hAnsi="Times New Roman" w:eastAsia="宋体"/>
                <w:b w:val="0"/>
                <w:i w:val="0"/>
                <w:sz w:val="18"/>
              </w:rPr>
              <w:t>t=-4.13***</w:t>
            </w:r>
          </w:p>
        </w:tc>
        <w:tc>
          <w:tcPr>
            <w:tcW w:w="1984" w:type="dxa"/>
            <w:vAlign w:val="center"/>
          </w:tcPr>
          <w:p w14:paraId="7B23E5D0">
            <w:pPr>
              <w:spacing w:before="20" w:after="20" w:line="259" w:lineRule="auto"/>
              <w:ind w:firstLine="0"/>
              <w:jc w:val="center"/>
            </w:pPr>
            <w:r>
              <w:rPr>
                <w:rFonts w:ascii="Times New Roman" w:hAnsi="Times New Roman" w:eastAsia="宋体"/>
                <w:b w:val="0"/>
                <w:i w:val="0"/>
                <w:sz w:val="18"/>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150DF4A9">
            <w:pPr>
              <w:spacing w:before="20" w:after="20" w:line="259" w:lineRule="auto"/>
              <w:ind w:firstLine="0"/>
              <w:jc w:val="center"/>
            </w:pPr>
            <w:r>
              <w:rPr>
                <w:rFonts w:ascii="Times New Roman" w:hAnsi="Times New Roman" w:eastAsia="宋体"/>
                <w:b w:val="0"/>
                <w:i w:val="0"/>
                <w:sz w:val="18"/>
              </w:rPr>
              <w:t>log_aum</w:t>
            </w:r>
            <w:r>
              <w:rPr>
                <w:rFonts w:ascii="Times New Roman" w:hAnsi="Times New Roman" w:eastAsia="宋体"/>
                <w:b w:val="0"/>
                <w:i w:val="0"/>
                <w:sz w:val="18"/>
              </w:rPr>
              <w:br w:type="textWrapping"/>
            </w:r>
            <w:r>
              <w:rPr>
                <w:rFonts w:ascii="Times New Roman" w:hAnsi="Times New Roman" w:eastAsia="宋体"/>
                <w:b w:val="0"/>
                <w:i w:val="0"/>
                <w:sz w:val="18"/>
              </w:rPr>
              <w:t>基金规模</w:t>
            </w:r>
          </w:p>
        </w:tc>
        <w:tc>
          <w:tcPr>
            <w:tcW w:w="1984" w:type="dxa"/>
            <w:vAlign w:val="center"/>
          </w:tcPr>
          <w:p w14:paraId="61942B8E">
            <w:pPr>
              <w:spacing w:before="20" w:after="20" w:line="259" w:lineRule="auto"/>
              <w:ind w:firstLine="0"/>
              <w:jc w:val="center"/>
            </w:pPr>
            <w:r>
              <w:rPr>
                <w:rFonts w:ascii="Times New Roman" w:hAnsi="Times New Roman" w:eastAsia="宋体"/>
                <w:b w:val="0"/>
                <w:i w:val="0"/>
                <w:sz w:val="18"/>
              </w:rPr>
              <w:t>t=-1.16</w:t>
            </w:r>
          </w:p>
        </w:tc>
        <w:tc>
          <w:tcPr>
            <w:tcW w:w="1984" w:type="dxa"/>
            <w:vAlign w:val="center"/>
          </w:tcPr>
          <w:p w14:paraId="12D1A38C">
            <w:pPr>
              <w:spacing w:before="20" w:after="20" w:line="259" w:lineRule="auto"/>
              <w:ind w:firstLine="0"/>
              <w:jc w:val="center"/>
            </w:pPr>
            <w:r>
              <w:rPr>
                <w:rFonts w:ascii="Times New Roman" w:hAnsi="Times New Roman" w:eastAsia="宋体"/>
                <w:b w:val="0"/>
                <w:i w:val="0"/>
                <w:sz w:val="18"/>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0F718611">
            <w:pPr>
              <w:spacing w:before="20" w:after="20" w:line="259" w:lineRule="auto"/>
              <w:ind w:firstLine="0"/>
              <w:jc w:val="center"/>
            </w:pPr>
            <w:r>
              <w:rPr>
                <w:rFonts w:ascii="Times New Roman" w:hAnsi="Times New Roman" w:eastAsia="宋体"/>
                <w:b w:val="0"/>
                <w:i w:val="0"/>
                <w:sz w:val="18"/>
              </w:rPr>
              <w:t>risk_asym</w:t>
            </w:r>
            <w:r>
              <w:rPr>
                <w:rFonts w:ascii="Times New Roman" w:hAnsi="Times New Roman" w:eastAsia="宋体"/>
                <w:b w:val="0"/>
                <w:i w:val="0"/>
                <w:sz w:val="18"/>
              </w:rPr>
              <w:br w:type="textWrapping"/>
            </w:r>
            <w:r>
              <w:rPr>
                <w:rFonts w:ascii="Times New Roman" w:hAnsi="Times New Roman" w:eastAsia="宋体"/>
                <w:b w:val="0"/>
                <w:i w:val="0"/>
                <w:sz w:val="18"/>
              </w:rPr>
              <w:t>风险偏好不对称性</w:t>
            </w:r>
          </w:p>
        </w:tc>
        <w:tc>
          <w:tcPr>
            <w:tcW w:w="1984" w:type="dxa"/>
            <w:vAlign w:val="center"/>
          </w:tcPr>
          <w:p w14:paraId="40E70328">
            <w:pPr>
              <w:spacing w:before="20" w:after="20" w:line="259" w:lineRule="auto"/>
              <w:ind w:firstLine="0"/>
              <w:jc w:val="center"/>
            </w:pPr>
            <w:r>
              <w:rPr>
                <w:rFonts w:ascii="Times New Roman" w:hAnsi="Times New Roman" w:eastAsia="宋体"/>
                <w:b w:val="0"/>
                <w:i w:val="0"/>
                <w:sz w:val="18"/>
              </w:rPr>
              <w:t>t=+2.72***</w:t>
            </w:r>
          </w:p>
        </w:tc>
        <w:tc>
          <w:tcPr>
            <w:tcW w:w="1984" w:type="dxa"/>
            <w:vAlign w:val="center"/>
          </w:tcPr>
          <w:p w14:paraId="7E9A2BAC">
            <w:pPr>
              <w:spacing w:before="20" w:after="20" w:line="259" w:lineRule="auto"/>
              <w:ind w:firstLine="0"/>
              <w:jc w:val="center"/>
            </w:pPr>
            <w:r>
              <w:rPr>
                <w:rFonts w:ascii="Times New Roman" w:hAnsi="Times New Roman" w:eastAsia="宋体"/>
                <w:b w:val="0"/>
                <w:i w:val="0"/>
                <w:sz w:val="18"/>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0F0773E3">
            <w:pPr>
              <w:spacing w:before="20" w:after="20" w:line="259" w:lineRule="auto"/>
              <w:ind w:firstLine="0"/>
              <w:jc w:val="center"/>
            </w:pPr>
            <w:r>
              <w:rPr>
                <w:rFonts w:ascii="Times New Roman" w:hAnsi="Times New Roman" w:eastAsia="宋体"/>
                <w:b w:val="0"/>
                <w:i w:val="0"/>
                <w:sz w:val="18"/>
              </w:rPr>
              <w:t>de</w:t>
            </w:r>
            <w:r>
              <w:rPr>
                <w:rFonts w:ascii="Times New Roman" w:hAnsi="Times New Roman" w:eastAsia="宋体"/>
                <w:b w:val="0"/>
                <w:i w:val="0"/>
                <w:sz w:val="18"/>
              </w:rPr>
              <w:br w:type="textWrapping"/>
            </w:r>
            <w:r>
              <w:rPr>
                <w:rFonts w:ascii="Times New Roman" w:hAnsi="Times New Roman" w:eastAsia="宋体"/>
                <w:b w:val="0"/>
                <w:i w:val="0"/>
                <w:sz w:val="18"/>
              </w:rPr>
              <w:t>处置效应</w:t>
            </w:r>
          </w:p>
        </w:tc>
        <w:tc>
          <w:tcPr>
            <w:tcW w:w="1984" w:type="dxa"/>
            <w:vAlign w:val="center"/>
          </w:tcPr>
          <w:p w14:paraId="05A041F1">
            <w:pPr>
              <w:spacing w:before="20" w:after="20" w:line="259" w:lineRule="auto"/>
              <w:ind w:firstLine="0"/>
              <w:jc w:val="center"/>
            </w:pPr>
            <w:r>
              <w:rPr>
                <w:rFonts w:ascii="Times New Roman" w:hAnsi="Times New Roman" w:eastAsia="宋体"/>
                <w:b w:val="0"/>
                <w:i w:val="0"/>
                <w:sz w:val="18"/>
              </w:rPr>
              <w:t>t=-4.51***</w:t>
            </w:r>
          </w:p>
        </w:tc>
        <w:tc>
          <w:tcPr>
            <w:tcW w:w="1984" w:type="dxa"/>
            <w:vAlign w:val="center"/>
          </w:tcPr>
          <w:p w14:paraId="77EE60E0">
            <w:pPr>
              <w:spacing w:before="20" w:after="20" w:line="259" w:lineRule="auto"/>
              <w:ind w:firstLine="0"/>
              <w:jc w:val="center"/>
            </w:pPr>
            <w:r>
              <w:rPr>
                <w:rFonts w:ascii="Times New Roman" w:hAnsi="Times New Roman" w:eastAsia="宋体"/>
                <w:b w:val="0"/>
                <w:i w:val="0"/>
                <w:sz w:val="18"/>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34CE3DB8">
            <w:pPr>
              <w:spacing w:before="20" w:after="20" w:line="259" w:lineRule="auto"/>
              <w:ind w:firstLine="0"/>
              <w:jc w:val="center"/>
            </w:pPr>
            <w:r>
              <w:rPr>
                <w:rFonts w:ascii="Times New Roman" w:hAnsi="Times New Roman" w:eastAsia="宋体"/>
                <w:b w:val="0"/>
                <w:i w:val="0"/>
                <w:sz w:val="18"/>
              </w:rPr>
              <w:t>oc_conf</w:t>
            </w:r>
            <w:r>
              <w:rPr>
                <w:rFonts w:ascii="Times New Roman" w:hAnsi="Times New Roman" w:eastAsia="宋体"/>
                <w:b w:val="0"/>
                <w:i w:val="0"/>
                <w:sz w:val="18"/>
              </w:rPr>
              <w:br w:type="textWrapping"/>
            </w:r>
            <w:r>
              <w:rPr>
                <w:rFonts w:ascii="Times New Roman" w:hAnsi="Times New Roman" w:eastAsia="宋体"/>
                <w:b w:val="0"/>
                <w:i w:val="0"/>
                <w:sz w:val="18"/>
              </w:rPr>
              <w:t>过度自信（换手×过度交易）</w:t>
            </w:r>
          </w:p>
        </w:tc>
        <w:tc>
          <w:tcPr>
            <w:tcW w:w="1984" w:type="dxa"/>
            <w:vAlign w:val="center"/>
          </w:tcPr>
          <w:p w14:paraId="45DE5ECF">
            <w:pPr>
              <w:spacing w:before="20" w:after="20" w:line="259" w:lineRule="auto"/>
              <w:ind w:firstLine="0"/>
              <w:jc w:val="center"/>
            </w:pPr>
            <w:r>
              <w:rPr>
                <w:rFonts w:ascii="Times New Roman" w:hAnsi="Times New Roman" w:eastAsia="宋体"/>
                <w:b w:val="0"/>
                <w:i w:val="0"/>
                <w:sz w:val="18"/>
              </w:rPr>
              <w:t>t=-4.19***</w:t>
            </w:r>
          </w:p>
        </w:tc>
        <w:tc>
          <w:tcPr>
            <w:tcW w:w="1984" w:type="dxa"/>
            <w:vAlign w:val="center"/>
          </w:tcPr>
          <w:p w14:paraId="7C09033A">
            <w:pPr>
              <w:spacing w:before="20" w:after="20" w:line="259" w:lineRule="auto"/>
              <w:ind w:firstLine="0"/>
              <w:jc w:val="center"/>
            </w:pPr>
            <w:r>
              <w:rPr>
                <w:rFonts w:ascii="Times New Roman" w:hAnsi="Times New Roman" w:eastAsia="宋体"/>
                <w:b w:val="0"/>
                <w:i w:val="0"/>
                <w:sz w:val="18"/>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45B8CC85">
            <w:pPr>
              <w:spacing w:before="20" w:after="20" w:line="259" w:lineRule="auto"/>
              <w:ind w:firstLine="0"/>
              <w:jc w:val="center"/>
            </w:pPr>
            <w:r>
              <w:rPr>
                <w:rFonts w:ascii="Times New Roman" w:hAnsi="Times New Roman" w:eastAsia="宋体"/>
                <w:b w:val="0"/>
                <w:i w:val="0"/>
                <w:sz w:val="18"/>
              </w:rPr>
              <w:t>ICI</w:t>
            </w:r>
            <w:r>
              <w:rPr>
                <w:rFonts w:ascii="Times New Roman" w:hAnsi="Times New Roman" w:eastAsia="宋体"/>
                <w:b w:val="0"/>
                <w:i w:val="0"/>
                <w:sz w:val="18"/>
              </w:rPr>
              <w:br w:type="textWrapping"/>
            </w:r>
            <w:r>
              <w:rPr>
                <w:rFonts w:ascii="Times New Roman" w:hAnsi="Times New Roman" w:eastAsia="宋体"/>
                <w:b w:val="0"/>
                <w:i w:val="0"/>
                <w:sz w:val="18"/>
              </w:rPr>
              <w:t>行业集中度</w:t>
            </w:r>
          </w:p>
        </w:tc>
        <w:tc>
          <w:tcPr>
            <w:tcW w:w="1984" w:type="dxa"/>
            <w:vAlign w:val="center"/>
          </w:tcPr>
          <w:p w14:paraId="54F4A09D">
            <w:pPr>
              <w:spacing w:before="20" w:after="20" w:line="259" w:lineRule="auto"/>
              <w:ind w:firstLine="0"/>
              <w:jc w:val="center"/>
            </w:pPr>
            <w:r>
              <w:rPr>
                <w:rFonts w:ascii="Times New Roman" w:hAnsi="Times New Roman" w:eastAsia="宋体"/>
                <w:b w:val="0"/>
                <w:i w:val="0"/>
                <w:sz w:val="18"/>
              </w:rPr>
              <w:t>t=+4.34***</w:t>
            </w:r>
          </w:p>
        </w:tc>
        <w:tc>
          <w:tcPr>
            <w:tcW w:w="1984" w:type="dxa"/>
            <w:vAlign w:val="center"/>
          </w:tcPr>
          <w:p w14:paraId="520CEFE5">
            <w:pPr>
              <w:spacing w:before="20" w:after="20" w:line="259" w:lineRule="auto"/>
              <w:ind w:firstLine="0"/>
              <w:jc w:val="center"/>
            </w:pPr>
            <w:r>
              <w:rPr>
                <w:rFonts w:ascii="Times New Roman" w:hAnsi="Times New Roman" w:eastAsia="宋体"/>
                <w:b w:val="0"/>
                <w:i w:val="0"/>
                <w:sz w:val="18"/>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55F48076">
            <w:pPr>
              <w:spacing w:before="20" w:after="20" w:line="259" w:lineRule="auto"/>
              <w:ind w:firstLine="0"/>
              <w:jc w:val="center"/>
            </w:pPr>
            <w:r>
              <w:rPr>
                <w:rFonts w:ascii="Times New Roman" w:hAnsi="Times New Roman" w:eastAsia="宋体"/>
                <w:b w:val="0"/>
                <w:i w:val="0"/>
                <w:sz w:val="18"/>
              </w:rPr>
              <w:t>ISDI</w:t>
            </w:r>
            <w:r>
              <w:rPr>
                <w:rFonts w:ascii="Times New Roman" w:hAnsi="Times New Roman" w:eastAsia="宋体"/>
                <w:b w:val="0"/>
                <w:i w:val="0"/>
                <w:sz w:val="18"/>
              </w:rPr>
              <w:br w:type="textWrapping"/>
            </w:r>
            <w:r>
              <w:rPr>
                <w:rFonts w:ascii="Times New Roman" w:hAnsi="Times New Roman" w:eastAsia="宋体"/>
                <w:b w:val="0"/>
                <w:i w:val="0"/>
                <w:sz w:val="18"/>
              </w:rPr>
              <w:t>行业风格漂移指数</w:t>
            </w:r>
          </w:p>
        </w:tc>
        <w:tc>
          <w:tcPr>
            <w:tcW w:w="1984" w:type="dxa"/>
            <w:vAlign w:val="center"/>
          </w:tcPr>
          <w:p w14:paraId="707615CA">
            <w:pPr>
              <w:spacing w:before="20" w:after="20" w:line="259" w:lineRule="auto"/>
              <w:ind w:firstLine="0"/>
              <w:jc w:val="center"/>
            </w:pPr>
            <w:r>
              <w:rPr>
                <w:rFonts w:ascii="Times New Roman" w:hAnsi="Times New Roman" w:eastAsia="宋体"/>
                <w:b w:val="0"/>
                <w:i w:val="0"/>
                <w:sz w:val="18"/>
              </w:rPr>
              <w:t>t=-3.30***</w:t>
            </w:r>
          </w:p>
        </w:tc>
        <w:tc>
          <w:tcPr>
            <w:tcW w:w="1984" w:type="dxa"/>
            <w:vAlign w:val="center"/>
          </w:tcPr>
          <w:p w14:paraId="6CDFC414">
            <w:pPr>
              <w:spacing w:before="20" w:after="20" w:line="259" w:lineRule="auto"/>
              <w:ind w:firstLine="0"/>
              <w:jc w:val="center"/>
            </w:pPr>
            <w:r>
              <w:rPr>
                <w:rFonts w:ascii="Times New Roman" w:hAnsi="Times New Roman" w:eastAsia="宋体"/>
                <w:b w:val="0"/>
                <w:i w:val="0"/>
                <w:sz w:val="18"/>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75B5E616">
            <w:pPr>
              <w:spacing w:before="20" w:after="20" w:line="259" w:lineRule="auto"/>
              <w:ind w:firstLine="0"/>
              <w:jc w:val="center"/>
            </w:pPr>
            <w:r>
              <w:rPr>
                <w:rFonts w:ascii="Times New Roman" w:hAnsi="Times New Roman" w:eastAsia="宋体"/>
                <w:b w:val="0"/>
                <w:i w:val="0"/>
                <w:sz w:val="18"/>
              </w:rPr>
              <w:t>ARG</w:t>
            </w:r>
            <w:r>
              <w:rPr>
                <w:rFonts w:ascii="Times New Roman" w:hAnsi="Times New Roman" w:eastAsia="宋体"/>
                <w:b w:val="0"/>
                <w:i w:val="0"/>
                <w:sz w:val="18"/>
              </w:rPr>
              <w:br w:type="textWrapping"/>
            </w:r>
            <w:r>
              <w:rPr>
                <w:rFonts w:ascii="Times New Roman" w:hAnsi="Times New Roman" w:eastAsia="宋体"/>
                <w:b w:val="0"/>
                <w:i w:val="0"/>
                <w:sz w:val="18"/>
              </w:rPr>
              <w:t>调仓幅度</w:t>
            </w:r>
          </w:p>
        </w:tc>
        <w:tc>
          <w:tcPr>
            <w:tcW w:w="1984" w:type="dxa"/>
            <w:vAlign w:val="center"/>
          </w:tcPr>
          <w:p w14:paraId="4641DF55">
            <w:pPr>
              <w:spacing w:before="20" w:after="20" w:line="259" w:lineRule="auto"/>
              <w:ind w:firstLine="0"/>
              <w:jc w:val="center"/>
            </w:pPr>
            <w:r>
              <w:rPr>
                <w:rFonts w:ascii="Times New Roman" w:hAnsi="Times New Roman" w:eastAsia="宋体"/>
                <w:b w:val="0"/>
                <w:i w:val="0"/>
                <w:sz w:val="18"/>
              </w:rPr>
              <w:t>t=+3.34***</w:t>
            </w:r>
          </w:p>
        </w:tc>
        <w:tc>
          <w:tcPr>
            <w:tcW w:w="1984" w:type="dxa"/>
            <w:vAlign w:val="center"/>
          </w:tcPr>
          <w:p w14:paraId="7E554A21">
            <w:pPr>
              <w:spacing w:before="20" w:after="20" w:line="259" w:lineRule="auto"/>
              <w:ind w:firstLine="0"/>
              <w:jc w:val="center"/>
            </w:pPr>
            <w:r>
              <w:rPr>
                <w:rFonts w:ascii="Times New Roman" w:hAnsi="Times New Roman" w:eastAsia="宋体"/>
                <w:b w:val="0"/>
                <w:i w:val="0"/>
                <w:sz w:val="18"/>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0CE3192B">
            <w:pPr>
              <w:spacing w:before="20" w:after="20" w:line="259" w:lineRule="auto"/>
              <w:ind w:firstLine="0"/>
              <w:jc w:val="center"/>
            </w:pPr>
            <w:r>
              <w:rPr>
                <w:rFonts w:ascii="Times New Roman" w:hAnsi="Times New Roman" w:eastAsia="宋体"/>
                <w:b w:val="0"/>
                <w:i w:val="0"/>
                <w:sz w:val="18"/>
              </w:rPr>
              <w:t>timing</w:t>
            </w:r>
            <w:r>
              <w:rPr>
                <w:rFonts w:ascii="Times New Roman" w:hAnsi="Times New Roman" w:eastAsia="宋体"/>
                <w:b w:val="0"/>
                <w:i w:val="0"/>
                <w:sz w:val="18"/>
              </w:rPr>
              <w:br w:type="textWrapping"/>
            </w:r>
            <w:r>
              <w:rPr>
                <w:rFonts w:ascii="Times New Roman" w:hAnsi="Times New Roman" w:eastAsia="宋体"/>
                <w:b w:val="0"/>
                <w:i w:val="0"/>
                <w:sz w:val="18"/>
              </w:rPr>
              <w:t>下行保护系数（−HM γ）</w:t>
            </w:r>
          </w:p>
        </w:tc>
        <w:tc>
          <w:tcPr>
            <w:tcW w:w="1984" w:type="dxa"/>
            <w:vAlign w:val="center"/>
          </w:tcPr>
          <w:p w14:paraId="4597CD2A">
            <w:pPr>
              <w:spacing w:before="20" w:after="20" w:line="259" w:lineRule="auto"/>
              <w:ind w:firstLine="0"/>
              <w:jc w:val="center"/>
            </w:pPr>
            <w:r>
              <w:rPr>
                <w:rFonts w:ascii="Times New Roman" w:hAnsi="Times New Roman" w:eastAsia="宋体"/>
                <w:b w:val="0"/>
                <w:i w:val="0"/>
                <w:sz w:val="18"/>
              </w:rPr>
              <w:t>t=+5.19***</w:t>
            </w:r>
          </w:p>
        </w:tc>
        <w:tc>
          <w:tcPr>
            <w:tcW w:w="1984" w:type="dxa"/>
            <w:vAlign w:val="center"/>
          </w:tcPr>
          <w:p w14:paraId="4D234FDA">
            <w:pPr>
              <w:spacing w:before="20" w:after="20" w:line="259" w:lineRule="auto"/>
              <w:ind w:firstLine="0"/>
              <w:jc w:val="center"/>
            </w:pPr>
            <w:r>
              <w:rPr>
                <w:rFonts w:ascii="Times New Roman" w:hAnsi="Times New Roman" w:eastAsia="宋体"/>
                <w:b w:val="0"/>
                <w:i w:val="0"/>
                <w:sz w:val="18"/>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0917B340">
            <w:pPr>
              <w:spacing w:before="20" w:after="20" w:line="259" w:lineRule="auto"/>
              <w:ind w:firstLine="0"/>
              <w:jc w:val="center"/>
            </w:pPr>
            <w:r>
              <w:rPr>
                <w:rFonts w:ascii="Times New Roman" w:hAnsi="Times New Roman" w:eastAsia="宋体"/>
                <w:b w:val="0"/>
                <w:i w:val="0"/>
                <w:sz w:val="18"/>
              </w:rPr>
              <w:t>mppm8_lag</w:t>
            </w:r>
            <w:r>
              <w:rPr>
                <w:rFonts w:ascii="Times New Roman" w:hAnsi="Times New Roman" w:eastAsia="宋体"/>
                <w:b w:val="0"/>
                <w:i w:val="0"/>
                <w:sz w:val="18"/>
              </w:rPr>
              <w:br w:type="textWrapping"/>
            </w:r>
            <w:r>
              <w:rPr>
                <w:rFonts w:ascii="Times New Roman" w:hAnsi="Times New Roman" w:eastAsia="宋体"/>
                <w:b w:val="0"/>
                <w:i w:val="0"/>
                <w:sz w:val="18"/>
              </w:rPr>
              <w:t>操纵稳健业绩测度MPPM</w:t>
            </w:r>
          </w:p>
        </w:tc>
        <w:tc>
          <w:tcPr>
            <w:tcW w:w="1984" w:type="dxa"/>
            <w:vAlign w:val="center"/>
          </w:tcPr>
          <w:p w14:paraId="47DCA5D1">
            <w:pPr>
              <w:spacing w:before="20" w:after="20" w:line="259" w:lineRule="auto"/>
              <w:ind w:firstLine="0"/>
              <w:jc w:val="center"/>
            </w:pPr>
            <w:r>
              <w:rPr>
                <w:rFonts w:ascii="Times New Roman" w:hAnsi="Times New Roman" w:eastAsia="宋体"/>
                <w:b w:val="0"/>
                <w:i w:val="0"/>
                <w:sz w:val="18"/>
              </w:rPr>
              <w:t>t=+10.47***</w:t>
            </w:r>
          </w:p>
        </w:tc>
        <w:tc>
          <w:tcPr>
            <w:tcW w:w="1984" w:type="dxa"/>
            <w:vAlign w:val="center"/>
          </w:tcPr>
          <w:p w14:paraId="01ED9718">
            <w:pPr>
              <w:spacing w:before="20" w:after="20" w:line="259" w:lineRule="auto"/>
              <w:ind w:firstLine="0"/>
              <w:jc w:val="center"/>
            </w:pPr>
            <w:r>
              <w:rPr>
                <w:rFonts w:ascii="Times New Roman" w:hAnsi="Times New Roman" w:eastAsia="宋体"/>
                <w:b w:val="0"/>
                <w:i w:val="0"/>
                <w:sz w:val="18"/>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622EB92B">
            <w:pPr>
              <w:spacing w:before="20" w:after="20" w:line="259" w:lineRule="auto"/>
              <w:ind w:firstLine="0"/>
              <w:jc w:val="center"/>
            </w:pPr>
            <w:r>
              <w:rPr>
                <w:rFonts w:ascii="Times New Roman" w:hAnsi="Times New Roman" w:eastAsia="宋体"/>
                <w:b w:val="0"/>
                <w:i w:val="0"/>
                <w:sz w:val="18"/>
              </w:rPr>
              <w:t>sortino8_lag</w:t>
            </w:r>
            <w:r>
              <w:rPr>
                <w:rFonts w:ascii="Times New Roman" w:hAnsi="Times New Roman" w:eastAsia="宋体"/>
                <w:b w:val="0"/>
                <w:i w:val="0"/>
                <w:sz w:val="18"/>
              </w:rPr>
              <w:br w:type="textWrapping"/>
            </w:r>
            <w:r>
              <w:rPr>
                <w:rFonts w:ascii="Times New Roman" w:hAnsi="Times New Roman" w:eastAsia="宋体"/>
                <w:b w:val="0"/>
                <w:i w:val="0"/>
                <w:sz w:val="18"/>
              </w:rPr>
              <w:t>Sortino比率</w:t>
            </w:r>
          </w:p>
        </w:tc>
        <w:tc>
          <w:tcPr>
            <w:tcW w:w="1984" w:type="dxa"/>
            <w:vAlign w:val="center"/>
          </w:tcPr>
          <w:p w14:paraId="7F4F837E">
            <w:pPr>
              <w:spacing w:before="20" w:after="20" w:line="259" w:lineRule="auto"/>
              <w:ind w:firstLine="0"/>
              <w:jc w:val="center"/>
            </w:pPr>
            <w:r>
              <w:rPr>
                <w:rFonts w:ascii="Times New Roman" w:hAnsi="Times New Roman" w:eastAsia="宋体"/>
                <w:b w:val="0"/>
                <w:i w:val="0"/>
                <w:sz w:val="18"/>
              </w:rPr>
              <w:t>t=+3.71***</w:t>
            </w:r>
          </w:p>
        </w:tc>
        <w:tc>
          <w:tcPr>
            <w:tcW w:w="1984" w:type="dxa"/>
            <w:vAlign w:val="center"/>
          </w:tcPr>
          <w:p w14:paraId="52B4EBD9">
            <w:pPr>
              <w:spacing w:before="20" w:after="20" w:line="259" w:lineRule="auto"/>
              <w:ind w:firstLine="0"/>
              <w:jc w:val="center"/>
            </w:pPr>
            <w:r>
              <w:rPr>
                <w:rFonts w:ascii="Times New Roman" w:hAnsi="Times New Roman" w:eastAsia="宋体"/>
                <w:b w:val="0"/>
                <w:i w:val="0"/>
                <w:sz w:val="18"/>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6F9FB472">
            <w:pPr>
              <w:spacing w:before="20" w:after="20" w:line="259" w:lineRule="auto"/>
              <w:ind w:firstLine="0"/>
              <w:jc w:val="center"/>
            </w:pPr>
            <w:r>
              <w:rPr>
                <w:rFonts w:ascii="Times New Roman" w:hAnsi="Times New Roman" w:eastAsia="宋体"/>
                <w:b w:val="0"/>
                <w:i w:val="0"/>
                <w:sz w:val="18"/>
              </w:rPr>
              <w:t>sharpe8_lag</w:t>
            </w:r>
            <w:r>
              <w:rPr>
                <w:rFonts w:ascii="Times New Roman" w:hAnsi="Times New Roman" w:eastAsia="宋体"/>
                <w:b w:val="0"/>
                <w:i w:val="0"/>
                <w:sz w:val="18"/>
              </w:rPr>
              <w:br w:type="textWrapping"/>
            </w:r>
            <w:r>
              <w:rPr>
                <w:rFonts w:ascii="Times New Roman" w:hAnsi="Times New Roman" w:eastAsia="宋体"/>
                <w:b w:val="0"/>
                <w:i w:val="0"/>
                <w:sz w:val="18"/>
              </w:rPr>
              <w:t>Sharpe比率</w:t>
            </w:r>
          </w:p>
        </w:tc>
        <w:tc>
          <w:tcPr>
            <w:tcW w:w="1984" w:type="dxa"/>
            <w:vAlign w:val="center"/>
          </w:tcPr>
          <w:p w14:paraId="418067C2">
            <w:pPr>
              <w:spacing w:before="20" w:after="20" w:line="259" w:lineRule="auto"/>
              <w:ind w:firstLine="0"/>
              <w:jc w:val="center"/>
            </w:pPr>
            <w:r>
              <w:rPr>
                <w:rFonts w:ascii="Times New Roman" w:hAnsi="Times New Roman" w:eastAsia="宋体"/>
                <w:b w:val="0"/>
                <w:i w:val="0"/>
                <w:sz w:val="18"/>
              </w:rPr>
              <w:t>t=+7.88***</w:t>
            </w:r>
          </w:p>
        </w:tc>
        <w:tc>
          <w:tcPr>
            <w:tcW w:w="1984" w:type="dxa"/>
            <w:vAlign w:val="center"/>
          </w:tcPr>
          <w:p w14:paraId="5D3303AF">
            <w:pPr>
              <w:spacing w:before="20" w:after="20" w:line="259" w:lineRule="auto"/>
              <w:ind w:firstLine="0"/>
              <w:jc w:val="center"/>
            </w:pPr>
            <w:r>
              <w:rPr>
                <w:rFonts w:ascii="Times New Roman" w:hAnsi="Times New Roman" w:eastAsia="宋体"/>
                <w:b w:val="0"/>
                <w:i w:val="0"/>
                <w:sz w:val="18"/>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6F819B10">
            <w:pPr>
              <w:spacing w:before="20" w:after="20" w:line="259" w:lineRule="auto"/>
              <w:ind w:firstLine="0"/>
              <w:jc w:val="center"/>
            </w:pPr>
            <w:r>
              <w:rPr>
                <w:rFonts w:ascii="Times New Roman" w:hAnsi="Times New Roman" w:eastAsia="宋体"/>
                <w:b w:val="0"/>
                <w:i w:val="0"/>
                <w:sz w:val="18"/>
              </w:rPr>
              <w:t>SDI</w:t>
            </w:r>
            <w:r>
              <w:rPr>
                <w:rFonts w:ascii="Times New Roman" w:hAnsi="Times New Roman" w:eastAsia="宋体"/>
                <w:b w:val="0"/>
                <w:i w:val="0"/>
                <w:sz w:val="18"/>
              </w:rPr>
              <w:br w:type="textWrapping"/>
            </w:r>
            <w:r>
              <w:rPr>
                <w:rFonts w:ascii="Times New Roman" w:hAnsi="Times New Roman" w:eastAsia="宋体"/>
                <w:b w:val="0"/>
                <w:i w:val="0"/>
                <w:sz w:val="18"/>
              </w:rPr>
              <w:t>策略偏离指数</w:t>
            </w:r>
          </w:p>
        </w:tc>
        <w:tc>
          <w:tcPr>
            <w:tcW w:w="1984" w:type="dxa"/>
            <w:vAlign w:val="center"/>
          </w:tcPr>
          <w:p w14:paraId="6B7610DF">
            <w:pPr>
              <w:spacing w:before="20" w:after="20" w:line="259" w:lineRule="auto"/>
              <w:ind w:firstLine="0"/>
              <w:jc w:val="center"/>
            </w:pPr>
            <w:r>
              <w:rPr>
                <w:rFonts w:ascii="Times New Roman" w:hAnsi="Times New Roman" w:eastAsia="宋体"/>
                <w:b w:val="0"/>
                <w:i w:val="0"/>
                <w:sz w:val="18"/>
              </w:rPr>
              <w:t>t=-2.15**</w:t>
            </w:r>
          </w:p>
        </w:tc>
        <w:tc>
          <w:tcPr>
            <w:tcW w:w="1984" w:type="dxa"/>
            <w:vAlign w:val="center"/>
          </w:tcPr>
          <w:p w14:paraId="51F3EDB8">
            <w:pPr>
              <w:spacing w:before="20" w:after="20" w:line="259" w:lineRule="auto"/>
              <w:ind w:firstLine="0"/>
              <w:jc w:val="center"/>
            </w:pPr>
            <w:r>
              <w:rPr>
                <w:rFonts w:ascii="Times New Roman" w:hAnsi="Times New Roman" w:eastAsia="宋体"/>
                <w:b w:val="0"/>
                <w:i w:val="0"/>
                <w:sz w:val="18"/>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5D8FACC0">
            <w:pPr>
              <w:spacing w:before="20" w:after="20" w:line="259" w:lineRule="auto"/>
              <w:ind w:firstLine="0"/>
              <w:jc w:val="center"/>
            </w:pPr>
            <w:r>
              <w:rPr>
                <w:rFonts w:ascii="Times New Roman" w:hAnsi="Times New Roman" w:eastAsia="宋体"/>
                <w:b w:val="0"/>
                <w:i w:val="0"/>
                <w:sz w:val="18"/>
              </w:rPr>
              <w:t>lsv</w:t>
            </w:r>
            <w:r>
              <w:rPr>
                <w:rFonts w:ascii="Times New Roman" w:hAnsi="Times New Roman" w:eastAsia="宋体"/>
                <w:b w:val="0"/>
                <w:i w:val="0"/>
                <w:sz w:val="18"/>
              </w:rPr>
              <w:br w:type="textWrapping"/>
            </w:r>
            <w:r>
              <w:rPr>
                <w:rFonts w:ascii="Times New Roman" w:hAnsi="Times New Roman" w:eastAsia="宋体"/>
                <w:b w:val="0"/>
                <w:i w:val="0"/>
                <w:sz w:val="18"/>
              </w:rPr>
              <w:t>交易趋同度LSV</w:t>
            </w:r>
          </w:p>
        </w:tc>
        <w:tc>
          <w:tcPr>
            <w:tcW w:w="1984" w:type="dxa"/>
            <w:vAlign w:val="center"/>
          </w:tcPr>
          <w:p w14:paraId="32C799D7">
            <w:pPr>
              <w:spacing w:before="20" w:after="20" w:line="259" w:lineRule="auto"/>
              <w:ind w:firstLine="0"/>
              <w:jc w:val="center"/>
            </w:pPr>
            <w:r>
              <w:rPr>
                <w:rFonts w:ascii="Times New Roman" w:hAnsi="Times New Roman" w:eastAsia="宋体"/>
                <w:b w:val="0"/>
                <w:i w:val="0"/>
                <w:sz w:val="18"/>
              </w:rPr>
              <w:t>t=+2.11**</w:t>
            </w:r>
          </w:p>
        </w:tc>
        <w:tc>
          <w:tcPr>
            <w:tcW w:w="1984" w:type="dxa"/>
            <w:vAlign w:val="center"/>
          </w:tcPr>
          <w:p w14:paraId="5738B3A2">
            <w:pPr>
              <w:spacing w:before="20" w:after="20" w:line="259" w:lineRule="auto"/>
              <w:ind w:firstLine="0"/>
              <w:jc w:val="center"/>
            </w:pPr>
            <w:r>
              <w:rPr>
                <w:rFonts w:ascii="Times New Roman" w:hAnsi="Times New Roman" w:eastAsia="宋体"/>
                <w:b w:val="0"/>
                <w:i w:val="0"/>
                <w:sz w:val="18"/>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vAlign w:val="center"/>
          </w:tcPr>
          <w:p w14:paraId="6D8194A2">
            <w:pPr>
              <w:spacing w:before="20" w:after="20" w:line="259" w:lineRule="auto"/>
              <w:ind w:firstLine="0"/>
              <w:jc w:val="center"/>
            </w:pPr>
            <w:r>
              <w:rPr>
                <w:rFonts w:ascii="Times New Roman" w:hAnsi="Times New Roman" w:eastAsia="宋体"/>
                <w:b w:val="0"/>
                <w:i w:val="0"/>
                <w:sz w:val="18"/>
              </w:rPr>
              <w:t>anchor_high</w:t>
            </w:r>
            <w:r>
              <w:rPr>
                <w:rFonts w:ascii="Times New Roman" w:hAnsi="Times New Roman" w:eastAsia="宋体"/>
                <w:b w:val="0"/>
                <w:i w:val="0"/>
                <w:sz w:val="18"/>
              </w:rPr>
              <w:br w:type="textWrapping"/>
            </w:r>
            <w:r>
              <w:rPr>
                <w:rFonts w:ascii="Times New Roman" w:hAnsi="Times New Roman" w:eastAsia="宋体"/>
                <w:b w:val="0"/>
                <w:i w:val="0"/>
                <w:sz w:val="18"/>
              </w:rPr>
              <w:t>锚定效应</w:t>
            </w:r>
          </w:p>
        </w:tc>
        <w:tc>
          <w:tcPr>
            <w:tcW w:w="1984" w:type="dxa"/>
            <w:vAlign w:val="center"/>
          </w:tcPr>
          <w:p w14:paraId="2F2B3DCD">
            <w:pPr>
              <w:spacing w:before="20" w:after="20" w:line="259" w:lineRule="auto"/>
              <w:ind w:firstLine="0"/>
              <w:jc w:val="center"/>
            </w:pPr>
            <w:r>
              <w:rPr>
                <w:rFonts w:ascii="Times New Roman" w:hAnsi="Times New Roman" w:eastAsia="宋体"/>
                <w:b w:val="0"/>
                <w:i w:val="0"/>
                <w:sz w:val="18"/>
              </w:rPr>
              <w:t>t=+3.22***</w:t>
            </w:r>
          </w:p>
        </w:tc>
        <w:tc>
          <w:tcPr>
            <w:tcW w:w="1984" w:type="dxa"/>
            <w:vAlign w:val="center"/>
          </w:tcPr>
          <w:p w14:paraId="2A4682F0">
            <w:pPr>
              <w:spacing w:before="20" w:after="20" w:line="259" w:lineRule="auto"/>
              <w:ind w:firstLine="0"/>
              <w:jc w:val="center"/>
            </w:pPr>
            <w:r>
              <w:rPr>
                <w:rFonts w:ascii="Times New Roman" w:hAnsi="Times New Roman" w:eastAsia="宋体"/>
                <w:b w:val="0"/>
                <w:i w:val="0"/>
                <w:sz w:val="18"/>
              </w:rPr>
              <w:t>t=+17.60***</w:t>
            </w:r>
          </w:p>
        </w:tc>
      </w:tr>
    </w:tbl>
    <w:p w14:paraId="089FB9D6">
      <w:pPr>
        <w:spacing w:before="40" w:after="120" w:line="276" w:lineRule="auto"/>
      </w:pPr>
      <w: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rPr>
          <w:rFonts w:ascii="Times New Roman" w:hAnsi="Times New Roman" w:eastAsia="宋体"/>
          <w:b w:val="0"/>
          <w:i w:val="0"/>
          <w:sz w:val="24"/>
        </w:rPr>
        <w:t>过度自信与交易趋同度通过三道准入门槛（Q5−Q1 达 1.14、1.40pp），留一法确认同时剔除后分组差仍达 2.92pp（t=+9.33）；锚定效应亦过三道门槛（加控制 t=+3.28、群体差异 +1.13pp），结论稳健。</w:t>
      </w:r>
    </w:p>
    <w:p w14:paraId="76BCA880">
      <w:pPr>
        <w:spacing w:after="80" w:line="324" w:lineRule="auto"/>
        <w:ind w:firstLine="480"/>
      </w:pPr>
      <w:r>
        <w:t>淘汰指标中，“改进主动份额”（AS_improved）横截面显著为负（t=-3.06）而面板单变量显著为正（t=+5.33），符号翻转且受规模驱动。本文以六道检验裁决（表 7，前五道为回归、第六道为群体差异），三证俱在予以剔除，与 Frazzini 等（2016）[25] 结论一致。</w:t>
      </w:r>
    </w:p>
    <w:p w14:paraId="3A524265">
      <w:pPr>
        <w:keepNext/>
        <w:spacing w:before="120" w:after="60" w:line="312" w:lineRule="auto"/>
        <w:jc w:val="center"/>
      </w:pPr>
      <w:r>
        <w:t>表 7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402" w:type="dxa"/>
            <w:shd w:val="clear" w:color="auto" w:fill="F2F4F5"/>
            <w:vAlign w:val="center"/>
          </w:tcPr>
          <w:p w14:paraId="6B9F1CF2">
            <w:pPr>
              <w:spacing w:before="20" w:after="20" w:line="259" w:lineRule="auto"/>
              <w:ind w:firstLine="0"/>
              <w:jc w:val="center"/>
            </w:pPr>
            <w:r>
              <w:rPr>
                <w:rFonts w:ascii="Times New Roman" w:hAnsi="Times New Roman" w:eastAsia="黑体"/>
                <w:b/>
                <w:i w:val="0"/>
                <w:sz w:val="18"/>
              </w:rPr>
              <w:t>口径</w:t>
            </w:r>
          </w:p>
        </w:tc>
        <w:tc>
          <w:tcPr>
            <w:tcW w:w="1474" w:type="dxa"/>
            <w:shd w:val="clear" w:color="auto" w:fill="F2F4F5"/>
            <w:vAlign w:val="center"/>
          </w:tcPr>
          <w:p w14:paraId="4987F523">
            <w:pPr>
              <w:spacing w:before="20" w:after="20" w:line="259" w:lineRule="auto"/>
              <w:ind w:firstLine="0"/>
              <w:jc w:val="center"/>
            </w:pPr>
            <w:r>
              <w:rPr>
                <w:rFonts w:ascii="Times New Roman" w:hAnsi="Times New Roman" w:eastAsia="黑体"/>
                <w:b/>
                <w:i w:val="0"/>
                <w:sz w:val="18"/>
              </w:rPr>
              <w:t>N</w:t>
            </w:r>
          </w:p>
        </w:tc>
        <w:tc>
          <w:tcPr>
            <w:tcW w:w="1587" w:type="dxa"/>
            <w:shd w:val="clear" w:color="auto" w:fill="F2F4F5"/>
            <w:vAlign w:val="center"/>
          </w:tcPr>
          <w:p w14:paraId="324E88EF">
            <w:pPr>
              <w:spacing w:before="20" w:after="20" w:line="259" w:lineRule="auto"/>
              <w:ind w:firstLine="0"/>
              <w:jc w:val="center"/>
            </w:pPr>
            <w:r>
              <w:rPr>
                <w:rFonts w:ascii="Times New Roman" w:hAnsi="Times New Roman" w:eastAsia="黑体"/>
                <w:b/>
                <w:i w:val="0"/>
                <w:sz w:val="18"/>
              </w:rPr>
              <w:t>系数</w:t>
            </w:r>
          </w:p>
        </w:tc>
        <w:tc>
          <w:tcPr>
            <w:tcW w:w="1587" w:type="dxa"/>
            <w:shd w:val="clear" w:color="auto" w:fill="F2F4F5"/>
            <w:vAlign w:val="center"/>
          </w:tcPr>
          <w:p w14:paraId="15C07E90">
            <w:pPr>
              <w:spacing w:before="20" w:after="20" w:line="259" w:lineRule="auto"/>
              <w:ind w:firstLine="0"/>
              <w:jc w:val="center"/>
            </w:pPr>
            <w:r>
              <w:rPr>
                <w:rFonts w:ascii="Times New Roman" w:hAnsi="Times New Roman" w:eastAsia="黑体"/>
                <w:b/>
                <w:i w:val="0"/>
                <w:sz w:val="18"/>
              </w:rPr>
              <w:t>t 值</w:t>
            </w:r>
          </w:p>
        </w:tc>
        <w:tc>
          <w:tcPr>
            <w:tcW w:w="1474" w:type="dxa"/>
            <w:shd w:val="clear" w:color="auto" w:fill="F2F4F5"/>
            <w:vAlign w:val="center"/>
          </w:tcPr>
          <w:p w14:paraId="61D95E6E">
            <w:pPr>
              <w:spacing w:before="20" w:after="20" w:line="259" w:lineRule="auto"/>
              <w:ind w:firstLine="0"/>
              <w:jc w:val="center"/>
            </w:pPr>
            <w:r>
              <w:rPr>
                <w:rFonts w:ascii="Times New Roman" w:hAnsi="Times New Roman" w:eastAsia="黑体"/>
                <w:b/>
                <w:i w:val="0"/>
                <w:sz w:val="18"/>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vAlign w:val="center"/>
          </w:tcPr>
          <w:p w14:paraId="12F28D99">
            <w:pPr>
              <w:spacing w:before="20" w:after="20" w:line="259" w:lineRule="auto"/>
              <w:ind w:firstLine="0"/>
              <w:jc w:val="center"/>
            </w:pPr>
            <w:r>
              <w:rPr>
                <w:rFonts w:ascii="Times New Roman" w:hAnsi="Times New Roman" w:eastAsia="宋体"/>
                <w:b w:val="0"/>
                <w:i w:val="0"/>
                <w:sz w:val="18"/>
              </w:rPr>
              <w:t>I_基金层横截面_单变量</w:t>
            </w:r>
          </w:p>
        </w:tc>
        <w:tc>
          <w:tcPr>
            <w:tcW w:w="1474" w:type="dxa"/>
            <w:vAlign w:val="center"/>
          </w:tcPr>
          <w:p w14:paraId="0EB7A3E5">
            <w:pPr>
              <w:spacing w:before="20" w:after="20" w:line="259" w:lineRule="auto"/>
              <w:ind w:firstLine="0"/>
              <w:jc w:val="center"/>
            </w:pPr>
            <w:r>
              <w:rPr>
                <w:rFonts w:ascii="Times New Roman" w:hAnsi="Times New Roman" w:eastAsia="宋体"/>
                <w:b w:val="0"/>
                <w:i w:val="0"/>
                <w:sz w:val="18"/>
              </w:rPr>
              <w:t>362</w:t>
            </w:r>
          </w:p>
        </w:tc>
        <w:tc>
          <w:tcPr>
            <w:tcW w:w="1587" w:type="dxa"/>
            <w:vAlign w:val="center"/>
          </w:tcPr>
          <w:p w14:paraId="11157BD4">
            <w:pPr>
              <w:spacing w:before="20" w:after="20" w:line="259" w:lineRule="auto"/>
              <w:ind w:firstLine="0"/>
              <w:jc w:val="center"/>
            </w:pPr>
            <w:r>
              <w:rPr>
                <w:rFonts w:ascii="Times New Roman" w:hAnsi="Times New Roman" w:eastAsia="宋体"/>
                <w:b w:val="0"/>
                <w:i w:val="0"/>
                <w:sz w:val="18"/>
              </w:rPr>
              <w:t>-0.0045</w:t>
            </w:r>
          </w:p>
        </w:tc>
        <w:tc>
          <w:tcPr>
            <w:tcW w:w="1587" w:type="dxa"/>
            <w:vAlign w:val="center"/>
          </w:tcPr>
          <w:p w14:paraId="45128902">
            <w:pPr>
              <w:spacing w:before="20" w:after="20" w:line="259" w:lineRule="auto"/>
              <w:ind w:firstLine="0"/>
              <w:jc w:val="center"/>
            </w:pPr>
            <w:r>
              <w:rPr>
                <w:rFonts w:ascii="Times New Roman" w:hAnsi="Times New Roman" w:eastAsia="宋体"/>
                <w:b w:val="0"/>
                <w:i w:val="0"/>
                <w:sz w:val="18"/>
              </w:rPr>
              <w:t>-0.26</w:t>
            </w:r>
          </w:p>
        </w:tc>
        <w:tc>
          <w:tcPr>
            <w:tcW w:w="1474" w:type="dxa"/>
            <w:vAlign w:val="center"/>
          </w:tcPr>
          <w:p w14:paraId="7B5737CD">
            <w:pPr>
              <w:spacing w:before="20" w:after="20" w:line="259" w:lineRule="auto"/>
              <w:ind w:firstLine="0"/>
              <w:jc w:val="center"/>
            </w:pPr>
            <w:r>
              <w:rPr>
                <w:rFonts w:ascii="Times New Roman" w:hAnsi="Times New Roman" w:eastAsia="宋体"/>
                <w:b w:val="0"/>
                <w:i w:val="0"/>
                <w:sz w:val="18"/>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vAlign w:val="center"/>
          </w:tcPr>
          <w:p w14:paraId="183C07E3">
            <w:pPr>
              <w:spacing w:before="20" w:after="20" w:line="259" w:lineRule="auto"/>
              <w:ind w:firstLine="0"/>
              <w:jc w:val="center"/>
            </w:pPr>
            <w:r>
              <w:rPr>
                <w:rFonts w:ascii="Times New Roman" w:hAnsi="Times New Roman" w:eastAsia="宋体"/>
                <w:b w:val="0"/>
                <w:i w:val="0"/>
                <w:sz w:val="18"/>
              </w:rPr>
              <w:t>I_基金层横截面_加控制</w:t>
            </w:r>
          </w:p>
        </w:tc>
        <w:tc>
          <w:tcPr>
            <w:tcW w:w="1474" w:type="dxa"/>
            <w:vAlign w:val="center"/>
          </w:tcPr>
          <w:p w14:paraId="09A9F0CF">
            <w:pPr>
              <w:spacing w:before="20" w:after="20" w:line="259" w:lineRule="auto"/>
              <w:ind w:firstLine="0"/>
              <w:jc w:val="center"/>
            </w:pPr>
            <w:r>
              <w:rPr>
                <w:rFonts w:ascii="Times New Roman" w:hAnsi="Times New Roman" w:eastAsia="宋体"/>
                <w:b w:val="0"/>
                <w:i w:val="0"/>
                <w:sz w:val="18"/>
              </w:rPr>
              <w:t>362</w:t>
            </w:r>
          </w:p>
        </w:tc>
        <w:tc>
          <w:tcPr>
            <w:tcW w:w="1587" w:type="dxa"/>
            <w:vAlign w:val="center"/>
          </w:tcPr>
          <w:p w14:paraId="78EB9C86">
            <w:pPr>
              <w:spacing w:before="20" w:after="20" w:line="259" w:lineRule="auto"/>
              <w:ind w:firstLine="0"/>
              <w:jc w:val="center"/>
            </w:pPr>
            <w:r>
              <w:rPr>
                <w:rFonts w:ascii="Times New Roman" w:hAnsi="Times New Roman" w:eastAsia="宋体"/>
                <w:b w:val="0"/>
                <w:i w:val="0"/>
                <w:sz w:val="18"/>
              </w:rPr>
              <w:t>-0.0108</w:t>
            </w:r>
          </w:p>
        </w:tc>
        <w:tc>
          <w:tcPr>
            <w:tcW w:w="1587" w:type="dxa"/>
            <w:vAlign w:val="center"/>
          </w:tcPr>
          <w:p w14:paraId="1385B8BB">
            <w:pPr>
              <w:spacing w:before="20" w:after="20" w:line="259" w:lineRule="auto"/>
              <w:ind w:firstLine="0"/>
              <w:jc w:val="center"/>
            </w:pPr>
            <w:r>
              <w:rPr>
                <w:rFonts w:ascii="Times New Roman" w:hAnsi="Times New Roman" w:eastAsia="宋体"/>
                <w:b w:val="0"/>
                <w:i w:val="0"/>
                <w:sz w:val="18"/>
              </w:rPr>
              <w:t>-0.65</w:t>
            </w:r>
          </w:p>
        </w:tc>
        <w:tc>
          <w:tcPr>
            <w:tcW w:w="1474" w:type="dxa"/>
            <w:vAlign w:val="center"/>
          </w:tcPr>
          <w:p w14:paraId="2AD67FB2">
            <w:pPr>
              <w:spacing w:before="20" w:after="20" w:line="259" w:lineRule="auto"/>
              <w:ind w:firstLine="0"/>
              <w:jc w:val="center"/>
            </w:pPr>
            <w:r>
              <w:rPr>
                <w:rFonts w:ascii="Times New Roman" w:hAnsi="Times New Roman" w:eastAsia="宋体"/>
                <w:b w:val="0"/>
                <w:i w:val="0"/>
                <w:sz w:val="18"/>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vAlign w:val="center"/>
          </w:tcPr>
          <w:p w14:paraId="649904B5">
            <w:pPr>
              <w:spacing w:before="20" w:after="20" w:line="259" w:lineRule="auto"/>
              <w:ind w:firstLine="0"/>
              <w:jc w:val="center"/>
            </w:pPr>
            <w:r>
              <w:rPr>
                <w:rFonts w:ascii="Times New Roman" w:hAnsi="Times New Roman" w:eastAsia="宋体"/>
                <w:b w:val="0"/>
                <w:i w:val="0"/>
                <w:sz w:val="18"/>
              </w:rPr>
              <w:t>I_基金层横截面_全模型</w:t>
            </w:r>
          </w:p>
        </w:tc>
        <w:tc>
          <w:tcPr>
            <w:tcW w:w="1474" w:type="dxa"/>
            <w:vAlign w:val="center"/>
          </w:tcPr>
          <w:p w14:paraId="450C98E9">
            <w:pPr>
              <w:spacing w:before="20" w:after="20" w:line="259" w:lineRule="auto"/>
              <w:ind w:firstLine="0"/>
              <w:jc w:val="center"/>
            </w:pPr>
            <w:r>
              <w:rPr>
                <w:rFonts w:ascii="Times New Roman" w:hAnsi="Times New Roman" w:eastAsia="宋体"/>
                <w:b w:val="0"/>
                <w:i w:val="0"/>
                <w:sz w:val="18"/>
              </w:rPr>
              <w:t>359</w:t>
            </w:r>
          </w:p>
        </w:tc>
        <w:tc>
          <w:tcPr>
            <w:tcW w:w="1587" w:type="dxa"/>
            <w:vAlign w:val="center"/>
          </w:tcPr>
          <w:p w14:paraId="48170FF0">
            <w:pPr>
              <w:spacing w:before="20" w:after="20" w:line="259" w:lineRule="auto"/>
              <w:ind w:firstLine="0"/>
              <w:jc w:val="center"/>
            </w:pPr>
            <w:r>
              <w:rPr>
                <w:rFonts w:ascii="Times New Roman" w:hAnsi="Times New Roman" w:eastAsia="宋体"/>
                <w:b w:val="0"/>
                <w:i w:val="0"/>
                <w:sz w:val="18"/>
              </w:rPr>
              <w:t>-0.0531</w:t>
            </w:r>
          </w:p>
        </w:tc>
        <w:tc>
          <w:tcPr>
            <w:tcW w:w="1587" w:type="dxa"/>
            <w:vAlign w:val="center"/>
          </w:tcPr>
          <w:p w14:paraId="602BE6ED">
            <w:pPr>
              <w:spacing w:before="20" w:after="20" w:line="259" w:lineRule="auto"/>
              <w:ind w:firstLine="0"/>
              <w:jc w:val="center"/>
            </w:pPr>
            <w:r>
              <w:rPr>
                <w:rFonts w:ascii="Times New Roman" w:hAnsi="Times New Roman" w:eastAsia="宋体"/>
                <w:b w:val="0"/>
                <w:i w:val="0"/>
                <w:sz w:val="18"/>
              </w:rPr>
              <w:t>-3.06***</w:t>
            </w:r>
          </w:p>
        </w:tc>
        <w:tc>
          <w:tcPr>
            <w:tcW w:w="1474" w:type="dxa"/>
            <w:vAlign w:val="center"/>
          </w:tcPr>
          <w:p w14:paraId="13AC6DAB">
            <w:pPr>
              <w:spacing w:before="20" w:after="20" w:line="259" w:lineRule="auto"/>
              <w:ind w:firstLine="0"/>
              <w:jc w:val="center"/>
            </w:pPr>
            <w:r>
              <w:rPr>
                <w:rFonts w:ascii="Times New Roman" w:hAnsi="Times New Roman" w:eastAsia="宋体"/>
                <w:b w:val="0"/>
                <w:i w:val="0"/>
                <w:sz w:val="18"/>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vAlign w:val="center"/>
          </w:tcPr>
          <w:p w14:paraId="2FD93343">
            <w:pPr>
              <w:spacing w:before="20" w:after="20" w:line="259" w:lineRule="auto"/>
              <w:ind w:firstLine="0"/>
              <w:jc w:val="center"/>
            </w:pPr>
            <w:r>
              <w:rPr>
                <w:rFonts w:ascii="Times New Roman" w:hAnsi="Times New Roman" w:eastAsia="宋体"/>
                <w:b w:val="0"/>
                <w:i w:val="0"/>
                <w:sz w:val="18"/>
              </w:rPr>
              <w:t>II_季度面板_单变量</w:t>
            </w:r>
          </w:p>
        </w:tc>
        <w:tc>
          <w:tcPr>
            <w:tcW w:w="1474" w:type="dxa"/>
            <w:vAlign w:val="center"/>
          </w:tcPr>
          <w:p w14:paraId="6DAFEB1C">
            <w:pPr>
              <w:spacing w:before="20" w:after="20" w:line="259" w:lineRule="auto"/>
              <w:ind w:firstLine="0"/>
              <w:jc w:val="center"/>
            </w:pPr>
            <w:r>
              <w:rPr>
                <w:rFonts w:ascii="Times New Roman" w:hAnsi="Times New Roman" w:eastAsia="宋体"/>
                <w:b w:val="0"/>
                <w:i w:val="0"/>
                <w:sz w:val="18"/>
              </w:rPr>
              <w:t>8615</w:t>
            </w:r>
          </w:p>
        </w:tc>
        <w:tc>
          <w:tcPr>
            <w:tcW w:w="1587" w:type="dxa"/>
            <w:vAlign w:val="center"/>
          </w:tcPr>
          <w:p w14:paraId="054B4A7F">
            <w:pPr>
              <w:spacing w:before="20" w:after="20" w:line="259" w:lineRule="auto"/>
              <w:ind w:firstLine="0"/>
              <w:jc w:val="center"/>
            </w:pPr>
            <w:r>
              <w:rPr>
                <w:rFonts w:ascii="Times New Roman" w:hAnsi="Times New Roman" w:eastAsia="宋体"/>
                <w:b w:val="0"/>
                <w:i w:val="0"/>
                <w:sz w:val="18"/>
              </w:rPr>
              <w:t>0.0511</w:t>
            </w:r>
          </w:p>
        </w:tc>
        <w:tc>
          <w:tcPr>
            <w:tcW w:w="1587" w:type="dxa"/>
            <w:vAlign w:val="center"/>
          </w:tcPr>
          <w:p w14:paraId="4EAF0416">
            <w:pPr>
              <w:spacing w:before="20" w:after="20" w:line="259" w:lineRule="auto"/>
              <w:ind w:firstLine="0"/>
              <w:jc w:val="center"/>
            </w:pPr>
            <w:r>
              <w:rPr>
                <w:rFonts w:ascii="Times New Roman" w:hAnsi="Times New Roman" w:eastAsia="宋体"/>
                <w:b w:val="0"/>
                <w:i w:val="0"/>
                <w:sz w:val="18"/>
              </w:rPr>
              <w:t>+5.33***</w:t>
            </w:r>
          </w:p>
        </w:tc>
        <w:tc>
          <w:tcPr>
            <w:tcW w:w="1474" w:type="dxa"/>
            <w:vAlign w:val="center"/>
          </w:tcPr>
          <w:p w14:paraId="264939FE">
            <w:pPr>
              <w:spacing w:before="20" w:after="20" w:line="259" w:lineRule="auto"/>
              <w:ind w:firstLine="0"/>
              <w:jc w:val="center"/>
            </w:pPr>
            <w:r>
              <w:rPr>
                <w:rFonts w:ascii="Times New Roman" w:hAnsi="Times New Roman" w:eastAsia="宋体"/>
                <w:b w:val="0"/>
                <w:i w:val="0"/>
                <w:sz w:val="18"/>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vAlign w:val="center"/>
          </w:tcPr>
          <w:p w14:paraId="1611A558">
            <w:pPr>
              <w:spacing w:before="20" w:after="20" w:line="259" w:lineRule="auto"/>
              <w:ind w:firstLine="0"/>
              <w:jc w:val="center"/>
            </w:pPr>
            <w:r>
              <w:rPr>
                <w:rFonts w:ascii="Times New Roman" w:hAnsi="Times New Roman" w:eastAsia="宋体"/>
                <w:b w:val="0"/>
                <w:i w:val="0"/>
                <w:sz w:val="18"/>
              </w:rPr>
              <w:t>II_季度面板_全模型</w:t>
            </w:r>
          </w:p>
        </w:tc>
        <w:tc>
          <w:tcPr>
            <w:tcW w:w="1474" w:type="dxa"/>
            <w:vAlign w:val="center"/>
          </w:tcPr>
          <w:p w14:paraId="7F680BAA">
            <w:pPr>
              <w:spacing w:before="20" w:after="20" w:line="259" w:lineRule="auto"/>
              <w:ind w:firstLine="0"/>
              <w:jc w:val="center"/>
            </w:pPr>
            <w:r>
              <w:rPr>
                <w:rFonts w:ascii="Times New Roman" w:hAnsi="Times New Roman" w:eastAsia="宋体"/>
                <w:b w:val="0"/>
                <w:i w:val="0"/>
                <w:sz w:val="18"/>
              </w:rPr>
              <w:t>2262</w:t>
            </w:r>
          </w:p>
        </w:tc>
        <w:tc>
          <w:tcPr>
            <w:tcW w:w="1587" w:type="dxa"/>
            <w:vAlign w:val="center"/>
          </w:tcPr>
          <w:p w14:paraId="40138AFA">
            <w:pPr>
              <w:spacing w:before="20" w:after="20" w:line="259" w:lineRule="auto"/>
              <w:ind w:firstLine="0"/>
              <w:jc w:val="center"/>
            </w:pPr>
            <w:r>
              <w:rPr>
                <w:rFonts w:ascii="Times New Roman" w:hAnsi="Times New Roman" w:eastAsia="宋体"/>
                <w:b w:val="0"/>
                <w:i w:val="0"/>
                <w:sz w:val="18"/>
              </w:rPr>
              <w:t>-0.0258</w:t>
            </w:r>
          </w:p>
        </w:tc>
        <w:tc>
          <w:tcPr>
            <w:tcW w:w="1587" w:type="dxa"/>
            <w:vAlign w:val="center"/>
          </w:tcPr>
          <w:p w14:paraId="4AEBB535">
            <w:pPr>
              <w:spacing w:before="20" w:after="20" w:line="259" w:lineRule="auto"/>
              <w:ind w:firstLine="0"/>
              <w:jc w:val="center"/>
            </w:pPr>
            <w:r>
              <w:rPr>
                <w:rFonts w:ascii="Times New Roman" w:hAnsi="Times New Roman" w:eastAsia="宋体"/>
                <w:b w:val="0"/>
                <w:i w:val="0"/>
                <w:sz w:val="18"/>
              </w:rPr>
              <w:t>-1.41</w:t>
            </w:r>
          </w:p>
        </w:tc>
        <w:tc>
          <w:tcPr>
            <w:tcW w:w="1474" w:type="dxa"/>
            <w:vAlign w:val="center"/>
          </w:tcPr>
          <w:p w14:paraId="7D861504">
            <w:pPr>
              <w:spacing w:before="20" w:after="20" w:line="259" w:lineRule="auto"/>
              <w:ind w:firstLine="0"/>
              <w:jc w:val="center"/>
            </w:pPr>
            <w:r>
              <w:rPr>
                <w:rFonts w:ascii="Times New Roman" w:hAnsi="Times New Roman" w:eastAsia="宋体"/>
                <w:b w:val="0"/>
                <w:i w:val="0"/>
                <w:sz w:val="18"/>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vAlign w:val="center"/>
          </w:tcPr>
          <w:p w14:paraId="6475B35E">
            <w:pPr>
              <w:spacing w:before="20" w:after="20" w:line="259" w:lineRule="auto"/>
              <w:ind w:firstLine="0"/>
              <w:jc w:val="center"/>
            </w:pPr>
            <w:r>
              <w:rPr>
                <w:rFonts w:ascii="Times New Roman" w:hAnsi="Times New Roman" w:eastAsia="宋体"/>
                <w:b w:val="0"/>
                <w:i w:val="0"/>
                <w:sz w:val="18"/>
              </w:rPr>
              <w:t>VI_群体画像_Top5%减Bottom5%</w:t>
            </w:r>
          </w:p>
        </w:tc>
        <w:tc>
          <w:tcPr>
            <w:tcW w:w="1474" w:type="dxa"/>
            <w:vAlign w:val="center"/>
          </w:tcPr>
          <w:p w14:paraId="760624A6">
            <w:pPr>
              <w:spacing w:before="20" w:after="20" w:line="259" w:lineRule="auto"/>
              <w:ind w:firstLine="0"/>
              <w:jc w:val="center"/>
            </w:pPr>
            <w:r>
              <w:rPr>
                <w:rFonts w:ascii="Times New Roman" w:hAnsi="Times New Roman" w:eastAsia="宋体"/>
                <w:b w:val="0"/>
                <w:i w:val="0"/>
                <w:sz w:val="18"/>
              </w:rPr>
              <w:t>19+19</w:t>
            </w:r>
          </w:p>
        </w:tc>
        <w:tc>
          <w:tcPr>
            <w:tcW w:w="1587" w:type="dxa"/>
            <w:vAlign w:val="center"/>
          </w:tcPr>
          <w:p w14:paraId="522C4E9B">
            <w:pPr>
              <w:spacing w:before="20" w:after="20" w:line="259" w:lineRule="auto"/>
              <w:ind w:firstLine="0"/>
              <w:jc w:val="center"/>
            </w:pPr>
            <w:r>
              <w:rPr>
                <w:rFonts w:ascii="Times New Roman" w:hAnsi="Times New Roman" w:eastAsia="宋体"/>
                <w:b w:val="0"/>
                <w:i w:val="0"/>
                <w:sz w:val="18"/>
              </w:rPr>
              <w:t>0.0233</w:t>
            </w:r>
          </w:p>
        </w:tc>
        <w:tc>
          <w:tcPr>
            <w:tcW w:w="1587" w:type="dxa"/>
            <w:vAlign w:val="center"/>
          </w:tcPr>
          <w:p w14:paraId="2F2B5069">
            <w:pPr>
              <w:spacing w:before="20" w:after="20" w:line="259" w:lineRule="auto"/>
              <w:ind w:firstLine="0"/>
              <w:jc w:val="center"/>
            </w:pPr>
            <w:r>
              <w:rPr>
                <w:rFonts w:ascii="Times New Roman" w:hAnsi="Times New Roman" w:eastAsia="宋体"/>
                <w:b w:val="0"/>
                <w:i w:val="0"/>
                <w:sz w:val="18"/>
              </w:rPr>
              <w:t>+1.91*</w:t>
            </w:r>
          </w:p>
        </w:tc>
        <w:tc>
          <w:tcPr>
            <w:tcW w:w="1474" w:type="dxa"/>
            <w:vAlign w:val="center"/>
          </w:tcPr>
          <w:p w14:paraId="666539E6">
            <w:pPr>
              <w:spacing w:before="20" w:after="20" w:line="259" w:lineRule="auto"/>
              <w:ind w:firstLine="0"/>
              <w:jc w:val="center"/>
            </w:pPr>
            <w:r>
              <w:rPr>
                <w:rFonts w:ascii="Times New Roman" w:hAnsi="Times New Roman" w:eastAsia="宋体"/>
                <w:b w:val="0"/>
                <w:i w:val="0"/>
                <w:sz w:val="18"/>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rPr>
          <w:rFonts w:ascii="Times New Roman" w:hAnsi="Times New Roman" w:eastAsia="宋体"/>
          <w:b w:val="0"/>
          <w:i w:val="0"/>
          <w:sz w:val="24"/>
        </w:rPr>
        <w:t>其余落选候选各有原因：趋势外推与有限关注度方向检验未通过（t=+3.49 与 +2.34，与“偏差损害业绩”相反）；追涨杀跌、换手率仅在特定风格口径下显著，剥离五因子后不再显著。Brinson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t>按业绩（FF5 alpha，非能力分）取最好和最差各 5% 的基金（各 19 只），比较两组在六个能力维度上的差异（表 8）：六个维度全部显著分化。注意看“过程应对”——这一维两组差了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t>表 8  群体画像：Top5% 与 Bottom5%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608" w:type="dxa"/>
            <w:shd w:val="clear" w:color="auto" w:fill="F2F4F5"/>
            <w:vAlign w:val="center"/>
          </w:tcPr>
          <w:p w14:paraId="564F5547">
            <w:pPr>
              <w:spacing w:before="20" w:after="20" w:line="259" w:lineRule="auto"/>
              <w:ind w:firstLine="0"/>
              <w:jc w:val="center"/>
            </w:pPr>
            <w:r>
              <w:rPr>
                <w:rFonts w:ascii="Times New Roman" w:hAnsi="Times New Roman" w:eastAsia="黑体"/>
                <w:b/>
                <w:i w:val="0"/>
                <w:sz w:val="18"/>
              </w:rPr>
              <w:t>能力维度</w:t>
            </w:r>
          </w:p>
        </w:tc>
        <w:tc>
          <w:tcPr>
            <w:tcW w:w="1814" w:type="dxa"/>
            <w:shd w:val="clear" w:color="auto" w:fill="F2F4F5"/>
            <w:vAlign w:val="center"/>
          </w:tcPr>
          <w:p w14:paraId="5D4D6DE8">
            <w:pPr>
              <w:spacing w:before="20" w:after="20" w:line="259" w:lineRule="auto"/>
              <w:ind w:firstLine="0"/>
              <w:jc w:val="center"/>
            </w:pPr>
            <w:r>
              <w:rPr>
                <w:rFonts w:ascii="Times New Roman" w:hAnsi="Times New Roman" w:eastAsia="黑体"/>
                <w:b/>
                <w:i w:val="0"/>
                <w:sz w:val="18"/>
              </w:rPr>
              <w:t>Top5% 均值</w:t>
            </w:r>
          </w:p>
        </w:tc>
        <w:tc>
          <w:tcPr>
            <w:tcW w:w="1814" w:type="dxa"/>
            <w:shd w:val="clear" w:color="auto" w:fill="F2F4F5"/>
            <w:vAlign w:val="center"/>
          </w:tcPr>
          <w:p w14:paraId="1A065765">
            <w:pPr>
              <w:spacing w:before="20" w:after="20" w:line="259" w:lineRule="auto"/>
              <w:ind w:firstLine="0"/>
              <w:jc w:val="center"/>
            </w:pPr>
            <w:r>
              <w:rPr>
                <w:rFonts w:ascii="Times New Roman" w:hAnsi="Times New Roman" w:eastAsia="黑体"/>
                <w:b/>
                <w:i w:val="0"/>
                <w:sz w:val="18"/>
              </w:rPr>
              <w:t>Bottom5% 均值</w:t>
            </w:r>
          </w:p>
        </w:tc>
        <w:tc>
          <w:tcPr>
            <w:tcW w:w="1701" w:type="dxa"/>
            <w:shd w:val="clear" w:color="auto" w:fill="F2F4F5"/>
            <w:vAlign w:val="center"/>
          </w:tcPr>
          <w:p w14:paraId="50B3DEFB">
            <w:pPr>
              <w:spacing w:before="20" w:after="20" w:line="259" w:lineRule="auto"/>
              <w:ind w:firstLine="0"/>
              <w:jc w:val="center"/>
            </w:pPr>
            <w:r>
              <w:rPr>
                <w:rFonts w:ascii="Times New Roman" w:hAnsi="Times New Roman" w:eastAsia="黑体"/>
                <w:b/>
                <w:i w:val="0"/>
                <w:sz w:val="18"/>
              </w:rPr>
              <w:t>差值</w:t>
            </w:r>
          </w:p>
        </w:tc>
        <w:tc>
          <w:tcPr>
            <w:tcW w:w="1701" w:type="dxa"/>
            <w:shd w:val="clear" w:color="auto" w:fill="F2F4F5"/>
            <w:vAlign w:val="center"/>
          </w:tcPr>
          <w:p w14:paraId="713C7852">
            <w:pPr>
              <w:spacing w:before="20" w:after="20" w:line="259" w:lineRule="auto"/>
              <w:ind w:firstLine="0"/>
              <w:jc w:val="center"/>
            </w:pPr>
            <w:r>
              <w:rPr>
                <w:rFonts w:ascii="Times New Roman" w:hAnsi="Times New Roman" w:eastAsia="黑体"/>
                <w:b/>
                <w:i w:val="0"/>
                <w:sz w:val="18"/>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vAlign w:val="center"/>
          </w:tcPr>
          <w:p w14:paraId="08B34550">
            <w:pPr>
              <w:spacing w:before="20" w:after="20" w:line="259" w:lineRule="auto"/>
              <w:ind w:firstLine="0"/>
              <w:jc w:val="center"/>
            </w:pPr>
            <w:r>
              <w:rPr>
                <w:rFonts w:ascii="Times New Roman" w:hAnsi="Times New Roman" w:eastAsia="宋体"/>
                <w:b w:val="0"/>
                <w:i w:val="0"/>
                <w:sz w:val="18"/>
              </w:rPr>
              <w:t>基本面优势</w:t>
            </w:r>
          </w:p>
        </w:tc>
        <w:tc>
          <w:tcPr>
            <w:tcW w:w="1814" w:type="dxa"/>
            <w:vAlign w:val="center"/>
          </w:tcPr>
          <w:p w14:paraId="54D19443">
            <w:pPr>
              <w:spacing w:before="20" w:after="20" w:line="259" w:lineRule="auto"/>
              <w:ind w:firstLine="0"/>
              <w:jc w:val="center"/>
            </w:pPr>
            <w:r>
              <w:rPr>
                <w:rFonts w:ascii="Times New Roman" w:hAnsi="Times New Roman" w:eastAsia="宋体"/>
                <w:b w:val="0"/>
                <w:i w:val="0"/>
                <w:sz w:val="18"/>
              </w:rPr>
              <w:t>0.5270</w:t>
            </w:r>
          </w:p>
        </w:tc>
        <w:tc>
          <w:tcPr>
            <w:tcW w:w="1814" w:type="dxa"/>
            <w:vAlign w:val="center"/>
          </w:tcPr>
          <w:p w14:paraId="6BADFE7C">
            <w:pPr>
              <w:spacing w:before="20" w:after="20" w:line="259" w:lineRule="auto"/>
              <w:ind w:firstLine="0"/>
              <w:jc w:val="center"/>
            </w:pPr>
            <w:r>
              <w:rPr>
                <w:rFonts w:ascii="Times New Roman" w:hAnsi="Times New Roman" w:eastAsia="宋体"/>
                <w:b w:val="0"/>
                <w:i w:val="0"/>
                <w:sz w:val="18"/>
              </w:rPr>
              <w:t>0.1828</w:t>
            </w:r>
          </w:p>
        </w:tc>
        <w:tc>
          <w:tcPr>
            <w:tcW w:w="1701" w:type="dxa"/>
            <w:vAlign w:val="center"/>
          </w:tcPr>
          <w:p w14:paraId="10885F84">
            <w:pPr>
              <w:spacing w:before="20" w:after="20" w:line="259" w:lineRule="auto"/>
              <w:ind w:firstLine="0"/>
              <w:jc w:val="center"/>
            </w:pPr>
            <w:r>
              <w:rPr>
                <w:rFonts w:ascii="Times New Roman" w:hAnsi="Times New Roman" w:eastAsia="宋体"/>
                <w:b w:val="0"/>
                <w:i w:val="0"/>
                <w:sz w:val="18"/>
              </w:rPr>
              <w:t>0.3442</w:t>
            </w:r>
          </w:p>
        </w:tc>
        <w:tc>
          <w:tcPr>
            <w:tcW w:w="1701" w:type="dxa"/>
            <w:vAlign w:val="center"/>
          </w:tcPr>
          <w:p w14:paraId="2BB7B2A5">
            <w:pPr>
              <w:spacing w:before="20" w:after="20" w:line="259" w:lineRule="auto"/>
              <w:ind w:firstLine="0"/>
              <w:jc w:val="center"/>
            </w:pPr>
            <w:r>
              <w:rPr>
                <w:rFonts w:ascii="Times New Roman" w:hAnsi="Times New Roman" w:eastAsia="宋体"/>
                <w:b w:val="0"/>
                <w:i w:val="0"/>
                <w:sz w:val="18"/>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vAlign w:val="center"/>
          </w:tcPr>
          <w:p w14:paraId="3F3CB695">
            <w:pPr>
              <w:spacing w:before="20" w:after="20" w:line="259" w:lineRule="auto"/>
              <w:ind w:firstLine="0"/>
              <w:jc w:val="center"/>
            </w:pPr>
            <w:r>
              <w:rPr>
                <w:rFonts w:ascii="Times New Roman" w:hAnsi="Times New Roman" w:eastAsia="宋体"/>
                <w:b w:val="0"/>
                <w:i w:val="0"/>
                <w:sz w:val="18"/>
              </w:rPr>
              <w:t>认知能力</w:t>
            </w:r>
          </w:p>
        </w:tc>
        <w:tc>
          <w:tcPr>
            <w:tcW w:w="1814" w:type="dxa"/>
            <w:vAlign w:val="center"/>
          </w:tcPr>
          <w:p w14:paraId="394D4F89">
            <w:pPr>
              <w:spacing w:before="20" w:after="20" w:line="259" w:lineRule="auto"/>
              <w:ind w:firstLine="0"/>
              <w:jc w:val="center"/>
            </w:pPr>
            <w:r>
              <w:rPr>
                <w:rFonts w:ascii="Times New Roman" w:hAnsi="Times New Roman" w:eastAsia="宋体"/>
                <w:b w:val="0"/>
                <w:i w:val="0"/>
                <w:sz w:val="18"/>
              </w:rPr>
              <w:t>0.2914</w:t>
            </w:r>
          </w:p>
        </w:tc>
        <w:tc>
          <w:tcPr>
            <w:tcW w:w="1814" w:type="dxa"/>
            <w:vAlign w:val="center"/>
          </w:tcPr>
          <w:p w14:paraId="1065C6FD">
            <w:pPr>
              <w:spacing w:before="20" w:after="20" w:line="259" w:lineRule="auto"/>
              <w:ind w:firstLine="0"/>
              <w:jc w:val="center"/>
            </w:pPr>
            <w:r>
              <w:rPr>
                <w:rFonts w:ascii="Times New Roman" w:hAnsi="Times New Roman" w:eastAsia="宋体"/>
                <w:b w:val="0"/>
                <w:i w:val="0"/>
                <w:sz w:val="18"/>
              </w:rPr>
              <w:t>-0.4110</w:t>
            </w:r>
          </w:p>
        </w:tc>
        <w:tc>
          <w:tcPr>
            <w:tcW w:w="1701" w:type="dxa"/>
            <w:vAlign w:val="center"/>
          </w:tcPr>
          <w:p w14:paraId="62929308">
            <w:pPr>
              <w:spacing w:before="20" w:after="20" w:line="259" w:lineRule="auto"/>
              <w:ind w:firstLine="0"/>
              <w:jc w:val="center"/>
            </w:pPr>
            <w:r>
              <w:rPr>
                <w:rFonts w:ascii="Times New Roman" w:hAnsi="Times New Roman" w:eastAsia="宋体"/>
                <w:b w:val="0"/>
                <w:i w:val="0"/>
                <w:sz w:val="18"/>
              </w:rPr>
              <w:t>0.7025</w:t>
            </w:r>
          </w:p>
        </w:tc>
        <w:tc>
          <w:tcPr>
            <w:tcW w:w="1701" w:type="dxa"/>
            <w:vAlign w:val="center"/>
          </w:tcPr>
          <w:p w14:paraId="1BA4C419">
            <w:pPr>
              <w:spacing w:before="20" w:after="20" w:line="259" w:lineRule="auto"/>
              <w:ind w:firstLine="0"/>
              <w:jc w:val="center"/>
            </w:pPr>
            <w:r>
              <w:rPr>
                <w:rFonts w:ascii="Times New Roman" w:hAnsi="Times New Roman" w:eastAsia="宋体"/>
                <w:b w:val="0"/>
                <w:i w:val="0"/>
                <w:sz w:val="18"/>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vAlign w:val="center"/>
          </w:tcPr>
          <w:p w14:paraId="11D111A6">
            <w:pPr>
              <w:spacing w:before="20" w:after="20" w:line="259" w:lineRule="auto"/>
              <w:ind w:firstLine="0"/>
              <w:jc w:val="center"/>
            </w:pPr>
            <w:r>
              <w:rPr>
                <w:rFonts w:ascii="Times New Roman" w:hAnsi="Times New Roman" w:eastAsia="宋体"/>
                <w:b w:val="0"/>
                <w:i w:val="0"/>
                <w:sz w:val="18"/>
              </w:rPr>
              <w:t>配置选择能力</w:t>
            </w:r>
          </w:p>
        </w:tc>
        <w:tc>
          <w:tcPr>
            <w:tcW w:w="1814" w:type="dxa"/>
            <w:vAlign w:val="center"/>
          </w:tcPr>
          <w:p w14:paraId="26FC4902">
            <w:pPr>
              <w:spacing w:before="20" w:after="20" w:line="259" w:lineRule="auto"/>
              <w:ind w:firstLine="0"/>
              <w:jc w:val="center"/>
            </w:pPr>
            <w:r>
              <w:rPr>
                <w:rFonts w:ascii="Times New Roman" w:hAnsi="Times New Roman" w:eastAsia="宋体"/>
                <w:b w:val="0"/>
                <w:i w:val="0"/>
                <w:sz w:val="18"/>
              </w:rPr>
              <w:t>0.7073</w:t>
            </w:r>
          </w:p>
        </w:tc>
        <w:tc>
          <w:tcPr>
            <w:tcW w:w="1814" w:type="dxa"/>
            <w:vAlign w:val="center"/>
          </w:tcPr>
          <w:p w14:paraId="44C12438">
            <w:pPr>
              <w:spacing w:before="20" w:after="20" w:line="259" w:lineRule="auto"/>
              <w:ind w:firstLine="0"/>
              <w:jc w:val="center"/>
            </w:pPr>
            <w:r>
              <w:rPr>
                <w:rFonts w:ascii="Times New Roman" w:hAnsi="Times New Roman" w:eastAsia="宋体"/>
                <w:b w:val="0"/>
                <w:i w:val="0"/>
                <w:sz w:val="18"/>
              </w:rPr>
              <w:t>-0.3091</w:t>
            </w:r>
          </w:p>
        </w:tc>
        <w:tc>
          <w:tcPr>
            <w:tcW w:w="1701" w:type="dxa"/>
            <w:vAlign w:val="center"/>
          </w:tcPr>
          <w:p w14:paraId="57515D5C">
            <w:pPr>
              <w:spacing w:before="20" w:after="20" w:line="259" w:lineRule="auto"/>
              <w:ind w:firstLine="0"/>
              <w:jc w:val="center"/>
            </w:pPr>
            <w:r>
              <w:rPr>
                <w:rFonts w:ascii="Times New Roman" w:hAnsi="Times New Roman" w:eastAsia="宋体"/>
                <w:b w:val="0"/>
                <w:i w:val="0"/>
                <w:sz w:val="18"/>
              </w:rPr>
              <w:t>1.0164</w:t>
            </w:r>
          </w:p>
        </w:tc>
        <w:tc>
          <w:tcPr>
            <w:tcW w:w="1701" w:type="dxa"/>
            <w:vAlign w:val="center"/>
          </w:tcPr>
          <w:p w14:paraId="65CFB4AB">
            <w:pPr>
              <w:spacing w:before="20" w:after="20" w:line="259" w:lineRule="auto"/>
              <w:ind w:firstLine="0"/>
              <w:jc w:val="center"/>
            </w:pPr>
            <w:r>
              <w:rPr>
                <w:rFonts w:ascii="Times New Roman" w:hAnsi="Times New Roman" w:eastAsia="宋体"/>
                <w:b w:val="0"/>
                <w:i w:val="0"/>
                <w:sz w:val="18"/>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vAlign w:val="center"/>
          </w:tcPr>
          <w:p w14:paraId="53512C92">
            <w:pPr>
              <w:spacing w:before="20" w:after="20" w:line="259" w:lineRule="auto"/>
              <w:ind w:firstLine="0"/>
              <w:jc w:val="center"/>
            </w:pPr>
            <w:r>
              <w:rPr>
                <w:rFonts w:ascii="Times New Roman" w:hAnsi="Times New Roman" w:eastAsia="宋体"/>
                <w:b w:val="0"/>
                <w:i w:val="0"/>
                <w:sz w:val="18"/>
              </w:rPr>
              <w:t>风险应对能力</w:t>
            </w:r>
          </w:p>
        </w:tc>
        <w:tc>
          <w:tcPr>
            <w:tcW w:w="1814" w:type="dxa"/>
            <w:vAlign w:val="center"/>
          </w:tcPr>
          <w:p w14:paraId="5F31A6ED">
            <w:pPr>
              <w:spacing w:before="20" w:after="20" w:line="259" w:lineRule="auto"/>
              <w:ind w:firstLine="0"/>
              <w:jc w:val="center"/>
            </w:pPr>
            <w:r>
              <w:rPr>
                <w:rFonts w:ascii="Times New Roman" w:hAnsi="Times New Roman" w:eastAsia="宋体"/>
                <w:b w:val="0"/>
                <w:i w:val="0"/>
                <w:sz w:val="18"/>
              </w:rPr>
              <w:t>1.0557</w:t>
            </w:r>
          </w:p>
        </w:tc>
        <w:tc>
          <w:tcPr>
            <w:tcW w:w="1814" w:type="dxa"/>
            <w:vAlign w:val="center"/>
          </w:tcPr>
          <w:p w14:paraId="5CC06019">
            <w:pPr>
              <w:spacing w:before="20" w:after="20" w:line="259" w:lineRule="auto"/>
              <w:ind w:firstLine="0"/>
              <w:jc w:val="center"/>
            </w:pPr>
            <w:r>
              <w:rPr>
                <w:rFonts w:ascii="Times New Roman" w:hAnsi="Times New Roman" w:eastAsia="宋体"/>
                <w:b w:val="0"/>
                <w:i w:val="0"/>
                <w:sz w:val="18"/>
              </w:rPr>
              <w:t>-0.1345</w:t>
            </w:r>
          </w:p>
        </w:tc>
        <w:tc>
          <w:tcPr>
            <w:tcW w:w="1701" w:type="dxa"/>
            <w:vAlign w:val="center"/>
          </w:tcPr>
          <w:p w14:paraId="036433F8">
            <w:pPr>
              <w:spacing w:before="20" w:after="20" w:line="259" w:lineRule="auto"/>
              <w:ind w:firstLine="0"/>
              <w:jc w:val="center"/>
            </w:pPr>
            <w:r>
              <w:rPr>
                <w:rFonts w:ascii="Times New Roman" w:hAnsi="Times New Roman" w:eastAsia="宋体"/>
                <w:b w:val="0"/>
                <w:i w:val="0"/>
                <w:sz w:val="18"/>
              </w:rPr>
              <w:t>1.1901</w:t>
            </w:r>
          </w:p>
        </w:tc>
        <w:tc>
          <w:tcPr>
            <w:tcW w:w="1701" w:type="dxa"/>
            <w:vAlign w:val="center"/>
          </w:tcPr>
          <w:p w14:paraId="1020976C">
            <w:pPr>
              <w:spacing w:before="20" w:after="20" w:line="259" w:lineRule="auto"/>
              <w:ind w:firstLine="0"/>
              <w:jc w:val="center"/>
            </w:pPr>
            <w:r>
              <w:rPr>
                <w:rFonts w:ascii="Times New Roman" w:hAnsi="Times New Roman" w:eastAsia="宋体"/>
                <w:b w:val="0"/>
                <w:i w:val="0"/>
                <w:sz w:val="18"/>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vAlign w:val="center"/>
          </w:tcPr>
          <w:p w14:paraId="4090E8C3">
            <w:pPr>
              <w:spacing w:before="20" w:after="20" w:line="259" w:lineRule="auto"/>
              <w:ind w:firstLine="0"/>
              <w:jc w:val="center"/>
            </w:pPr>
            <w:r>
              <w:rPr>
                <w:rFonts w:ascii="Times New Roman" w:hAnsi="Times New Roman" w:eastAsia="宋体"/>
                <w:b w:val="0"/>
                <w:i w:val="0"/>
                <w:sz w:val="18"/>
              </w:rPr>
              <w:t>风险转化能力</w:t>
            </w:r>
          </w:p>
        </w:tc>
        <w:tc>
          <w:tcPr>
            <w:tcW w:w="1814" w:type="dxa"/>
            <w:vAlign w:val="center"/>
          </w:tcPr>
          <w:p w14:paraId="11339166">
            <w:pPr>
              <w:spacing w:before="20" w:after="20" w:line="259" w:lineRule="auto"/>
              <w:ind w:firstLine="0"/>
              <w:jc w:val="center"/>
            </w:pPr>
            <w:r>
              <w:rPr>
                <w:rFonts w:ascii="Times New Roman" w:hAnsi="Times New Roman" w:eastAsia="宋体"/>
                <w:b w:val="0"/>
                <w:i w:val="0"/>
                <w:sz w:val="18"/>
              </w:rPr>
              <w:t>0.1545</w:t>
            </w:r>
          </w:p>
        </w:tc>
        <w:tc>
          <w:tcPr>
            <w:tcW w:w="1814" w:type="dxa"/>
            <w:vAlign w:val="center"/>
          </w:tcPr>
          <w:p w14:paraId="7F0CD86C">
            <w:pPr>
              <w:spacing w:before="20" w:after="20" w:line="259" w:lineRule="auto"/>
              <w:ind w:firstLine="0"/>
              <w:jc w:val="center"/>
            </w:pPr>
            <w:r>
              <w:rPr>
                <w:rFonts w:ascii="Times New Roman" w:hAnsi="Times New Roman" w:eastAsia="宋体"/>
                <w:b w:val="0"/>
                <w:i w:val="0"/>
                <w:sz w:val="18"/>
              </w:rPr>
              <w:t>-0.8957</w:t>
            </w:r>
          </w:p>
        </w:tc>
        <w:tc>
          <w:tcPr>
            <w:tcW w:w="1701" w:type="dxa"/>
            <w:vAlign w:val="center"/>
          </w:tcPr>
          <w:p w14:paraId="322EBE50">
            <w:pPr>
              <w:spacing w:before="20" w:after="20" w:line="259" w:lineRule="auto"/>
              <w:ind w:firstLine="0"/>
              <w:jc w:val="center"/>
            </w:pPr>
            <w:r>
              <w:rPr>
                <w:rFonts w:ascii="Times New Roman" w:hAnsi="Times New Roman" w:eastAsia="宋体"/>
                <w:b w:val="0"/>
                <w:i w:val="0"/>
                <w:sz w:val="18"/>
              </w:rPr>
              <w:t>1.0501</w:t>
            </w:r>
          </w:p>
        </w:tc>
        <w:tc>
          <w:tcPr>
            <w:tcW w:w="1701" w:type="dxa"/>
            <w:vAlign w:val="center"/>
          </w:tcPr>
          <w:p w14:paraId="59007AA1">
            <w:pPr>
              <w:spacing w:before="20" w:after="20" w:line="259" w:lineRule="auto"/>
              <w:ind w:firstLine="0"/>
              <w:jc w:val="center"/>
            </w:pPr>
            <w:r>
              <w:rPr>
                <w:rFonts w:ascii="Times New Roman" w:hAnsi="Times New Roman" w:eastAsia="宋体"/>
                <w:b w:val="0"/>
                <w:i w:val="0"/>
                <w:sz w:val="18"/>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vAlign w:val="center"/>
          </w:tcPr>
          <w:p w14:paraId="0E891F67">
            <w:pPr>
              <w:spacing w:before="20" w:after="20" w:line="259" w:lineRule="auto"/>
              <w:ind w:firstLine="0"/>
              <w:jc w:val="center"/>
            </w:pPr>
            <w:r>
              <w:rPr>
                <w:rFonts w:ascii="Times New Roman" w:hAnsi="Times New Roman" w:eastAsia="宋体"/>
                <w:b w:val="0"/>
                <w:i w:val="0"/>
                <w:sz w:val="18"/>
              </w:rPr>
              <w:t>交易执行能力</w:t>
            </w:r>
          </w:p>
        </w:tc>
        <w:tc>
          <w:tcPr>
            <w:tcW w:w="1814" w:type="dxa"/>
            <w:vAlign w:val="center"/>
          </w:tcPr>
          <w:p w14:paraId="3DBECDF7">
            <w:pPr>
              <w:spacing w:before="20" w:after="20" w:line="259" w:lineRule="auto"/>
              <w:ind w:firstLine="0"/>
              <w:jc w:val="center"/>
            </w:pPr>
            <w:r>
              <w:rPr>
                <w:rFonts w:ascii="Times New Roman" w:hAnsi="Times New Roman" w:eastAsia="宋体"/>
                <w:b w:val="0"/>
                <w:i w:val="0"/>
                <w:sz w:val="18"/>
              </w:rPr>
              <w:t>0.5275</w:t>
            </w:r>
          </w:p>
        </w:tc>
        <w:tc>
          <w:tcPr>
            <w:tcW w:w="1814" w:type="dxa"/>
            <w:vAlign w:val="center"/>
          </w:tcPr>
          <w:p w14:paraId="054D0242">
            <w:pPr>
              <w:spacing w:before="20" w:after="20" w:line="259" w:lineRule="auto"/>
              <w:ind w:firstLine="0"/>
              <w:jc w:val="center"/>
            </w:pPr>
            <w:r>
              <w:rPr>
                <w:rFonts w:ascii="Times New Roman" w:hAnsi="Times New Roman" w:eastAsia="宋体"/>
                <w:b w:val="0"/>
                <w:i w:val="0"/>
                <w:sz w:val="18"/>
              </w:rPr>
              <w:t>-0.1905</w:t>
            </w:r>
          </w:p>
        </w:tc>
        <w:tc>
          <w:tcPr>
            <w:tcW w:w="1701" w:type="dxa"/>
            <w:vAlign w:val="center"/>
          </w:tcPr>
          <w:p w14:paraId="7425C435">
            <w:pPr>
              <w:spacing w:before="20" w:after="20" w:line="259" w:lineRule="auto"/>
              <w:ind w:firstLine="0"/>
              <w:jc w:val="center"/>
            </w:pPr>
            <w:r>
              <w:rPr>
                <w:rFonts w:ascii="Times New Roman" w:hAnsi="Times New Roman" w:eastAsia="宋体"/>
                <w:b w:val="0"/>
                <w:i w:val="0"/>
                <w:sz w:val="18"/>
              </w:rPr>
              <w:t>0.7180</w:t>
            </w:r>
          </w:p>
        </w:tc>
        <w:tc>
          <w:tcPr>
            <w:tcW w:w="1701" w:type="dxa"/>
            <w:vAlign w:val="center"/>
          </w:tcPr>
          <w:p w14:paraId="46AD18AC">
            <w:pPr>
              <w:spacing w:before="20" w:after="20" w:line="259" w:lineRule="auto"/>
              <w:ind w:firstLine="0"/>
              <w:jc w:val="center"/>
            </w:pPr>
            <w:r>
              <w:rPr>
                <w:rFonts w:ascii="Times New Roman" w:hAnsi="Times New Roman" w:eastAsia="宋体"/>
                <w:b w:val="0"/>
                <w:i w:val="0"/>
                <w:sz w:val="18"/>
              </w:rPr>
              <w:t>+3.28***</w:t>
            </w:r>
          </w:p>
        </w:tc>
      </w:tr>
    </w:tbl>
    <w:p w14:paraId="2EEF1EEB">
      <w:pPr>
        <w:spacing w:before="40" w:after="120" w:line="276" w:lineRule="auto"/>
      </w:pPr>
      <w:r>
        <w:t>注：单指标中区分度最高的是下行保护系数（t=+5.40）——最能拉开差距的行为不是选股，而是市场下跌时是否主动收缩暴露；其余显著分化的原始指标已纳入表 1 与表 6 检验。</w:t>
      </w:r>
    </w:p>
    <w:p w14:paraId="763B75AB">
      <w:pPr>
        <w:spacing w:after="80" w:line="324" w:lineRule="auto"/>
        <w:ind w:firstLine="480"/>
      </w:pPr>
      <w:r>
        <w:t>五分组背景对照（表 9）揭示两项规律：其一，规模不经济显著，最低组规模中位数（17.3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t>表 9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850" w:type="dxa"/>
            <w:shd w:val="clear" w:color="auto" w:fill="F2F4F5"/>
            <w:vAlign w:val="center"/>
          </w:tcPr>
          <w:p w14:paraId="43E03A56">
            <w:pPr>
              <w:spacing w:before="20" w:after="20" w:line="259" w:lineRule="auto"/>
              <w:ind w:firstLine="0"/>
              <w:jc w:val="center"/>
            </w:pPr>
            <w:r>
              <w:rPr>
                <w:rFonts w:ascii="Times New Roman" w:hAnsi="Times New Roman" w:eastAsia="黑体"/>
                <w:b/>
                <w:i w:val="0"/>
                <w:sz w:val="17"/>
              </w:rPr>
              <w:t>分组</w:t>
            </w:r>
          </w:p>
        </w:tc>
        <w:tc>
          <w:tcPr>
            <w:tcW w:w="737" w:type="dxa"/>
            <w:shd w:val="clear" w:color="auto" w:fill="F2F4F5"/>
            <w:vAlign w:val="center"/>
          </w:tcPr>
          <w:p w14:paraId="1533E1CC">
            <w:pPr>
              <w:spacing w:before="20" w:after="20" w:line="259" w:lineRule="auto"/>
              <w:ind w:firstLine="0"/>
              <w:jc w:val="center"/>
            </w:pPr>
            <w:r>
              <w:rPr>
                <w:rFonts w:ascii="Times New Roman" w:hAnsi="Times New Roman" w:eastAsia="黑体"/>
                <w:b/>
                <w:i w:val="0"/>
                <w:sz w:val="17"/>
              </w:rPr>
              <w:t>N</w:t>
            </w:r>
          </w:p>
        </w:tc>
        <w:tc>
          <w:tcPr>
            <w:tcW w:w="1247" w:type="dxa"/>
            <w:shd w:val="clear" w:color="auto" w:fill="F2F4F5"/>
            <w:vAlign w:val="center"/>
          </w:tcPr>
          <w:p w14:paraId="452798C4">
            <w:pPr>
              <w:spacing w:before="20" w:after="20" w:line="259" w:lineRule="auto"/>
              <w:ind w:firstLine="0"/>
              <w:jc w:val="center"/>
            </w:pPr>
            <w:r>
              <w:rPr>
                <w:rFonts w:ascii="Times New Roman" w:hAnsi="Times New Roman" w:eastAsia="黑体"/>
                <w:b/>
                <w:i w:val="0"/>
                <w:sz w:val="17"/>
              </w:rPr>
              <w:t>综合能力</w:t>
            </w:r>
          </w:p>
        </w:tc>
        <w:tc>
          <w:tcPr>
            <w:tcW w:w="1247" w:type="dxa"/>
            <w:shd w:val="clear" w:color="auto" w:fill="F2F4F5"/>
            <w:vAlign w:val="center"/>
          </w:tcPr>
          <w:p w14:paraId="0E6A932B">
            <w:pPr>
              <w:spacing w:before="20" w:after="20" w:line="259" w:lineRule="auto"/>
              <w:ind w:firstLine="0"/>
              <w:jc w:val="center"/>
            </w:pPr>
            <w:r>
              <w:rPr>
                <w:rFonts w:ascii="Times New Roman" w:hAnsi="Times New Roman" w:eastAsia="黑体"/>
                <w:b/>
                <w:i w:val="0"/>
                <w:sz w:val="17"/>
              </w:rPr>
              <w:t>FF5 alpha</w:t>
            </w:r>
          </w:p>
        </w:tc>
        <w:tc>
          <w:tcPr>
            <w:tcW w:w="1247" w:type="dxa"/>
            <w:shd w:val="clear" w:color="auto" w:fill="F2F4F5"/>
            <w:vAlign w:val="center"/>
          </w:tcPr>
          <w:p w14:paraId="7475A2D7">
            <w:pPr>
              <w:spacing w:before="20" w:after="20" w:line="259" w:lineRule="auto"/>
              <w:ind w:firstLine="0"/>
              <w:jc w:val="center"/>
            </w:pPr>
            <w:r>
              <w:rPr>
                <w:rFonts w:ascii="Times New Roman" w:hAnsi="Times New Roman" w:eastAsia="黑体"/>
                <w:b/>
                <w:i w:val="0"/>
                <w:sz w:val="17"/>
              </w:rPr>
              <w:t>季度收益</w:t>
            </w:r>
          </w:p>
        </w:tc>
        <w:tc>
          <w:tcPr>
            <w:tcW w:w="1134" w:type="dxa"/>
            <w:shd w:val="clear" w:color="auto" w:fill="F2F4F5"/>
            <w:vAlign w:val="center"/>
          </w:tcPr>
          <w:p w14:paraId="06B2E66D">
            <w:pPr>
              <w:spacing w:before="20" w:after="20" w:line="259" w:lineRule="auto"/>
              <w:ind w:firstLine="0"/>
              <w:jc w:val="center"/>
            </w:pPr>
            <w:r>
              <w:rPr>
                <w:rFonts w:ascii="Times New Roman" w:hAnsi="Times New Roman" w:eastAsia="黑体"/>
                <w:b/>
                <w:i w:val="0"/>
                <w:sz w:val="17"/>
              </w:rPr>
              <w:t>规模(亿)</w:t>
            </w:r>
          </w:p>
        </w:tc>
        <w:tc>
          <w:tcPr>
            <w:tcW w:w="1077" w:type="dxa"/>
            <w:shd w:val="clear" w:color="auto" w:fill="F2F4F5"/>
            <w:vAlign w:val="center"/>
          </w:tcPr>
          <w:p w14:paraId="283081FD">
            <w:pPr>
              <w:spacing w:before="20" w:after="20" w:line="259" w:lineRule="auto"/>
              <w:ind w:firstLine="0"/>
              <w:jc w:val="center"/>
            </w:pPr>
            <w:r>
              <w:rPr>
                <w:rFonts w:ascii="Times New Roman" w:hAnsi="Times New Roman" w:eastAsia="黑体"/>
                <w:b/>
                <w:i w:val="0"/>
                <w:sz w:val="17"/>
              </w:rPr>
              <w:t>背景覆盖</w:t>
            </w:r>
          </w:p>
        </w:tc>
        <w:tc>
          <w:tcPr>
            <w:tcW w:w="1077" w:type="dxa"/>
            <w:shd w:val="clear" w:color="auto" w:fill="F2F4F5"/>
            <w:vAlign w:val="center"/>
          </w:tcPr>
          <w:p w14:paraId="54258D88">
            <w:pPr>
              <w:spacing w:before="20" w:after="20" w:line="259" w:lineRule="auto"/>
              <w:ind w:firstLine="0"/>
              <w:jc w:val="center"/>
            </w:pPr>
            <w:r>
              <w:rPr>
                <w:rFonts w:ascii="Times New Roman" w:hAnsi="Times New Roman" w:eastAsia="黑体"/>
                <w:b/>
                <w:i w:val="0"/>
                <w:sz w:val="17"/>
              </w:rPr>
              <w:t>硕士以上</w:t>
            </w:r>
          </w:p>
        </w:tc>
        <w:tc>
          <w:tcPr>
            <w:tcW w:w="1020" w:type="dxa"/>
            <w:shd w:val="clear" w:color="auto" w:fill="F2F4F5"/>
            <w:vAlign w:val="center"/>
          </w:tcPr>
          <w:p w14:paraId="2CBB1825">
            <w:pPr>
              <w:spacing w:before="20" w:after="20" w:line="259" w:lineRule="auto"/>
              <w:ind w:firstLine="0"/>
              <w:jc w:val="center"/>
            </w:pPr>
            <w:r>
              <w:rPr>
                <w:rFonts w:ascii="Times New Roman" w:hAnsi="Times New Roman" w:eastAsia="黑体"/>
                <w:b/>
                <w:i w:val="0"/>
                <w:sz w:val="17"/>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vAlign w:val="center"/>
          </w:tcPr>
          <w:p w14:paraId="736D0CF2">
            <w:pPr>
              <w:spacing w:before="20" w:after="20" w:line="259" w:lineRule="auto"/>
              <w:ind w:firstLine="0"/>
              <w:jc w:val="center"/>
            </w:pPr>
            <w:r>
              <w:rPr>
                <w:rFonts w:ascii="Times New Roman" w:hAnsi="Times New Roman" w:eastAsia="宋体"/>
                <w:b w:val="0"/>
                <w:i w:val="0"/>
                <w:sz w:val="17"/>
              </w:rPr>
              <w:t>Q1</w:t>
            </w:r>
          </w:p>
        </w:tc>
        <w:tc>
          <w:tcPr>
            <w:tcW w:w="737" w:type="dxa"/>
            <w:vAlign w:val="center"/>
          </w:tcPr>
          <w:p w14:paraId="25562D13">
            <w:pPr>
              <w:spacing w:before="20" w:after="20" w:line="259" w:lineRule="auto"/>
              <w:ind w:firstLine="0"/>
              <w:jc w:val="center"/>
            </w:pPr>
            <w:r>
              <w:rPr>
                <w:rFonts w:ascii="Times New Roman" w:hAnsi="Times New Roman" w:eastAsia="宋体"/>
                <w:b w:val="0"/>
                <w:i w:val="0"/>
                <w:sz w:val="17"/>
              </w:rPr>
              <w:t>73</w:t>
            </w:r>
          </w:p>
        </w:tc>
        <w:tc>
          <w:tcPr>
            <w:tcW w:w="1247" w:type="dxa"/>
            <w:vAlign w:val="center"/>
          </w:tcPr>
          <w:p w14:paraId="78EDBAFE">
            <w:pPr>
              <w:spacing w:before="20" w:after="20" w:line="259" w:lineRule="auto"/>
              <w:ind w:firstLine="0"/>
              <w:jc w:val="center"/>
            </w:pPr>
            <w:r>
              <w:rPr>
                <w:rFonts w:ascii="Times New Roman" w:hAnsi="Times New Roman" w:eastAsia="宋体"/>
                <w:b w:val="0"/>
                <w:i w:val="0"/>
                <w:sz w:val="17"/>
              </w:rPr>
              <w:t>-0.6152</w:t>
            </w:r>
          </w:p>
        </w:tc>
        <w:tc>
          <w:tcPr>
            <w:tcW w:w="1247" w:type="dxa"/>
            <w:vAlign w:val="center"/>
          </w:tcPr>
          <w:p w14:paraId="32C8A97F">
            <w:pPr>
              <w:spacing w:before="20" w:after="20" w:line="259" w:lineRule="auto"/>
              <w:ind w:firstLine="0"/>
              <w:jc w:val="center"/>
            </w:pPr>
            <w:r>
              <w:rPr>
                <w:rFonts w:ascii="Times New Roman" w:hAnsi="Times New Roman" w:eastAsia="宋体"/>
                <w:b w:val="0"/>
                <w:i w:val="0"/>
                <w:sz w:val="17"/>
              </w:rPr>
              <w:t>0.51%</w:t>
            </w:r>
          </w:p>
        </w:tc>
        <w:tc>
          <w:tcPr>
            <w:tcW w:w="1247" w:type="dxa"/>
            <w:vAlign w:val="center"/>
          </w:tcPr>
          <w:p w14:paraId="07DDA934">
            <w:pPr>
              <w:spacing w:before="20" w:after="20" w:line="259" w:lineRule="auto"/>
              <w:ind w:firstLine="0"/>
              <w:jc w:val="center"/>
            </w:pPr>
            <w:r>
              <w:rPr>
                <w:rFonts w:ascii="Times New Roman" w:hAnsi="Times New Roman" w:eastAsia="宋体"/>
                <w:b w:val="0"/>
                <w:i w:val="0"/>
                <w:sz w:val="17"/>
              </w:rPr>
              <w:t>4.23%</w:t>
            </w:r>
          </w:p>
        </w:tc>
        <w:tc>
          <w:tcPr>
            <w:tcW w:w="1134" w:type="dxa"/>
            <w:vAlign w:val="center"/>
          </w:tcPr>
          <w:p w14:paraId="06D1D378">
            <w:pPr>
              <w:spacing w:before="20" w:after="20" w:line="259" w:lineRule="auto"/>
              <w:ind w:firstLine="0"/>
              <w:jc w:val="center"/>
            </w:pPr>
            <w:r>
              <w:rPr>
                <w:rFonts w:ascii="Times New Roman" w:hAnsi="Times New Roman" w:eastAsia="宋体"/>
                <w:b w:val="0"/>
                <w:i w:val="0"/>
                <w:sz w:val="17"/>
              </w:rPr>
              <w:t>17.3</w:t>
            </w:r>
          </w:p>
        </w:tc>
        <w:tc>
          <w:tcPr>
            <w:tcW w:w="1077" w:type="dxa"/>
            <w:vAlign w:val="center"/>
          </w:tcPr>
          <w:p w14:paraId="21516D8E">
            <w:pPr>
              <w:spacing w:before="20" w:after="20" w:line="259" w:lineRule="auto"/>
              <w:ind w:firstLine="0"/>
              <w:jc w:val="center"/>
            </w:pPr>
            <w:r>
              <w:rPr>
                <w:rFonts w:ascii="Times New Roman" w:hAnsi="Times New Roman" w:eastAsia="宋体"/>
                <w:b w:val="0"/>
                <w:i w:val="0"/>
                <w:sz w:val="17"/>
              </w:rPr>
              <w:t>97%</w:t>
            </w:r>
          </w:p>
        </w:tc>
        <w:tc>
          <w:tcPr>
            <w:tcW w:w="1077" w:type="dxa"/>
            <w:vAlign w:val="center"/>
          </w:tcPr>
          <w:p w14:paraId="75668E9A">
            <w:pPr>
              <w:spacing w:before="20" w:after="20" w:line="259" w:lineRule="auto"/>
              <w:ind w:firstLine="0"/>
              <w:jc w:val="center"/>
            </w:pPr>
            <w:r>
              <w:rPr>
                <w:rFonts w:ascii="Times New Roman" w:hAnsi="Times New Roman" w:eastAsia="宋体"/>
                <w:b w:val="0"/>
                <w:i w:val="0"/>
                <w:sz w:val="17"/>
              </w:rPr>
              <w:t>100%</w:t>
            </w:r>
          </w:p>
        </w:tc>
        <w:tc>
          <w:tcPr>
            <w:tcW w:w="1020" w:type="dxa"/>
            <w:vAlign w:val="center"/>
          </w:tcPr>
          <w:p w14:paraId="655EC341">
            <w:pPr>
              <w:spacing w:before="20" w:after="20" w:line="259" w:lineRule="auto"/>
              <w:ind w:firstLine="0"/>
              <w:jc w:val="center"/>
            </w:pPr>
            <w:r>
              <w:rPr>
                <w:rFonts w:ascii="Times New Roman" w:hAnsi="Times New Roman" w:eastAsia="宋体"/>
                <w:b w:val="0"/>
                <w:i w:val="0"/>
                <w:sz w:val="17"/>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vAlign w:val="center"/>
          </w:tcPr>
          <w:p w14:paraId="4EA5DBD6">
            <w:pPr>
              <w:spacing w:before="20" w:after="20" w:line="259" w:lineRule="auto"/>
              <w:ind w:firstLine="0"/>
              <w:jc w:val="center"/>
            </w:pPr>
            <w:r>
              <w:rPr>
                <w:rFonts w:ascii="Times New Roman" w:hAnsi="Times New Roman" w:eastAsia="宋体"/>
                <w:b w:val="0"/>
                <w:i w:val="0"/>
                <w:sz w:val="17"/>
              </w:rPr>
              <w:t>Q2</w:t>
            </w:r>
          </w:p>
        </w:tc>
        <w:tc>
          <w:tcPr>
            <w:tcW w:w="737" w:type="dxa"/>
            <w:vAlign w:val="center"/>
          </w:tcPr>
          <w:p w14:paraId="01D0FDFC">
            <w:pPr>
              <w:spacing w:before="20" w:after="20" w:line="259" w:lineRule="auto"/>
              <w:ind w:firstLine="0"/>
              <w:jc w:val="center"/>
            </w:pPr>
            <w:r>
              <w:rPr>
                <w:rFonts w:ascii="Times New Roman" w:hAnsi="Times New Roman" w:eastAsia="宋体"/>
                <w:b w:val="0"/>
                <w:i w:val="0"/>
                <w:sz w:val="17"/>
              </w:rPr>
              <w:t>72</w:t>
            </w:r>
          </w:p>
        </w:tc>
        <w:tc>
          <w:tcPr>
            <w:tcW w:w="1247" w:type="dxa"/>
            <w:vAlign w:val="center"/>
          </w:tcPr>
          <w:p w14:paraId="1E86123E">
            <w:pPr>
              <w:spacing w:before="20" w:after="20" w:line="259" w:lineRule="auto"/>
              <w:ind w:firstLine="0"/>
              <w:jc w:val="center"/>
            </w:pPr>
            <w:r>
              <w:rPr>
                <w:rFonts w:ascii="Times New Roman" w:hAnsi="Times New Roman" w:eastAsia="宋体"/>
                <w:b w:val="0"/>
                <w:i w:val="0"/>
                <w:sz w:val="17"/>
              </w:rPr>
              <w:t>-0.3354</w:t>
            </w:r>
          </w:p>
        </w:tc>
        <w:tc>
          <w:tcPr>
            <w:tcW w:w="1247" w:type="dxa"/>
            <w:vAlign w:val="center"/>
          </w:tcPr>
          <w:p w14:paraId="0CC9BB30">
            <w:pPr>
              <w:spacing w:before="20" w:after="20" w:line="259" w:lineRule="auto"/>
              <w:ind w:firstLine="0"/>
              <w:jc w:val="center"/>
            </w:pPr>
            <w:r>
              <w:rPr>
                <w:rFonts w:ascii="Times New Roman" w:hAnsi="Times New Roman" w:eastAsia="宋体"/>
                <w:b w:val="0"/>
                <w:i w:val="0"/>
                <w:sz w:val="17"/>
              </w:rPr>
              <w:t>1.61%</w:t>
            </w:r>
          </w:p>
        </w:tc>
        <w:tc>
          <w:tcPr>
            <w:tcW w:w="1247" w:type="dxa"/>
            <w:vAlign w:val="center"/>
          </w:tcPr>
          <w:p w14:paraId="4222DBF0">
            <w:pPr>
              <w:spacing w:before="20" w:after="20" w:line="259" w:lineRule="auto"/>
              <w:ind w:firstLine="0"/>
              <w:jc w:val="center"/>
            </w:pPr>
            <w:r>
              <w:rPr>
                <w:rFonts w:ascii="Times New Roman" w:hAnsi="Times New Roman" w:eastAsia="宋体"/>
                <w:b w:val="0"/>
                <w:i w:val="0"/>
                <w:sz w:val="17"/>
              </w:rPr>
              <w:t>5.47%</w:t>
            </w:r>
          </w:p>
        </w:tc>
        <w:tc>
          <w:tcPr>
            <w:tcW w:w="1134" w:type="dxa"/>
            <w:vAlign w:val="center"/>
          </w:tcPr>
          <w:p w14:paraId="3962DB25">
            <w:pPr>
              <w:spacing w:before="20" w:after="20" w:line="259" w:lineRule="auto"/>
              <w:ind w:firstLine="0"/>
              <w:jc w:val="center"/>
            </w:pPr>
            <w:r>
              <w:rPr>
                <w:rFonts w:ascii="Times New Roman" w:hAnsi="Times New Roman" w:eastAsia="宋体"/>
                <w:b w:val="0"/>
                <w:i w:val="0"/>
                <w:sz w:val="17"/>
              </w:rPr>
              <w:t>8.1</w:t>
            </w:r>
          </w:p>
        </w:tc>
        <w:tc>
          <w:tcPr>
            <w:tcW w:w="1077" w:type="dxa"/>
            <w:vAlign w:val="center"/>
          </w:tcPr>
          <w:p w14:paraId="1198CE6F">
            <w:pPr>
              <w:spacing w:before="20" w:after="20" w:line="259" w:lineRule="auto"/>
              <w:ind w:firstLine="0"/>
              <w:jc w:val="center"/>
            </w:pPr>
            <w:r>
              <w:rPr>
                <w:rFonts w:ascii="Times New Roman" w:hAnsi="Times New Roman" w:eastAsia="宋体"/>
                <w:b w:val="0"/>
                <w:i w:val="0"/>
                <w:sz w:val="17"/>
              </w:rPr>
              <w:t>96%</w:t>
            </w:r>
          </w:p>
        </w:tc>
        <w:tc>
          <w:tcPr>
            <w:tcW w:w="1077" w:type="dxa"/>
            <w:vAlign w:val="center"/>
          </w:tcPr>
          <w:p w14:paraId="7C7E7475">
            <w:pPr>
              <w:spacing w:before="20" w:after="20" w:line="259" w:lineRule="auto"/>
              <w:ind w:firstLine="0"/>
              <w:jc w:val="center"/>
            </w:pPr>
            <w:r>
              <w:rPr>
                <w:rFonts w:ascii="Times New Roman" w:hAnsi="Times New Roman" w:eastAsia="宋体"/>
                <w:b w:val="0"/>
                <w:i w:val="0"/>
                <w:sz w:val="17"/>
              </w:rPr>
              <w:t>96%</w:t>
            </w:r>
          </w:p>
        </w:tc>
        <w:tc>
          <w:tcPr>
            <w:tcW w:w="1020" w:type="dxa"/>
            <w:vAlign w:val="center"/>
          </w:tcPr>
          <w:p w14:paraId="295CE9D9">
            <w:pPr>
              <w:spacing w:before="20" w:after="20" w:line="259" w:lineRule="auto"/>
              <w:ind w:firstLine="0"/>
              <w:jc w:val="center"/>
            </w:pPr>
            <w:r>
              <w:rPr>
                <w:rFonts w:ascii="Times New Roman" w:hAnsi="Times New Roman" w:eastAsia="宋体"/>
                <w:b w:val="0"/>
                <w:i w:val="0"/>
                <w:sz w:val="17"/>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vAlign w:val="center"/>
          </w:tcPr>
          <w:p w14:paraId="592DF3BB">
            <w:pPr>
              <w:spacing w:before="20" w:after="20" w:line="259" w:lineRule="auto"/>
              <w:ind w:firstLine="0"/>
              <w:jc w:val="center"/>
            </w:pPr>
            <w:r>
              <w:rPr>
                <w:rFonts w:ascii="Times New Roman" w:hAnsi="Times New Roman" w:eastAsia="宋体"/>
                <w:b w:val="0"/>
                <w:i w:val="0"/>
                <w:sz w:val="17"/>
              </w:rPr>
              <w:t>Q3</w:t>
            </w:r>
          </w:p>
        </w:tc>
        <w:tc>
          <w:tcPr>
            <w:tcW w:w="737" w:type="dxa"/>
            <w:vAlign w:val="center"/>
          </w:tcPr>
          <w:p w14:paraId="6597A6AC">
            <w:pPr>
              <w:spacing w:before="20" w:after="20" w:line="259" w:lineRule="auto"/>
              <w:ind w:firstLine="0"/>
              <w:jc w:val="center"/>
            </w:pPr>
            <w:r>
              <w:rPr>
                <w:rFonts w:ascii="Times New Roman" w:hAnsi="Times New Roman" w:eastAsia="宋体"/>
                <w:b w:val="0"/>
                <w:i w:val="0"/>
                <w:sz w:val="17"/>
              </w:rPr>
              <w:t>72</w:t>
            </w:r>
          </w:p>
        </w:tc>
        <w:tc>
          <w:tcPr>
            <w:tcW w:w="1247" w:type="dxa"/>
            <w:vAlign w:val="center"/>
          </w:tcPr>
          <w:p w14:paraId="59EA8CAD">
            <w:pPr>
              <w:spacing w:before="20" w:after="20" w:line="259" w:lineRule="auto"/>
              <w:ind w:firstLine="0"/>
              <w:jc w:val="center"/>
            </w:pPr>
            <w:r>
              <w:rPr>
                <w:rFonts w:ascii="Times New Roman" w:hAnsi="Times New Roman" w:eastAsia="宋体"/>
                <w:b w:val="0"/>
                <w:i w:val="0"/>
                <w:sz w:val="17"/>
              </w:rPr>
              <w:t>-0.1393</w:t>
            </w:r>
          </w:p>
        </w:tc>
        <w:tc>
          <w:tcPr>
            <w:tcW w:w="1247" w:type="dxa"/>
            <w:vAlign w:val="center"/>
          </w:tcPr>
          <w:p w14:paraId="71070121">
            <w:pPr>
              <w:spacing w:before="20" w:after="20" w:line="259" w:lineRule="auto"/>
              <w:ind w:firstLine="0"/>
              <w:jc w:val="center"/>
            </w:pPr>
            <w:r>
              <w:rPr>
                <w:rFonts w:ascii="Times New Roman" w:hAnsi="Times New Roman" w:eastAsia="宋体"/>
                <w:b w:val="0"/>
                <w:i w:val="0"/>
                <w:sz w:val="17"/>
              </w:rPr>
              <w:t>1.95%</w:t>
            </w:r>
          </w:p>
        </w:tc>
        <w:tc>
          <w:tcPr>
            <w:tcW w:w="1247" w:type="dxa"/>
            <w:vAlign w:val="center"/>
          </w:tcPr>
          <w:p w14:paraId="18FE97E8">
            <w:pPr>
              <w:spacing w:before="20" w:after="20" w:line="259" w:lineRule="auto"/>
              <w:ind w:firstLine="0"/>
              <w:jc w:val="center"/>
            </w:pPr>
            <w:r>
              <w:rPr>
                <w:rFonts w:ascii="Times New Roman" w:hAnsi="Times New Roman" w:eastAsia="宋体"/>
                <w:b w:val="0"/>
                <w:i w:val="0"/>
                <w:sz w:val="17"/>
              </w:rPr>
              <w:t>6.93%</w:t>
            </w:r>
          </w:p>
        </w:tc>
        <w:tc>
          <w:tcPr>
            <w:tcW w:w="1134" w:type="dxa"/>
            <w:vAlign w:val="center"/>
          </w:tcPr>
          <w:p w14:paraId="61A95688">
            <w:pPr>
              <w:spacing w:before="20" w:after="20" w:line="259" w:lineRule="auto"/>
              <w:ind w:firstLine="0"/>
              <w:jc w:val="center"/>
            </w:pPr>
            <w:r>
              <w:rPr>
                <w:rFonts w:ascii="Times New Roman" w:hAnsi="Times New Roman" w:eastAsia="宋体"/>
                <w:b w:val="0"/>
                <w:i w:val="0"/>
                <w:sz w:val="17"/>
              </w:rPr>
              <w:t>7.9</w:t>
            </w:r>
          </w:p>
        </w:tc>
        <w:tc>
          <w:tcPr>
            <w:tcW w:w="1077" w:type="dxa"/>
            <w:vAlign w:val="center"/>
          </w:tcPr>
          <w:p w14:paraId="209570AA">
            <w:pPr>
              <w:spacing w:before="20" w:after="20" w:line="259" w:lineRule="auto"/>
              <w:ind w:firstLine="0"/>
              <w:jc w:val="center"/>
            </w:pPr>
            <w:r>
              <w:rPr>
                <w:rFonts w:ascii="Times New Roman" w:hAnsi="Times New Roman" w:eastAsia="宋体"/>
                <w:b w:val="0"/>
                <w:i w:val="0"/>
                <w:sz w:val="17"/>
              </w:rPr>
              <w:t>85%</w:t>
            </w:r>
          </w:p>
        </w:tc>
        <w:tc>
          <w:tcPr>
            <w:tcW w:w="1077" w:type="dxa"/>
            <w:vAlign w:val="center"/>
          </w:tcPr>
          <w:p w14:paraId="7B6B1949">
            <w:pPr>
              <w:spacing w:before="20" w:after="20" w:line="259" w:lineRule="auto"/>
              <w:ind w:firstLine="0"/>
              <w:jc w:val="center"/>
            </w:pPr>
            <w:r>
              <w:rPr>
                <w:rFonts w:ascii="Times New Roman" w:hAnsi="Times New Roman" w:eastAsia="宋体"/>
                <w:b w:val="0"/>
                <w:i w:val="0"/>
                <w:sz w:val="17"/>
              </w:rPr>
              <w:t>100%</w:t>
            </w:r>
          </w:p>
        </w:tc>
        <w:tc>
          <w:tcPr>
            <w:tcW w:w="1020" w:type="dxa"/>
            <w:vAlign w:val="center"/>
          </w:tcPr>
          <w:p w14:paraId="774F5F7A">
            <w:pPr>
              <w:spacing w:before="20" w:after="20" w:line="259" w:lineRule="auto"/>
              <w:ind w:firstLine="0"/>
              <w:jc w:val="center"/>
            </w:pPr>
            <w:r>
              <w:rPr>
                <w:rFonts w:ascii="Times New Roman" w:hAnsi="Times New Roman" w:eastAsia="宋体"/>
                <w:b w:val="0"/>
                <w:i w:val="0"/>
                <w:sz w:val="17"/>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vAlign w:val="center"/>
          </w:tcPr>
          <w:p w14:paraId="754B47B7">
            <w:pPr>
              <w:spacing w:before="20" w:after="20" w:line="259" w:lineRule="auto"/>
              <w:ind w:firstLine="0"/>
              <w:jc w:val="center"/>
            </w:pPr>
            <w:r>
              <w:rPr>
                <w:rFonts w:ascii="Times New Roman" w:hAnsi="Times New Roman" w:eastAsia="宋体"/>
                <w:b w:val="0"/>
                <w:i w:val="0"/>
                <w:sz w:val="17"/>
              </w:rPr>
              <w:t>Q4</w:t>
            </w:r>
          </w:p>
        </w:tc>
        <w:tc>
          <w:tcPr>
            <w:tcW w:w="737" w:type="dxa"/>
            <w:vAlign w:val="center"/>
          </w:tcPr>
          <w:p w14:paraId="09B71A7D">
            <w:pPr>
              <w:spacing w:before="20" w:after="20" w:line="259" w:lineRule="auto"/>
              <w:ind w:firstLine="0"/>
              <w:jc w:val="center"/>
            </w:pPr>
            <w:r>
              <w:rPr>
                <w:rFonts w:ascii="Times New Roman" w:hAnsi="Times New Roman" w:eastAsia="宋体"/>
                <w:b w:val="0"/>
                <w:i w:val="0"/>
                <w:sz w:val="17"/>
              </w:rPr>
              <w:t>72</w:t>
            </w:r>
          </w:p>
        </w:tc>
        <w:tc>
          <w:tcPr>
            <w:tcW w:w="1247" w:type="dxa"/>
            <w:vAlign w:val="center"/>
          </w:tcPr>
          <w:p w14:paraId="416F6C69">
            <w:pPr>
              <w:spacing w:before="20" w:after="20" w:line="259" w:lineRule="auto"/>
              <w:ind w:firstLine="0"/>
              <w:jc w:val="center"/>
            </w:pPr>
            <w:r>
              <w:rPr>
                <w:rFonts w:ascii="Times New Roman" w:hAnsi="Times New Roman" w:eastAsia="宋体"/>
                <w:b w:val="0"/>
                <w:i w:val="0"/>
                <w:sz w:val="17"/>
              </w:rPr>
              <w:t>0.0583</w:t>
            </w:r>
          </w:p>
        </w:tc>
        <w:tc>
          <w:tcPr>
            <w:tcW w:w="1247" w:type="dxa"/>
            <w:vAlign w:val="center"/>
          </w:tcPr>
          <w:p w14:paraId="5C5BADA8">
            <w:pPr>
              <w:spacing w:before="20" w:after="20" w:line="259" w:lineRule="auto"/>
              <w:ind w:firstLine="0"/>
              <w:jc w:val="center"/>
            </w:pPr>
            <w:r>
              <w:rPr>
                <w:rFonts w:ascii="Times New Roman" w:hAnsi="Times New Roman" w:eastAsia="宋体"/>
                <w:b w:val="0"/>
                <w:i w:val="0"/>
                <w:sz w:val="17"/>
              </w:rPr>
              <w:t>2.24%</w:t>
            </w:r>
          </w:p>
        </w:tc>
        <w:tc>
          <w:tcPr>
            <w:tcW w:w="1247" w:type="dxa"/>
            <w:vAlign w:val="center"/>
          </w:tcPr>
          <w:p w14:paraId="315E4E41">
            <w:pPr>
              <w:spacing w:before="20" w:after="20" w:line="259" w:lineRule="auto"/>
              <w:ind w:firstLine="0"/>
              <w:jc w:val="center"/>
            </w:pPr>
            <w:r>
              <w:rPr>
                <w:rFonts w:ascii="Times New Roman" w:hAnsi="Times New Roman" w:eastAsia="宋体"/>
                <w:b w:val="0"/>
                <w:i w:val="0"/>
                <w:sz w:val="17"/>
              </w:rPr>
              <w:t>6.64%</w:t>
            </w:r>
          </w:p>
        </w:tc>
        <w:tc>
          <w:tcPr>
            <w:tcW w:w="1134" w:type="dxa"/>
            <w:vAlign w:val="center"/>
          </w:tcPr>
          <w:p w14:paraId="12B9EA44">
            <w:pPr>
              <w:spacing w:before="20" w:after="20" w:line="259" w:lineRule="auto"/>
              <w:ind w:firstLine="0"/>
              <w:jc w:val="center"/>
            </w:pPr>
            <w:r>
              <w:rPr>
                <w:rFonts w:ascii="Times New Roman" w:hAnsi="Times New Roman" w:eastAsia="宋体"/>
                <w:b w:val="0"/>
                <w:i w:val="0"/>
                <w:sz w:val="17"/>
              </w:rPr>
              <w:t>6.8</w:t>
            </w:r>
          </w:p>
        </w:tc>
        <w:tc>
          <w:tcPr>
            <w:tcW w:w="1077" w:type="dxa"/>
            <w:vAlign w:val="center"/>
          </w:tcPr>
          <w:p w14:paraId="6EEA8D4C">
            <w:pPr>
              <w:spacing w:before="20" w:after="20" w:line="259" w:lineRule="auto"/>
              <w:ind w:firstLine="0"/>
              <w:jc w:val="center"/>
            </w:pPr>
            <w:r>
              <w:rPr>
                <w:rFonts w:ascii="Times New Roman" w:hAnsi="Times New Roman" w:eastAsia="宋体"/>
                <w:b w:val="0"/>
                <w:i w:val="0"/>
                <w:sz w:val="17"/>
              </w:rPr>
              <w:t>85%</w:t>
            </w:r>
          </w:p>
        </w:tc>
        <w:tc>
          <w:tcPr>
            <w:tcW w:w="1077" w:type="dxa"/>
            <w:vAlign w:val="center"/>
          </w:tcPr>
          <w:p w14:paraId="585824E7">
            <w:pPr>
              <w:spacing w:before="20" w:after="20" w:line="259" w:lineRule="auto"/>
              <w:ind w:firstLine="0"/>
              <w:jc w:val="center"/>
            </w:pPr>
            <w:r>
              <w:rPr>
                <w:rFonts w:ascii="Times New Roman" w:hAnsi="Times New Roman" w:eastAsia="宋体"/>
                <w:b w:val="0"/>
                <w:i w:val="0"/>
                <w:sz w:val="17"/>
              </w:rPr>
              <w:t>100%</w:t>
            </w:r>
          </w:p>
        </w:tc>
        <w:tc>
          <w:tcPr>
            <w:tcW w:w="1020" w:type="dxa"/>
            <w:vAlign w:val="center"/>
          </w:tcPr>
          <w:p w14:paraId="27C5EC0E">
            <w:pPr>
              <w:spacing w:before="20" w:after="20" w:line="259" w:lineRule="auto"/>
              <w:ind w:firstLine="0"/>
              <w:jc w:val="center"/>
            </w:pPr>
            <w:r>
              <w:rPr>
                <w:rFonts w:ascii="Times New Roman" w:hAnsi="Times New Roman" w:eastAsia="宋体"/>
                <w:b w:val="0"/>
                <w:i w:val="0"/>
                <w:sz w:val="17"/>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vAlign w:val="center"/>
          </w:tcPr>
          <w:p w14:paraId="44DD6999">
            <w:pPr>
              <w:spacing w:before="20" w:after="20" w:line="259" w:lineRule="auto"/>
              <w:ind w:firstLine="0"/>
              <w:jc w:val="center"/>
            </w:pPr>
            <w:r>
              <w:rPr>
                <w:rFonts w:ascii="Times New Roman" w:hAnsi="Times New Roman" w:eastAsia="宋体"/>
                <w:b w:val="0"/>
                <w:i w:val="0"/>
                <w:sz w:val="17"/>
              </w:rPr>
              <w:t>Q5</w:t>
            </w:r>
          </w:p>
        </w:tc>
        <w:tc>
          <w:tcPr>
            <w:tcW w:w="737" w:type="dxa"/>
            <w:vAlign w:val="center"/>
          </w:tcPr>
          <w:p w14:paraId="48383492">
            <w:pPr>
              <w:spacing w:before="20" w:after="20" w:line="259" w:lineRule="auto"/>
              <w:ind w:firstLine="0"/>
              <w:jc w:val="center"/>
            </w:pPr>
            <w:r>
              <w:rPr>
                <w:rFonts w:ascii="Times New Roman" w:hAnsi="Times New Roman" w:eastAsia="宋体"/>
                <w:b w:val="0"/>
                <w:i w:val="0"/>
                <w:sz w:val="17"/>
              </w:rPr>
              <w:t>73</w:t>
            </w:r>
          </w:p>
        </w:tc>
        <w:tc>
          <w:tcPr>
            <w:tcW w:w="1247" w:type="dxa"/>
            <w:vAlign w:val="center"/>
          </w:tcPr>
          <w:p w14:paraId="124C02CC">
            <w:pPr>
              <w:spacing w:before="20" w:after="20" w:line="259" w:lineRule="auto"/>
              <w:ind w:firstLine="0"/>
              <w:jc w:val="center"/>
            </w:pPr>
            <w:r>
              <w:rPr>
                <w:rFonts w:ascii="Times New Roman" w:hAnsi="Times New Roman" w:eastAsia="宋体"/>
                <w:b w:val="0"/>
                <w:i w:val="0"/>
                <w:sz w:val="17"/>
              </w:rPr>
              <w:t>0.5011</w:t>
            </w:r>
          </w:p>
        </w:tc>
        <w:tc>
          <w:tcPr>
            <w:tcW w:w="1247" w:type="dxa"/>
            <w:vAlign w:val="center"/>
          </w:tcPr>
          <w:p w14:paraId="660E873E">
            <w:pPr>
              <w:spacing w:before="20" w:after="20" w:line="259" w:lineRule="auto"/>
              <w:ind w:firstLine="0"/>
              <w:jc w:val="center"/>
            </w:pPr>
            <w:r>
              <w:rPr>
                <w:rFonts w:ascii="Times New Roman" w:hAnsi="Times New Roman" w:eastAsia="宋体"/>
                <w:b w:val="0"/>
                <w:i w:val="0"/>
                <w:sz w:val="17"/>
              </w:rPr>
              <w:t>3.85%</w:t>
            </w:r>
          </w:p>
        </w:tc>
        <w:tc>
          <w:tcPr>
            <w:tcW w:w="1247" w:type="dxa"/>
            <w:vAlign w:val="center"/>
          </w:tcPr>
          <w:p w14:paraId="31693965">
            <w:pPr>
              <w:spacing w:before="20" w:after="20" w:line="259" w:lineRule="auto"/>
              <w:ind w:firstLine="0"/>
              <w:jc w:val="center"/>
            </w:pPr>
            <w:r>
              <w:rPr>
                <w:rFonts w:ascii="Times New Roman" w:hAnsi="Times New Roman" w:eastAsia="宋体"/>
                <w:b w:val="0"/>
                <w:i w:val="0"/>
                <w:sz w:val="17"/>
              </w:rPr>
              <w:t>9.96%</w:t>
            </w:r>
          </w:p>
        </w:tc>
        <w:tc>
          <w:tcPr>
            <w:tcW w:w="1134" w:type="dxa"/>
            <w:vAlign w:val="center"/>
          </w:tcPr>
          <w:p w14:paraId="41D5C396">
            <w:pPr>
              <w:spacing w:before="20" w:after="20" w:line="259" w:lineRule="auto"/>
              <w:ind w:firstLine="0"/>
              <w:jc w:val="center"/>
            </w:pPr>
            <w:r>
              <w:rPr>
                <w:rFonts w:ascii="Times New Roman" w:hAnsi="Times New Roman" w:eastAsia="宋体"/>
                <w:b w:val="0"/>
                <w:i w:val="0"/>
                <w:sz w:val="17"/>
              </w:rPr>
              <w:t>4.4</w:t>
            </w:r>
          </w:p>
        </w:tc>
        <w:tc>
          <w:tcPr>
            <w:tcW w:w="1077" w:type="dxa"/>
            <w:vAlign w:val="center"/>
          </w:tcPr>
          <w:p w14:paraId="255BEC7C">
            <w:pPr>
              <w:spacing w:before="20" w:after="20" w:line="259" w:lineRule="auto"/>
              <w:ind w:firstLine="0"/>
              <w:jc w:val="center"/>
            </w:pPr>
            <w:r>
              <w:rPr>
                <w:rFonts w:ascii="Times New Roman" w:hAnsi="Times New Roman" w:eastAsia="宋体"/>
                <w:b w:val="0"/>
                <w:i w:val="0"/>
                <w:sz w:val="17"/>
              </w:rPr>
              <w:t>82%</w:t>
            </w:r>
          </w:p>
        </w:tc>
        <w:tc>
          <w:tcPr>
            <w:tcW w:w="1077" w:type="dxa"/>
            <w:vAlign w:val="center"/>
          </w:tcPr>
          <w:p w14:paraId="618FEC92">
            <w:pPr>
              <w:spacing w:before="20" w:after="20" w:line="259" w:lineRule="auto"/>
              <w:ind w:firstLine="0"/>
              <w:jc w:val="center"/>
            </w:pPr>
            <w:r>
              <w:rPr>
                <w:rFonts w:ascii="Times New Roman" w:hAnsi="Times New Roman" w:eastAsia="宋体"/>
                <w:b w:val="0"/>
                <w:i w:val="0"/>
                <w:sz w:val="17"/>
              </w:rPr>
              <w:t>100%</w:t>
            </w:r>
          </w:p>
        </w:tc>
        <w:tc>
          <w:tcPr>
            <w:tcW w:w="1020" w:type="dxa"/>
            <w:vAlign w:val="center"/>
          </w:tcPr>
          <w:p w14:paraId="1128904B">
            <w:pPr>
              <w:spacing w:before="20" w:after="20" w:line="259" w:lineRule="auto"/>
              <w:ind w:firstLine="0"/>
              <w:jc w:val="center"/>
            </w:pPr>
            <w:r>
              <w:rPr>
                <w:rFonts w:ascii="Times New Roman" w:hAnsi="Times New Roman" w:eastAsia="宋体"/>
                <w:b w:val="0"/>
                <w:i w:val="0"/>
                <w:sz w:val="17"/>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t>我们从全样本 400 只基金里挑了 6 位经理（表 10）：①综合能力全样本第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t>表 10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474" w:type="dxa"/>
            <w:shd w:val="clear" w:color="auto" w:fill="F2F4F5"/>
            <w:vAlign w:val="center"/>
          </w:tcPr>
          <w:p w14:paraId="73413631">
            <w:pPr>
              <w:spacing w:before="20" w:after="20" w:line="259" w:lineRule="auto"/>
              <w:ind w:firstLine="0"/>
              <w:jc w:val="center"/>
            </w:pPr>
            <w:r>
              <w:rPr>
                <w:rFonts w:ascii="Times New Roman" w:hAnsi="Times New Roman" w:eastAsia="黑体"/>
                <w:b/>
                <w:i w:val="0"/>
                <w:sz w:val="15"/>
              </w:rPr>
              <w:t>形态</w:t>
            </w:r>
          </w:p>
        </w:tc>
        <w:tc>
          <w:tcPr>
            <w:tcW w:w="2154" w:type="dxa"/>
            <w:shd w:val="clear" w:color="auto" w:fill="F2F4F5"/>
            <w:vAlign w:val="center"/>
          </w:tcPr>
          <w:p w14:paraId="6D30DAD8">
            <w:pPr>
              <w:spacing w:before="20" w:after="20" w:line="259" w:lineRule="auto"/>
              <w:ind w:firstLine="0"/>
              <w:jc w:val="center"/>
            </w:pPr>
            <w:r>
              <w:rPr>
                <w:rFonts w:ascii="Times New Roman" w:hAnsi="Times New Roman" w:eastAsia="黑体"/>
                <w:b/>
                <w:i w:val="0"/>
                <w:sz w:val="15"/>
              </w:rPr>
              <w:t>基金／经理／公司</w:t>
            </w:r>
          </w:p>
        </w:tc>
        <w:tc>
          <w:tcPr>
            <w:tcW w:w="794" w:type="dxa"/>
            <w:shd w:val="clear" w:color="auto" w:fill="F2F4F5"/>
            <w:vAlign w:val="center"/>
          </w:tcPr>
          <w:p w14:paraId="55F568F0">
            <w:pPr>
              <w:spacing w:before="20" w:after="20" w:line="259" w:lineRule="auto"/>
              <w:ind w:firstLine="0"/>
              <w:jc w:val="center"/>
            </w:pPr>
            <w:r>
              <w:rPr>
                <w:rFonts w:ascii="Times New Roman" w:hAnsi="Times New Roman" w:eastAsia="黑体"/>
                <w:b/>
                <w:i w:val="0"/>
                <w:sz w:val="15"/>
              </w:rPr>
              <w:t>规模</w:t>
            </w:r>
            <w:r>
              <w:rPr>
                <w:rFonts w:ascii="Times New Roman" w:hAnsi="Times New Roman" w:eastAsia="黑体"/>
                <w:b/>
                <w:i w:val="0"/>
                <w:sz w:val="15"/>
              </w:rPr>
              <w:br w:type="textWrapping"/>
            </w:r>
            <w:r>
              <w:rPr>
                <w:rFonts w:ascii="Times New Roman" w:hAnsi="Times New Roman" w:eastAsia="黑体"/>
                <w:b/>
                <w:i w:val="0"/>
                <w:sz w:val="15"/>
              </w:rPr>
              <w:t>(亿)</w:t>
            </w:r>
          </w:p>
        </w:tc>
        <w:tc>
          <w:tcPr>
            <w:tcW w:w="850" w:type="dxa"/>
            <w:shd w:val="clear" w:color="auto" w:fill="F2F4F5"/>
            <w:vAlign w:val="center"/>
          </w:tcPr>
          <w:p w14:paraId="00C76D4E">
            <w:pPr>
              <w:spacing w:before="20" w:after="20" w:line="259" w:lineRule="auto"/>
              <w:ind w:firstLine="0"/>
              <w:jc w:val="center"/>
            </w:pPr>
            <w:r>
              <w:rPr>
                <w:rFonts w:ascii="Times New Roman" w:hAnsi="Times New Roman" w:eastAsia="黑体"/>
                <w:b/>
                <w:i w:val="0"/>
                <w:sz w:val="15"/>
              </w:rPr>
              <w:t>FF5</w:t>
            </w:r>
            <w:r>
              <w:rPr>
                <w:rFonts w:ascii="Times New Roman" w:hAnsi="Times New Roman" w:eastAsia="黑体"/>
                <w:b/>
                <w:i w:val="0"/>
                <w:sz w:val="15"/>
              </w:rPr>
              <w:br w:type="textWrapping"/>
            </w:r>
            <w:r>
              <w:rPr>
                <w:rFonts w:ascii="Times New Roman" w:hAnsi="Times New Roman" w:eastAsia="黑体"/>
                <w:b/>
                <w:i w:val="0"/>
                <w:sz w:val="15"/>
              </w:rPr>
              <w:t>alpha</w:t>
            </w:r>
          </w:p>
        </w:tc>
        <w:tc>
          <w:tcPr>
            <w:tcW w:w="1077" w:type="dxa"/>
            <w:shd w:val="clear" w:color="auto" w:fill="F2F4F5"/>
            <w:vAlign w:val="center"/>
          </w:tcPr>
          <w:p w14:paraId="6B998F6A">
            <w:pPr>
              <w:spacing w:before="20" w:after="20" w:line="259" w:lineRule="auto"/>
              <w:ind w:firstLine="0"/>
              <w:jc w:val="center"/>
            </w:pPr>
            <w:r>
              <w:rPr>
                <w:rFonts w:ascii="Times New Roman" w:hAnsi="Times New Roman" w:eastAsia="黑体"/>
                <w:b/>
                <w:i w:val="0"/>
                <w:sz w:val="15"/>
              </w:rPr>
              <w:t>综合能力</w:t>
            </w:r>
            <w:r>
              <w:rPr>
                <w:rFonts w:ascii="Times New Roman" w:hAnsi="Times New Roman" w:eastAsia="黑体"/>
                <w:b/>
                <w:i w:val="0"/>
                <w:sz w:val="15"/>
              </w:rPr>
              <w:br w:type="textWrapping"/>
            </w:r>
            <w:r>
              <w:rPr>
                <w:rFonts w:ascii="Times New Roman" w:hAnsi="Times New Roman" w:eastAsia="黑体"/>
                <w:b/>
                <w:i w:val="0"/>
                <w:sz w:val="15"/>
              </w:rPr>
              <w:t>(分位)</w:t>
            </w:r>
          </w:p>
        </w:tc>
        <w:tc>
          <w:tcPr>
            <w:tcW w:w="3288" w:type="dxa"/>
            <w:shd w:val="clear" w:color="auto" w:fill="F2F4F5"/>
            <w:vAlign w:val="center"/>
          </w:tcPr>
          <w:p w14:paraId="7336993D">
            <w:pPr>
              <w:spacing w:before="20" w:after="20" w:line="259" w:lineRule="auto"/>
              <w:ind w:firstLine="0"/>
              <w:jc w:val="center"/>
            </w:pPr>
            <w:r>
              <w:rPr>
                <w:rFonts w:ascii="Times New Roman" w:hAnsi="Times New Roman" w:eastAsia="黑体"/>
                <w:b/>
                <w:i w:val="0"/>
                <w:sz w:val="15"/>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vAlign w:val="center"/>
          </w:tcPr>
          <w:p w14:paraId="78384355">
            <w:pPr>
              <w:spacing w:before="20" w:after="20" w:line="259" w:lineRule="auto"/>
              <w:ind w:firstLine="0"/>
              <w:jc w:val="center"/>
            </w:pPr>
            <w:r>
              <w:rPr>
                <w:rFonts w:ascii="Times New Roman" w:hAnsi="Times New Roman" w:eastAsia="宋体"/>
                <w:b w:val="0"/>
                <w:i w:val="0"/>
                <w:sz w:val="15"/>
              </w:rPr>
              <w:t>全能型</w:t>
            </w:r>
            <w:r>
              <w:rPr>
                <w:rFonts w:ascii="Times New Roman" w:hAnsi="Times New Roman" w:eastAsia="宋体"/>
                <w:b w:val="0"/>
                <w:i w:val="0"/>
                <w:sz w:val="15"/>
              </w:rPr>
              <w:br w:type="textWrapping"/>
            </w:r>
            <w:r>
              <w:rPr>
                <w:rFonts w:ascii="Times New Roman" w:hAnsi="Times New Roman" w:eastAsia="宋体"/>
                <w:b w:val="0"/>
                <w:i w:val="0"/>
                <w:sz w:val="15"/>
              </w:rPr>
              <w:t>综合能力最高</w:t>
            </w:r>
          </w:p>
        </w:tc>
        <w:tc>
          <w:tcPr>
            <w:tcW w:w="2154" w:type="dxa"/>
            <w:vAlign w:val="center"/>
          </w:tcPr>
          <w:p w14:paraId="71699925">
            <w:pPr>
              <w:spacing w:before="20" w:after="20" w:line="259" w:lineRule="auto"/>
              <w:ind w:firstLine="0"/>
              <w:jc w:val="center"/>
            </w:pPr>
            <w:r>
              <w:rPr>
                <w:rFonts w:ascii="Times New Roman" w:hAnsi="Times New Roman" w:eastAsia="宋体"/>
                <w:b w:val="0"/>
                <w:i w:val="0"/>
                <w:sz w:val="15"/>
              </w:rPr>
              <w:t>中航机遇领航混合发起A</w:t>
            </w:r>
            <w:r>
              <w:rPr>
                <w:rFonts w:ascii="Times New Roman" w:hAnsi="Times New Roman" w:eastAsia="宋体"/>
                <w:b w:val="0"/>
                <w:i w:val="0"/>
                <w:sz w:val="15"/>
              </w:rPr>
              <w:br w:type="textWrapping"/>
            </w:r>
            <w:r>
              <w:rPr>
                <w:rFonts w:ascii="Times New Roman" w:hAnsi="Times New Roman" w:eastAsia="宋体"/>
                <w:b w:val="0"/>
                <w:i w:val="0"/>
                <w:sz w:val="15"/>
              </w:rPr>
              <w:t>韩浩、王森｜中航基金</w:t>
            </w:r>
          </w:p>
        </w:tc>
        <w:tc>
          <w:tcPr>
            <w:tcW w:w="794" w:type="dxa"/>
            <w:vAlign w:val="center"/>
          </w:tcPr>
          <w:p w14:paraId="76FACF58">
            <w:pPr>
              <w:spacing w:before="20" w:after="20" w:line="259" w:lineRule="auto"/>
              <w:ind w:firstLine="0"/>
              <w:jc w:val="center"/>
            </w:pPr>
            <w:r>
              <w:rPr>
                <w:rFonts w:ascii="Times New Roman" w:hAnsi="Times New Roman" w:eastAsia="宋体"/>
                <w:b w:val="0"/>
                <w:i w:val="0"/>
                <w:sz w:val="15"/>
              </w:rPr>
              <w:t>0.21</w:t>
            </w:r>
          </w:p>
        </w:tc>
        <w:tc>
          <w:tcPr>
            <w:tcW w:w="850" w:type="dxa"/>
            <w:vAlign w:val="center"/>
          </w:tcPr>
          <w:p w14:paraId="374E7A0D">
            <w:pPr>
              <w:spacing w:before="20" w:after="20" w:line="259" w:lineRule="auto"/>
              <w:ind w:firstLine="0"/>
              <w:jc w:val="center"/>
            </w:pPr>
            <w:r>
              <w:rPr>
                <w:rFonts w:ascii="Times New Roman" w:hAnsi="Times New Roman" w:eastAsia="宋体"/>
                <w:b w:val="0"/>
                <w:i w:val="0"/>
                <w:sz w:val="15"/>
              </w:rPr>
              <w:t>5.41%</w:t>
            </w:r>
          </w:p>
        </w:tc>
        <w:tc>
          <w:tcPr>
            <w:tcW w:w="1077" w:type="dxa"/>
            <w:vAlign w:val="center"/>
          </w:tcPr>
          <w:p w14:paraId="5F5B19B8">
            <w:pPr>
              <w:spacing w:before="20" w:after="20" w:line="259" w:lineRule="auto"/>
              <w:ind w:firstLine="0"/>
              <w:jc w:val="center"/>
            </w:pPr>
            <w:r>
              <w:rPr>
                <w:rFonts w:ascii="Times New Roman" w:hAnsi="Times New Roman" w:eastAsia="宋体"/>
                <w:b w:val="0"/>
                <w:i w:val="0"/>
                <w:sz w:val="15"/>
              </w:rPr>
              <w:t>+1.56</w:t>
            </w:r>
            <w:r>
              <w:rPr>
                <w:rFonts w:ascii="Times New Roman" w:hAnsi="Times New Roman" w:eastAsia="宋体"/>
                <w:b w:val="0"/>
                <w:i w:val="0"/>
                <w:sz w:val="15"/>
              </w:rPr>
              <w:br w:type="textWrapping"/>
            </w:r>
            <w:r>
              <w:rPr>
                <w:rFonts w:ascii="Times New Roman" w:hAnsi="Times New Roman" w:eastAsia="宋体"/>
                <w:b w:val="0"/>
                <w:i w:val="0"/>
                <w:sz w:val="15"/>
              </w:rPr>
              <w:t>（100%）</w:t>
            </w:r>
          </w:p>
        </w:tc>
        <w:tc>
          <w:tcPr>
            <w:tcW w:w="3288" w:type="dxa"/>
            <w:vAlign w:val="center"/>
          </w:tcPr>
          <w:p w14:paraId="3D9ACE30">
            <w:pPr>
              <w:spacing w:before="20" w:after="20" w:line="259" w:lineRule="auto"/>
              <w:ind w:firstLine="0"/>
              <w:jc w:val="center"/>
            </w:pPr>
            <w:r>
              <w:rPr>
                <w:rFonts w:ascii="Times New Roman" w:hAnsi="Times New Roman" w:eastAsia="宋体"/>
                <w:b w:val="0"/>
                <w:i w:val="0"/>
                <w:sz w:val="15"/>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vAlign w:val="center"/>
          </w:tcPr>
          <w:p w14:paraId="6877B916">
            <w:pPr>
              <w:spacing w:before="20" w:after="20" w:line="259" w:lineRule="auto"/>
              <w:ind w:firstLine="0"/>
              <w:jc w:val="center"/>
            </w:pPr>
            <w:r>
              <w:rPr>
                <w:rFonts w:ascii="Times New Roman" w:hAnsi="Times New Roman" w:eastAsia="宋体"/>
                <w:b w:val="0"/>
                <w:i w:val="0"/>
                <w:sz w:val="15"/>
              </w:rPr>
              <w:t>风险定价型</w:t>
            </w:r>
            <w:r>
              <w:rPr>
                <w:rFonts w:ascii="Times New Roman" w:hAnsi="Times New Roman" w:eastAsia="宋体"/>
                <w:b w:val="0"/>
                <w:i w:val="0"/>
                <w:sz w:val="15"/>
              </w:rPr>
              <w:br w:type="textWrapping"/>
            </w:r>
            <w:r>
              <w:rPr>
                <w:rFonts w:ascii="Times New Roman" w:hAnsi="Times New Roman" w:eastAsia="宋体"/>
                <w:b w:val="0"/>
                <w:i w:val="0"/>
                <w:sz w:val="15"/>
              </w:rPr>
              <w:t>风险转化能力最高</w:t>
            </w:r>
          </w:p>
        </w:tc>
        <w:tc>
          <w:tcPr>
            <w:tcW w:w="2154" w:type="dxa"/>
            <w:vAlign w:val="center"/>
          </w:tcPr>
          <w:p w14:paraId="76DA2E47">
            <w:pPr>
              <w:spacing w:before="20" w:after="20" w:line="259" w:lineRule="auto"/>
              <w:ind w:firstLine="0"/>
              <w:jc w:val="center"/>
            </w:pPr>
            <w:r>
              <w:rPr>
                <w:rFonts w:ascii="Times New Roman" w:hAnsi="Times New Roman" w:eastAsia="宋体"/>
                <w:b w:val="0"/>
                <w:i w:val="0"/>
                <w:sz w:val="15"/>
              </w:rPr>
              <w:t>易方达信息产业混合C</w:t>
            </w:r>
            <w:r>
              <w:rPr>
                <w:rFonts w:ascii="Times New Roman" w:hAnsi="Times New Roman" w:eastAsia="宋体"/>
                <w:b w:val="0"/>
                <w:i w:val="0"/>
                <w:sz w:val="15"/>
              </w:rPr>
              <w:br w:type="textWrapping"/>
            </w:r>
            <w:r>
              <w:rPr>
                <w:rFonts w:ascii="Times New Roman" w:hAnsi="Times New Roman" w:eastAsia="宋体"/>
                <w:b w:val="0"/>
                <w:i w:val="0"/>
                <w:sz w:val="15"/>
              </w:rPr>
              <w:t>郑希｜易方达基金</w:t>
            </w:r>
          </w:p>
        </w:tc>
        <w:tc>
          <w:tcPr>
            <w:tcW w:w="794" w:type="dxa"/>
            <w:vAlign w:val="center"/>
          </w:tcPr>
          <w:p w14:paraId="44D0832D">
            <w:pPr>
              <w:spacing w:before="20" w:after="20" w:line="259" w:lineRule="auto"/>
              <w:ind w:firstLine="0"/>
              <w:jc w:val="center"/>
            </w:pPr>
            <w:r>
              <w:rPr>
                <w:rFonts w:ascii="Times New Roman" w:hAnsi="Times New Roman" w:eastAsia="宋体"/>
                <w:b w:val="0"/>
                <w:i w:val="0"/>
                <w:sz w:val="15"/>
              </w:rPr>
              <w:t>81.19</w:t>
            </w:r>
          </w:p>
        </w:tc>
        <w:tc>
          <w:tcPr>
            <w:tcW w:w="850" w:type="dxa"/>
            <w:vAlign w:val="center"/>
          </w:tcPr>
          <w:p w14:paraId="59FA2FBB">
            <w:pPr>
              <w:spacing w:before="20" w:after="20" w:line="259" w:lineRule="auto"/>
              <w:ind w:firstLine="0"/>
              <w:jc w:val="center"/>
            </w:pPr>
            <w:r>
              <w:rPr>
                <w:rFonts w:ascii="Times New Roman" w:hAnsi="Times New Roman" w:eastAsia="宋体"/>
                <w:b w:val="0"/>
                <w:i w:val="0"/>
                <w:sz w:val="15"/>
              </w:rPr>
              <w:t>3.31%</w:t>
            </w:r>
          </w:p>
        </w:tc>
        <w:tc>
          <w:tcPr>
            <w:tcW w:w="1077" w:type="dxa"/>
            <w:vAlign w:val="center"/>
          </w:tcPr>
          <w:p w14:paraId="186F305B">
            <w:pPr>
              <w:spacing w:before="20" w:after="20" w:line="259" w:lineRule="auto"/>
              <w:ind w:firstLine="0"/>
              <w:jc w:val="center"/>
            </w:pPr>
            <w:r>
              <w:rPr>
                <w:rFonts w:ascii="Times New Roman" w:hAnsi="Times New Roman" w:eastAsia="宋体"/>
                <w:b w:val="0"/>
                <w:i w:val="0"/>
                <w:sz w:val="15"/>
              </w:rPr>
              <w:t>+1.30</w:t>
            </w:r>
            <w:r>
              <w:rPr>
                <w:rFonts w:ascii="Times New Roman" w:hAnsi="Times New Roman" w:eastAsia="宋体"/>
                <w:b w:val="0"/>
                <w:i w:val="0"/>
                <w:sz w:val="15"/>
              </w:rPr>
              <w:br w:type="textWrapping"/>
            </w:r>
            <w:r>
              <w:rPr>
                <w:rFonts w:ascii="Times New Roman" w:hAnsi="Times New Roman" w:eastAsia="宋体"/>
                <w:b w:val="0"/>
                <w:i w:val="0"/>
                <w:sz w:val="15"/>
              </w:rPr>
              <w:t>（99%）</w:t>
            </w:r>
          </w:p>
        </w:tc>
        <w:tc>
          <w:tcPr>
            <w:tcW w:w="3288" w:type="dxa"/>
            <w:vAlign w:val="center"/>
          </w:tcPr>
          <w:p w14:paraId="1FA27AB7">
            <w:pPr>
              <w:spacing w:before="20" w:after="20" w:line="259" w:lineRule="auto"/>
              <w:ind w:firstLine="0"/>
              <w:jc w:val="center"/>
            </w:pPr>
            <w:r>
              <w:rPr>
                <w:rFonts w:ascii="Times New Roman" w:hAnsi="Times New Roman" w:eastAsia="宋体"/>
                <w:b w:val="0"/>
                <w:i w:val="0"/>
                <w:sz w:val="15"/>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vAlign w:val="center"/>
          </w:tcPr>
          <w:p w14:paraId="624F056B">
            <w:pPr>
              <w:spacing w:before="20" w:after="20" w:line="259" w:lineRule="auto"/>
              <w:ind w:firstLine="0"/>
              <w:jc w:val="center"/>
            </w:pPr>
            <w:r>
              <w:rPr>
                <w:rFonts w:ascii="Times New Roman" w:hAnsi="Times New Roman" w:eastAsia="宋体"/>
                <w:b w:val="0"/>
                <w:i w:val="0"/>
                <w:sz w:val="15"/>
              </w:rPr>
              <w:t>认知纪律型</w:t>
            </w:r>
            <w:r>
              <w:rPr>
                <w:rFonts w:ascii="Times New Roman" w:hAnsi="Times New Roman" w:eastAsia="宋体"/>
                <w:b w:val="0"/>
                <w:i w:val="0"/>
                <w:sz w:val="15"/>
              </w:rPr>
              <w:br w:type="textWrapping"/>
            </w:r>
            <w:r>
              <w:rPr>
                <w:rFonts w:ascii="Times New Roman" w:hAnsi="Times New Roman" w:eastAsia="宋体"/>
                <w:b w:val="0"/>
                <w:i w:val="0"/>
                <w:sz w:val="15"/>
              </w:rPr>
              <w:t>认知能力最高</w:t>
            </w:r>
          </w:p>
        </w:tc>
        <w:tc>
          <w:tcPr>
            <w:tcW w:w="2154" w:type="dxa"/>
            <w:vAlign w:val="center"/>
          </w:tcPr>
          <w:p w14:paraId="337EC5B1">
            <w:pPr>
              <w:spacing w:before="20" w:after="20" w:line="259" w:lineRule="auto"/>
              <w:ind w:firstLine="0"/>
              <w:jc w:val="center"/>
            </w:pPr>
            <w:r>
              <w:rPr>
                <w:rFonts w:ascii="Times New Roman" w:hAnsi="Times New Roman" w:eastAsia="宋体"/>
                <w:b w:val="0"/>
                <w:i w:val="0"/>
                <w:sz w:val="15"/>
              </w:rPr>
              <w:t>东方惠新灵活配置混合C</w:t>
            </w:r>
            <w:r>
              <w:rPr>
                <w:rFonts w:ascii="Times New Roman" w:hAnsi="Times New Roman" w:eastAsia="宋体"/>
                <w:b w:val="0"/>
                <w:i w:val="0"/>
                <w:sz w:val="15"/>
              </w:rPr>
              <w:br w:type="textWrapping"/>
            </w:r>
            <w:r>
              <w:rPr>
                <w:rFonts w:ascii="Times New Roman" w:hAnsi="Times New Roman" w:eastAsia="宋体"/>
                <w:b w:val="0"/>
                <w:i w:val="0"/>
                <w:sz w:val="15"/>
              </w:rPr>
              <w:t>严凯｜东方基金</w:t>
            </w:r>
          </w:p>
        </w:tc>
        <w:tc>
          <w:tcPr>
            <w:tcW w:w="794" w:type="dxa"/>
            <w:vAlign w:val="center"/>
          </w:tcPr>
          <w:p w14:paraId="74988078">
            <w:pPr>
              <w:spacing w:before="20" w:after="20" w:line="259" w:lineRule="auto"/>
              <w:ind w:firstLine="0"/>
              <w:jc w:val="center"/>
            </w:pPr>
            <w:r>
              <w:rPr>
                <w:rFonts w:ascii="Times New Roman" w:hAnsi="Times New Roman" w:eastAsia="宋体"/>
                <w:b w:val="0"/>
                <w:i w:val="0"/>
                <w:sz w:val="15"/>
              </w:rPr>
              <w:t>34.67</w:t>
            </w:r>
          </w:p>
        </w:tc>
        <w:tc>
          <w:tcPr>
            <w:tcW w:w="850" w:type="dxa"/>
            <w:vAlign w:val="center"/>
          </w:tcPr>
          <w:p w14:paraId="046A3572">
            <w:pPr>
              <w:spacing w:before="20" w:after="20" w:line="259" w:lineRule="auto"/>
              <w:ind w:firstLine="0"/>
              <w:jc w:val="center"/>
            </w:pPr>
            <w:r>
              <w:rPr>
                <w:rFonts w:ascii="Times New Roman" w:hAnsi="Times New Roman" w:eastAsia="宋体"/>
                <w:b w:val="0"/>
                <w:i w:val="0"/>
                <w:sz w:val="15"/>
              </w:rPr>
              <w:t>3.34%</w:t>
            </w:r>
          </w:p>
        </w:tc>
        <w:tc>
          <w:tcPr>
            <w:tcW w:w="1077" w:type="dxa"/>
            <w:vAlign w:val="center"/>
          </w:tcPr>
          <w:p w14:paraId="3044A42F">
            <w:pPr>
              <w:spacing w:before="20" w:after="20" w:line="259" w:lineRule="auto"/>
              <w:ind w:firstLine="0"/>
              <w:jc w:val="center"/>
            </w:pPr>
            <w:r>
              <w:rPr>
                <w:rFonts w:ascii="Times New Roman" w:hAnsi="Times New Roman" w:eastAsia="宋体"/>
                <w:b w:val="0"/>
                <w:i w:val="0"/>
                <w:sz w:val="15"/>
              </w:rPr>
              <w:t>-0.06</w:t>
            </w:r>
            <w:r>
              <w:rPr>
                <w:rFonts w:ascii="Times New Roman" w:hAnsi="Times New Roman" w:eastAsia="宋体"/>
                <w:b w:val="0"/>
                <w:i w:val="0"/>
                <w:sz w:val="15"/>
              </w:rPr>
              <w:br w:type="textWrapping"/>
            </w:r>
            <w:r>
              <w:rPr>
                <w:rFonts w:ascii="Times New Roman" w:hAnsi="Times New Roman" w:eastAsia="宋体"/>
                <w:b w:val="0"/>
                <w:i w:val="0"/>
                <w:sz w:val="15"/>
              </w:rPr>
              <w:t>（59%）</w:t>
            </w:r>
          </w:p>
        </w:tc>
        <w:tc>
          <w:tcPr>
            <w:tcW w:w="3288" w:type="dxa"/>
            <w:vAlign w:val="center"/>
          </w:tcPr>
          <w:p w14:paraId="67A5CFE4">
            <w:pPr>
              <w:spacing w:before="20" w:after="20" w:line="259" w:lineRule="auto"/>
              <w:ind w:firstLine="0"/>
              <w:jc w:val="center"/>
            </w:pPr>
            <w:r>
              <w:rPr>
                <w:rFonts w:ascii="Times New Roman" w:hAnsi="Times New Roman" w:eastAsia="宋体"/>
                <w:b w:val="0"/>
                <w:i w:val="0"/>
                <w:sz w:val="15"/>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vAlign w:val="center"/>
          </w:tcPr>
          <w:p w14:paraId="2894DEE0">
            <w:pPr>
              <w:spacing w:before="20" w:after="20" w:line="259" w:lineRule="auto"/>
              <w:ind w:firstLine="0"/>
              <w:jc w:val="center"/>
            </w:pPr>
            <w:r>
              <w:rPr>
                <w:rFonts w:ascii="Times New Roman" w:hAnsi="Times New Roman" w:eastAsia="宋体"/>
                <w:b w:val="0"/>
                <w:i w:val="0"/>
                <w:sz w:val="15"/>
              </w:rPr>
              <w:t>攻守转换型</w:t>
            </w:r>
            <w:r>
              <w:rPr>
                <w:rFonts w:ascii="Times New Roman" w:hAnsi="Times New Roman" w:eastAsia="宋体"/>
                <w:b w:val="0"/>
                <w:i w:val="0"/>
                <w:sz w:val="15"/>
              </w:rPr>
              <w:br w:type="textWrapping"/>
            </w:r>
            <w:r>
              <w:rPr>
                <w:rFonts w:ascii="Times New Roman" w:hAnsi="Times New Roman" w:eastAsia="宋体"/>
                <w:b w:val="0"/>
                <w:i w:val="0"/>
                <w:sz w:val="15"/>
              </w:rPr>
              <w:t>风险应对能力最高</w:t>
            </w:r>
          </w:p>
        </w:tc>
        <w:tc>
          <w:tcPr>
            <w:tcW w:w="2154" w:type="dxa"/>
            <w:vAlign w:val="center"/>
          </w:tcPr>
          <w:p w14:paraId="07EC4116">
            <w:pPr>
              <w:spacing w:before="20" w:after="20" w:line="259" w:lineRule="auto"/>
              <w:ind w:firstLine="0"/>
              <w:jc w:val="center"/>
            </w:pPr>
            <w:r>
              <w:rPr>
                <w:rFonts w:ascii="Times New Roman" w:hAnsi="Times New Roman" w:eastAsia="宋体"/>
                <w:b w:val="0"/>
                <w:i w:val="0"/>
                <w:sz w:val="15"/>
              </w:rPr>
              <w:t>信澳业绩驱动混合C</w:t>
            </w:r>
            <w:r>
              <w:rPr>
                <w:rFonts w:ascii="Times New Roman" w:hAnsi="Times New Roman" w:eastAsia="宋体"/>
                <w:b w:val="0"/>
                <w:i w:val="0"/>
                <w:sz w:val="15"/>
              </w:rPr>
              <w:br w:type="textWrapping"/>
            </w:r>
            <w:r>
              <w:rPr>
                <w:rFonts w:ascii="Times New Roman" w:hAnsi="Times New Roman" w:eastAsia="宋体"/>
                <w:b w:val="0"/>
                <w:i w:val="0"/>
                <w:sz w:val="15"/>
              </w:rPr>
              <w:t>童昌希｜信达澳亚基金</w:t>
            </w:r>
          </w:p>
        </w:tc>
        <w:tc>
          <w:tcPr>
            <w:tcW w:w="794" w:type="dxa"/>
            <w:vAlign w:val="center"/>
          </w:tcPr>
          <w:p w14:paraId="26CFD856">
            <w:pPr>
              <w:spacing w:before="20" w:after="20" w:line="259" w:lineRule="auto"/>
              <w:ind w:firstLine="0"/>
              <w:jc w:val="center"/>
            </w:pPr>
            <w:r>
              <w:rPr>
                <w:rFonts w:ascii="Times New Roman" w:hAnsi="Times New Roman" w:eastAsia="宋体"/>
                <w:b w:val="0"/>
                <w:i w:val="0"/>
                <w:sz w:val="15"/>
              </w:rPr>
              <w:t>2.46</w:t>
            </w:r>
          </w:p>
        </w:tc>
        <w:tc>
          <w:tcPr>
            <w:tcW w:w="850" w:type="dxa"/>
            <w:vAlign w:val="center"/>
          </w:tcPr>
          <w:p w14:paraId="3F9A2D59">
            <w:pPr>
              <w:spacing w:before="20" w:after="20" w:line="259" w:lineRule="auto"/>
              <w:ind w:firstLine="0"/>
              <w:jc w:val="center"/>
            </w:pPr>
            <w:r>
              <w:rPr>
                <w:rFonts w:ascii="Times New Roman" w:hAnsi="Times New Roman" w:eastAsia="宋体"/>
                <w:b w:val="0"/>
                <w:i w:val="0"/>
                <w:sz w:val="15"/>
              </w:rPr>
              <w:t>6.67%</w:t>
            </w:r>
          </w:p>
        </w:tc>
        <w:tc>
          <w:tcPr>
            <w:tcW w:w="1077" w:type="dxa"/>
            <w:vAlign w:val="center"/>
          </w:tcPr>
          <w:p w14:paraId="12247367">
            <w:pPr>
              <w:spacing w:before="20" w:after="20" w:line="259" w:lineRule="auto"/>
              <w:ind w:firstLine="0"/>
              <w:jc w:val="center"/>
            </w:pPr>
            <w:r>
              <w:rPr>
                <w:rFonts w:ascii="Times New Roman" w:hAnsi="Times New Roman" w:eastAsia="宋体"/>
                <w:b w:val="0"/>
                <w:i w:val="0"/>
                <w:sz w:val="15"/>
              </w:rPr>
              <w:t>+0.23</w:t>
            </w:r>
            <w:r>
              <w:rPr>
                <w:rFonts w:ascii="Times New Roman" w:hAnsi="Times New Roman" w:eastAsia="宋体"/>
                <w:b w:val="0"/>
                <w:i w:val="0"/>
                <w:sz w:val="15"/>
              </w:rPr>
              <w:br w:type="textWrapping"/>
            </w:r>
            <w:r>
              <w:rPr>
                <w:rFonts w:ascii="Times New Roman" w:hAnsi="Times New Roman" w:eastAsia="宋体"/>
                <w:b w:val="0"/>
                <w:i w:val="0"/>
                <w:sz w:val="15"/>
              </w:rPr>
              <w:t>（82%）</w:t>
            </w:r>
          </w:p>
        </w:tc>
        <w:tc>
          <w:tcPr>
            <w:tcW w:w="3288" w:type="dxa"/>
            <w:vAlign w:val="center"/>
          </w:tcPr>
          <w:p w14:paraId="22FE6F51">
            <w:pPr>
              <w:spacing w:before="20" w:after="20" w:line="259" w:lineRule="auto"/>
              <w:ind w:firstLine="0"/>
              <w:jc w:val="center"/>
            </w:pPr>
            <w:r>
              <w:rPr>
                <w:rFonts w:ascii="Times New Roman" w:hAnsi="Times New Roman" w:eastAsia="宋体"/>
                <w:b w:val="0"/>
                <w:i w:val="0"/>
                <w:sz w:val="15"/>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vAlign w:val="center"/>
          </w:tcPr>
          <w:p w14:paraId="55613E4A">
            <w:pPr>
              <w:spacing w:before="20" w:after="20" w:line="259" w:lineRule="auto"/>
              <w:ind w:firstLine="0"/>
              <w:jc w:val="center"/>
            </w:pPr>
            <w:r>
              <w:rPr>
                <w:rFonts w:ascii="Times New Roman" w:hAnsi="Times New Roman" w:eastAsia="宋体"/>
                <w:b w:val="0"/>
                <w:i w:val="0"/>
                <w:sz w:val="15"/>
              </w:rPr>
              <w:t>基本面优势型</w:t>
            </w:r>
            <w:r>
              <w:rPr>
                <w:rFonts w:ascii="Times New Roman" w:hAnsi="Times New Roman" w:eastAsia="宋体"/>
                <w:b w:val="0"/>
                <w:i w:val="0"/>
                <w:sz w:val="15"/>
              </w:rPr>
              <w:br w:type="textWrapping"/>
            </w:r>
            <w:r>
              <w:rPr>
                <w:rFonts w:ascii="Times New Roman" w:hAnsi="Times New Roman" w:eastAsia="宋体"/>
                <w:b w:val="0"/>
                <w:i w:val="0"/>
                <w:sz w:val="15"/>
              </w:rPr>
              <w:t>基本面优势最高</w:t>
            </w:r>
          </w:p>
        </w:tc>
        <w:tc>
          <w:tcPr>
            <w:tcW w:w="2154" w:type="dxa"/>
            <w:vAlign w:val="center"/>
          </w:tcPr>
          <w:p w14:paraId="7B798CA7">
            <w:pPr>
              <w:spacing w:before="20" w:after="20" w:line="259" w:lineRule="auto"/>
              <w:ind w:firstLine="0"/>
              <w:jc w:val="center"/>
            </w:pPr>
            <w:r>
              <w:rPr>
                <w:rFonts w:ascii="Times New Roman" w:hAnsi="Times New Roman" w:eastAsia="宋体"/>
                <w:b w:val="0"/>
                <w:i w:val="0"/>
                <w:sz w:val="15"/>
              </w:rPr>
              <w:t>诺德兴新趋势混合A</w:t>
            </w:r>
            <w:r>
              <w:rPr>
                <w:rFonts w:ascii="Times New Roman" w:hAnsi="Times New Roman" w:eastAsia="宋体"/>
                <w:b w:val="0"/>
                <w:i w:val="0"/>
                <w:sz w:val="15"/>
              </w:rPr>
              <w:br w:type="textWrapping"/>
            </w:r>
            <w:r>
              <w:rPr>
                <w:rFonts w:ascii="Times New Roman" w:hAnsi="Times New Roman" w:eastAsia="宋体"/>
                <w:b w:val="0"/>
                <w:i w:val="0"/>
                <w:sz w:val="15"/>
              </w:rPr>
              <w:t>Yi Xie、周建胜｜诺德基金</w:t>
            </w:r>
          </w:p>
        </w:tc>
        <w:tc>
          <w:tcPr>
            <w:tcW w:w="794" w:type="dxa"/>
            <w:vAlign w:val="center"/>
          </w:tcPr>
          <w:p w14:paraId="45A3D982">
            <w:pPr>
              <w:spacing w:before="20" w:after="20" w:line="259" w:lineRule="auto"/>
              <w:ind w:firstLine="0"/>
              <w:jc w:val="center"/>
            </w:pPr>
            <w:r>
              <w:rPr>
                <w:rFonts w:ascii="Times New Roman" w:hAnsi="Times New Roman" w:eastAsia="宋体"/>
                <w:b w:val="0"/>
                <w:i w:val="0"/>
                <w:sz w:val="15"/>
              </w:rPr>
              <w:t>2.32</w:t>
            </w:r>
          </w:p>
        </w:tc>
        <w:tc>
          <w:tcPr>
            <w:tcW w:w="850" w:type="dxa"/>
            <w:vAlign w:val="center"/>
          </w:tcPr>
          <w:p w14:paraId="7839DFD0">
            <w:pPr>
              <w:spacing w:before="20" w:after="20" w:line="259" w:lineRule="auto"/>
              <w:ind w:firstLine="0"/>
              <w:jc w:val="center"/>
            </w:pPr>
            <w:r>
              <w:rPr>
                <w:rFonts w:ascii="Times New Roman" w:hAnsi="Times New Roman" w:eastAsia="宋体"/>
                <w:b w:val="0"/>
                <w:i w:val="0"/>
                <w:sz w:val="15"/>
              </w:rPr>
              <w:t>-0.83%</w:t>
            </w:r>
          </w:p>
        </w:tc>
        <w:tc>
          <w:tcPr>
            <w:tcW w:w="1077" w:type="dxa"/>
            <w:vAlign w:val="center"/>
          </w:tcPr>
          <w:p w14:paraId="772419E9">
            <w:pPr>
              <w:spacing w:before="20" w:after="20" w:line="259" w:lineRule="auto"/>
              <w:ind w:firstLine="0"/>
              <w:jc w:val="center"/>
            </w:pPr>
            <w:r>
              <w:rPr>
                <w:rFonts w:ascii="Times New Roman" w:hAnsi="Times New Roman" w:eastAsia="宋体"/>
                <w:b w:val="0"/>
                <w:i w:val="0"/>
                <w:sz w:val="15"/>
              </w:rPr>
              <w:t>-0.14</w:t>
            </w:r>
            <w:r>
              <w:rPr>
                <w:rFonts w:ascii="Times New Roman" w:hAnsi="Times New Roman" w:eastAsia="宋体"/>
                <w:b w:val="0"/>
                <w:i w:val="0"/>
                <w:sz w:val="15"/>
              </w:rPr>
              <w:br w:type="textWrapping"/>
            </w:r>
            <w:r>
              <w:rPr>
                <w:rFonts w:ascii="Times New Roman" w:hAnsi="Times New Roman" w:eastAsia="宋体"/>
                <w:b w:val="0"/>
                <w:i w:val="0"/>
                <w:sz w:val="15"/>
              </w:rPr>
              <w:t>（52%）</w:t>
            </w:r>
          </w:p>
        </w:tc>
        <w:tc>
          <w:tcPr>
            <w:tcW w:w="3288" w:type="dxa"/>
            <w:vAlign w:val="center"/>
          </w:tcPr>
          <w:p w14:paraId="3B4520CD">
            <w:pPr>
              <w:spacing w:before="20" w:after="20" w:line="259" w:lineRule="auto"/>
              <w:ind w:firstLine="0"/>
              <w:jc w:val="center"/>
            </w:pPr>
            <w:r>
              <w:rPr>
                <w:rFonts w:ascii="Times New Roman" w:hAnsi="Times New Roman" w:eastAsia="宋体"/>
                <w:b w:val="0"/>
                <w:i w:val="0"/>
                <w:sz w:val="15"/>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vAlign w:val="center"/>
          </w:tcPr>
          <w:p w14:paraId="0B9386DB">
            <w:pPr>
              <w:spacing w:before="20" w:after="20" w:line="259" w:lineRule="auto"/>
              <w:ind w:firstLine="0"/>
              <w:jc w:val="center"/>
            </w:pPr>
            <w:r>
              <w:rPr>
                <w:rFonts w:ascii="Times New Roman" w:hAnsi="Times New Roman" w:eastAsia="宋体"/>
                <w:b w:val="0"/>
                <w:i w:val="0"/>
                <w:sz w:val="15"/>
              </w:rPr>
              <w:t>反例</w:t>
            </w:r>
            <w:r>
              <w:rPr>
                <w:rFonts w:ascii="Times New Roman" w:hAnsi="Times New Roman" w:eastAsia="宋体"/>
                <w:b w:val="0"/>
                <w:i w:val="0"/>
                <w:sz w:val="15"/>
              </w:rPr>
              <w:br w:type="textWrapping"/>
            </w:r>
            <w:r>
              <w:rPr>
                <w:rFonts w:ascii="Times New Roman" w:hAnsi="Times New Roman" w:eastAsia="宋体"/>
                <w:b w:val="0"/>
                <w:i w:val="0"/>
                <w:sz w:val="15"/>
              </w:rPr>
              <w:t>综合能力最低</w:t>
            </w:r>
          </w:p>
        </w:tc>
        <w:tc>
          <w:tcPr>
            <w:tcW w:w="2154" w:type="dxa"/>
            <w:vAlign w:val="center"/>
          </w:tcPr>
          <w:p w14:paraId="7ECCEE52">
            <w:pPr>
              <w:spacing w:before="20" w:after="20" w:line="259" w:lineRule="auto"/>
              <w:ind w:firstLine="0"/>
              <w:jc w:val="center"/>
            </w:pPr>
            <w:r>
              <w:rPr>
                <w:rFonts w:ascii="Times New Roman" w:hAnsi="Times New Roman" w:eastAsia="宋体"/>
                <w:b w:val="0"/>
                <w:i w:val="0"/>
                <w:sz w:val="15"/>
              </w:rPr>
              <w:t>华安策略优选混合A</w:t>
            </w:r>
            <w:r>
              <w:rPr>
                <w:rFonts w:ascii="Times New Roman" w:hAnsi="Times New Roman" w:eastAsia="宋体"/>
                <w:b w:val="0"/>
                <w:i w:val="0"/>
                <w:sz w:val="15"/>
              </w:rPr>
              <w:br w:type="textWrapping"/>
            </w:r>
            <w:r>
              <w:rPr>
                <w:rFonts w:ascii="Times New Roman" w:hAnsi="Times New Roman" w:eastAsia="宋体"/>
                <w:b w:val="0"/>
                <w:i w:val="0"/>
                <w:sz w:val="15"/>
              </w:rPr>
              <w:t>杨明｜华安基金</w:t>
            </w:r>
          </w:p>
        </w:tc>
        <w:tc>
          <w:tcPr>
            <w:tcW w:w="794" w:type="dxa"/>
            <w:vAlign w:val="center"/>
          </w:tcPr>
          <w:p w14:paraId="4D4A3705">
            <w:pPr>
              <w:spacing w:before="20" w:after="20" w:line="259" w:lineRule="auto"/>
              <w:ind w:firstLine="0"/>
              <w:jc w:val="center"/>
            </w:pPr>
            <w:r>
              <w:rPr>
                <w:rFonts w:ascii="Times New Roman" w:hAnsi="Times New Roman" w:eastAsia="宋体"/>
                <w:b w:val="0"/>
                <w:i w:val="0"/>
                <w:sz w:val="15"/>
              </w:rPr>
              <w:t>5.00</w:t>
            </w:r>
          </w:p>
        </w:tc>
        <w:tc>
          <w:tcPr>
            <w:tcW w:w="850" w:type="dxa"/>
            <w:vAlign w:val="center"/>
          </w:tcPr>
          <w:p w14:paraId="1380D533">
            <w:pPr>
              <w:spacing w:before="20" w:after="20" w:line="259" w:lineRule="auto"/>
              <w:ind w:firstLine="0"/>
              <w:jc w:val="center"/>
            </w:pPr>
            <w:r>
              <w:rPr>
                <w:rFonts w:ascii="Times New Roman" w:hAnsi="Times New Roman" w:eastAsia="宋体"/>
                <w:b w:val="0"/>
                <w:i w:val="0"/>
                <w:sz w:val="15"/>
              </w:rPr>
              <w:t>-0.36%</w:t>
            </w:r>
          </w:p>
        </w:tc>
        <w:tc>
          <w:tcPr>
            <w:tcW w:w="1077" w:type="dxa"/>
            <w:vAlign w:val="center"/>
          </w:tcPr>
          <w:p w14:paraId="7830AFD7">
            <w:pPr>
              <w:spacing w:before="20" w:after="20" w:line="259" w:lineRule="auto"/>
              <w:ind w:firstLine="0"/>
              <w:jc w:val="center"/>
            </w:pPr>
            <w:r>
              <w:rPr>
                <w:rFonts w:ascii="Times New Roman" w:hAnsi="Times New Roman" w:eastAsia="宋体"/>
                <w:b w:val="0"/>
                <w:i w:val="0"/>
                <w:sz w:val="15"/>
              </w:rPr>
              <w:t>-0.91</w:t>
            </w:r>
            <w:r>
              <w:rPr>
                <w:rFonts w:ascii="Times New Roman" w:hAnsi="Times New Roman" w:eastAsia="宋体"/>
                <w:b w:val="0"/>
                <w:i w:val="0"/>
                <w:sz w:val="15"/>
              </w:rPr>
              <w:br w:type="textWrapping"/>
            </w:r>
            <w:r>
              <w:rPr>
                <w:rFonts w:ascii="Times New Roman" w:hAnsi="Times New Roman" w:eastAsia="宋体"/>
                <w:b w:val="0"/>
                <w:i w:val="0"/>
                <w:sz w:val="15"/>
              </w:rPr>
              <w:t>（0%）</w:t>
            </w:r>
          </w:p>
        </w:tc>
        <w:tc>
          <w:tcPr>
            <w:tcW w:w="3288" w:type="dxa"/>
            <w:vAlign w:val="center"/>
          </w:tcPr>
          <w:p w14:paraId="25AF08C6">
            <w:pPr>
              <w:spacing w:before="20" w:after="20" w:line="259" w:lineRule="auto"/>
              <w:ind w:firstLine="0"/>
              <w:jc w:val="center"/>
            </w:pPr>
            <w:r>
              <w:rPr>
                <w:rFonts w:ascii="Times New Roman" w:hAnsi="Times New Roman" w:eastAsia="宋体"/>
                <w:b w:val="0"/>
                <w:i w:val="0"/>
                <w:sz w:val="15"/>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rPr>
          <w:rFonts w:ascii="Times New Roman" w:hAnsi="Times New Roman" w:eastAsia="宋体"/>
          <w:b w:val="0"/>
          <w:i w:val="0"/>
          <w:sz w:val="24"/>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为负，印证物理优势非能力本身。其二，绩优形态共同点是至少三维同时在高位，反例则全面低分位。行为优势是多维协同而非单兵突进。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pPr>
      <w:r>
        <w:rPr>
          <w:rFonts w:ascii="Times New Roman" w:hAnsi="Times New Roman" w:eastAsia="黑体"/>
          <w:b/>
          <w:i w:val="0"/>
          <w:sz w:val="18"/>
        </w:rPr>
        <w:t>图 3  五名典型经理与反例（华安策略优选·杨明）六维雷达图（数值为全样本百分位）</w:t>
      </w:r>
      <w:bookmarkStart w:id="0" w:name="_GoBack"/>
      <w:bookmarkEnd w:id="0"/>
    </w:p>
    <w:p w14:paraId="1410733D">
      <w:pPr>
        <w:keepNext/>
        <w:spacing w:before="180" w:after="80" w:line="324" w:lineRule="auto"/>
      </w:pPr>
      <w:r>
        <w:rPr>
          <w:rFonts w:ascii="Times New Roman" w:hAnsi="Times New Roman" w:eastAsia="黑体"/>
          <w:b/>
          <w:i w:val="0"/>
          <w:sz w:val="24"/>
        </w:rPr>
        <w:t>（四）长周期样本外检验：2006–2024 建模与 2025–2026 盲测验证</w:t>
      </w:r>
    </w:p>
    <w:p w14:paraId="2B248E3B">
      <w:pPr>
        <w:spacing w:after="80" w:line="324" w:lineRule="auto"/>
        <w:ind w:firstLine="480"/>
      </w:pPr>
      <w: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年二季度（共 6 个季度）完全排除在建模打分之外，作为样本外盲测检验期。为克服短期样本外自由度受限，我们冻结样本内估计的五因子载荷，计算各季度的异常超额收益（Abnormal Alpha）。表 11 汇报了基于样本内得分在样本外的五分组表现与预测回归。</w:t>
      </w:r>
    </w:p>
    <w:p w14:paraId="458F9D9B">
      <w:pPr>
        <w:keepNext/>
        <w:spacing w:before="120" w:after="60" w:line="312" w:lineRule="auto"/>
        <w:jc w:val="center"/>
      </w:pPr>
      <w:r>
        <w:t>表 11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154" w:type="dxa"/>
            <w:shd w:val="clear" w:color="auto" w:fill="F2F4F5"/>
            <w:vAlign w:val="center"/>
          </w:tcPr>
          <w:p w14:paraId="79D0B74C">
            <w:pPr>
              <w:spacing w:before="20" w:after="20" w:line="259" w:lineRule="auto"/>
              <w:ind w:firstLine="0"/>
              <w:jc w:val="center"/>
            </w:pPr>
            <w:r>
              <w:rPr>
                <w:rFonts w:ascii="Times New Roman" w:hAnsi="Times New Roman" w:eastAsia="黑体"/>
                <w:b/>
                <w:i w:val="0"/>
                <w:sz w:val="17"/>
              </w:rPr>
              <w:t>检验口径／变量</w:t>
            </w:r>
          </w:p>
        </w:tc>
        <w:tc>
          <w:tcPr>
            <w:tcW w:w="567" w:type="dxa"/>
            <w:shd w:val="clear" w:color="auto" w:fill="F2F4F5"/>
            <w:vAlign w:val="center"/>
          </w:tcPr>
          <w:p w14:paraId="238A7F86">
            <w:pPr>
              <w:spacing w:before="20" w:after="20" w:line="259" w:lineRule="auto"/>
              <w:ind w:firstLine="0"/>
              <w:jc w:val="center"/>
            </w:pPr>
            <w:r>
              <w:rPr>
                <w:rFonts w:ascii="Times New Roman" w:hAnsi="Times New Roman" w:eastAsia="黑体"/>
                <w:b/>
                <w:i w:val="0"/>
                <w:sz w:val="17"/>
              </w:rPr>
              <w:t>N</w:t>
            </w:r>
          </w:p>
        </w:tc>
        <w:tc>
          <w:tcPr>
            <w:tcW w:w="1417" w:type="dxa"/>
            <w:shd w:val="clear" w:color="auto" w:fill="F2F4F5"/>
            <w:vAlign w:val="center"/>
          </w:tcPr>
          <w:p w14:paraId="48433715">
            <w:pPr>
              <w:spacing w:before="20" w:after="20" w:line="259" w:lineRule="auto"/>
              <w:ind w:firstLine="0"/>
              <w:jc w:val="center"/>
            </w:pPr>
            <w:r>
              <w:rPr>
                <w:rFonts w:ascii="Times New Roman" w:hAnsi="Times New Roman" w:eastAsia="黑体"/>
                <w:b/>
                <w:i w:val="0"/>
                <w:sz w:val="17"/>
              </w:rPr>
              <w:t>异常 Alpha (季均)</w:t>
            </w:r>
          </w:p>
        </w:tc>
        <w:tc>
          <w:tcPr>
            <w:tcW w:w="1417" w:type="dxa"/>
            <w:shd w:val="clear" w:color="auto" w:fill="F2F4F5"/>
            <w:vAlign w:val="center"/>
          </w:tcPr>
          <w:p w14:paraId="4E1B98F4">
            <w:pPr>
              <w:spacing w:before="20" w:after="20" w:line="259" w:lineRule="auto"/>
              <w:ind w:firstLine="0"/>
              <w:jc w:val="center"/>
            </w:pPr>
            <w:r>
              <w:rPr>
                <w:rFonts w:ascii="Times New Roman" w:hAnsi="Times New Roman" w:eastAsia="黑体"/>
                <w:b/>
                <w:i w:val="0"/>
                <w:sz w:val="17"/>
              </w:rPr>
              <w:t>季度收益 (季均)</w:t>
            </w:r>
          </w:p>
        </w:tc>
        <w:tc>
          <w:tcPr>
            <w:tcW w:w="2041" w:type="dxa"/>
            <w:shd w:val="clear" w:color="auto" w:fill="F2F4F5"/>
            <w:vAlign w:val="center"/>
          </w:tcPr>
          <w:p w14:paraId="4C3DD58C">
            <w:pPr>
              <w:spacing w:before="20" w:after="20" w:line="259" w:lineRule="auto"/>
              <w:ind w:firstLine="0"/>
              <w:jc w:val="center"/>
            </w:pPr>
            <w:r>
              <w:rPr>
                <w:rFonts w:ascii="Times New Roman" w:hAnsi="Times New Roman" w:eastAsia="黑体"/>
                <w:b/>
                <w:i w:val="0"/>
                <w:sz w:val="17"/>
              </w:rPr>
              <w:t>单变量预测 β (t 值)</w:t>
            </w:r>
          </w:p>
        </w:tc>
        <w:tc>
          <w:tcPr>
            <w:tcW w:w="2041" w:type="dxa"/>
            <w:shd w:val="clear" w:color="auto" w:fill="F2F4F5"/>
            <w:vAlign w:val="center"/>
          </w:tcPr>
          <w:p w14:paraId="698B8968">
            <w:pPr>
              <w:spacing w:before="20" w:after="20" w:line="259" w:lineRule="auto"/>
              <w:ind w:firstLine="0"/>
              <w:jc w:val="center"/>
            </w:pPr>
            <w:r>
              <w:rPr>
                <w:rFonts w:ascii="Times New Roman" w:hAnsi="Times New Roman" w:eastAsia="黑体"/>
                <w:b/>
                <w:i w:val="0"/>
                <w:sz w:val="17"/>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06290058">
            <w:pPr>
              <w:spacing w:before="20" w:after="20" w:line="259" w:lineRule="auto"/>
              <w:ind w:firstLine="0"/>
              <w:jc w:val="center"/>
            </w:pPr>
            <w:r>
              <w:rPr>
                <w:rFonts w:ascii="Times New Roman" w:hAnsi="Times New Roman" w:eastAsia="宋体"/>
                <w:b w:val="0"/>
                <w:i w:val="0"/>
                <w:sz w:val="17"/>
              </w:rPr>
              <w:t>Q1 最低（行为劣势组）</w:t>
            </w:r>
          </w:p>
        </w:tc>
        <w:tc>
          <w:tcPr>
            <w:tcW w:w="567" w:type="dxa"/>
            <w:vAlign w:val="center"/>
          </w:tcPr>
          <w:p w14:paraId="7B9F1573">
            <w:pPr>
              <w:spacing w:before="20" w:after="20" w:line="259" w:lineRule="auto"/>
              <w:ind w:firstLine="0"/>
              <w:jc w:val="center"/>
            </w:pPr>
            <w:r>
              <w:rPr>
                <w:rFonts w:ascii="Times New Roman" w:hAnsi="Times New Roman" w:eastAsia="宋体"/>
                <w:b w:val="0"/>
                <w:i w:val="0"/>
                <w:sz w:val="17"/>
              </w:rPr>
              <w:t>66</w:t>
            </w:r>
          </w:p>
        </w:tc>
        <w:tc>
          <w:tcPr>
            <w:tcW w:w="1417" w:type="dxa"/>
            <w:vAlign w:val="center"/>
          </w:tcPr>
          <w:p w14:paraId="5DD2BB92">
            <w:pPr>
              <w:spacing w:before="20" w:after="20" w:line="259" w:lineRule="auto"/>
              <w:ind w:firstLine="0"/>
              <w:jc w:val="center"/>
            </w:pPr>
            <w:r>
              <w:rPr>
                <w:rFonts w:ascii="Times New Roman" w:hAnsi="Times New Roman" w:eastAsia="宋体"/>
                <w:b w:val="0"/>
                <w:i w:val="0"/>
                <w:sz w:val="17"/>
              </w:rPr>
              <w:t>4.30%</w:t>
            </w:r>
          </w:p>
        </w:tc>
        <w:tc>
          <w:tcPr>
            <w:tcW w:w="1417" w:type="dxa"/>
            <w:vAlign w:val="center"/>
          </w:tcPr>
          <w:p w14:paraId="20C5211A">
            <w:pPr>
              <w:spacing w:before="20" w:after="20" w:line="259" w:lineRule="auto"/>
              <w:ind w:firstLine="0"/>
              <w:jc w:val="center"/>
            </w:pPr>
            <w:r>
              <w:rPr>
                <w:rFonts w:ascii="Times New Roman" w:hAnsi="Times New Roman" w:eastAsia="宋体"/>
                <w:b w:val="0"/>
                <w:i w:val="0"/>
                <w:sz w:val="17"/>
              </w:rPr>
              <w:t>16.60%</w:t>
            </w:r>
          </w:p>
        </w:tc>
        <w:tc>
          <w:tcPr>
            <w:tcW w:w="2041" w:type="dxa"/>
            <w:vAlign w:val="center"/>
          </w:tcPr>
          <w:p w14:paraId="4B9FA7B2">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68D392E1">
            <w:pPr>
              <w:spacing w:before="20" w:after="20" w:line="259" w:lineRule="auto"/>
              <w:ind w:firstLine="0"/>
              <w:jc w:val="center"/>
            </w:pPr>
            <w:r>
              <w:rPr>
                <w:rFonts w:ascii="Times New Roman" w:hAnsi="Times New Roman" w:eastAsia="宋体"/>
                <w:b w:val="0"/>
                <w:i w:val="0"/>
                <w:sz w:val="17"/>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54" w:type="dxa"/>
            <w:vAlign w:val="center"/>
          </w:tcPr>
          <w:p w14:paraId="35E74C3E">
            <w:pPr>
              <w:spacing w:before="20" w:after="20" w:line="259" w:lineRule="auto"/>
              <w:ind w:firstLine="0"/>
              <w:jc w:val="center"/>
            </w:pPr>
            <w:r>
              <w:rPr>
                <w:rFonts w:ascii="Times New Roman" w:hAnsi="Times New Roman" w:eastAsia="宋体"/>
                <w:b w:val="0"/>
                <w:i w:val="0"/>
                <w:sz w:val="17"/>
              </w:rPr>
              <w:t>Q2</w:t>
            </w:r>
          </w:p>
        </w:tc>
        <w:tc>
          <w:tcPr>
            <w:tcW w:w="567" w:type="dxa"/>
            <w:vAlign w:val="center"/>
          </w:tcPr>
          <w:p w14:paraId="4700461C">
            <w:pPr>
              <w:spacing w:before="20" w:after="20" w:line="259" w:lineRule="auto"/>
              <w:ind w:firstLine="0"/>
              <w:jc w:val="center"/>
            </w:pPr>
            <w:r>
              <w:rPr>
                <w:rFonts w:ascii="Times New Roman" w:hAnsi="Times New Roman" w:eastAsia="宋体"/>
                <w:b w:val="0"/>
                <w:i w:val="0"/>
                <w:sz w:val="17"/>
              </w:rPr>
              <w:t>65</w:t>
            </w:r>
          </w:p>
        </w:tc>
        <w:tc>
          <w:tcPr>
            <w:tcW w:w="1417" w:type="dxa"/>
            <w:vAlign w:val="center"/>
          </w:tcPr>
          <w:p w14:paraId="5119FEE5">
            <w:pPr>
              <w:spacing w:before="20" w:after="20" w:line="259" w:lineRule="auto"/>
              <w:ind w:firstLine="0"/>
              <w:jc w:val="center"/>
            </w:pPr>
            <w:r>
              <w:rPr>
                <w:rFonts w:ascii="Times New Roman" w:hAnsi="Times New Roman" w:eastAsia="宋体"/>
                <w:b w:val="0"/>
                <w:i w:val="0"/>
                <w:sz w:val="17"/>
              </w:rPr>
              <w:t>7.47%</w:t>
            </w:r>
          </w:p>
        </w:tc>
        <w:tc>
          <w:tcPr>
            <w:tcW w:w="1417" w:type="dxa"/>
            <w:vAlign w:val="center"/>
          </w:tcPr>
          <w:p w14:paraId="75A1DDFF">
            <w:pPr>
              <w:spacing w:before="20" w:after="20" w:line="259" w:lineRule="auto"/>
              <w:ind w:firstLine="0"/>
              <w:jc w:val="center"/>
            </w:pPr>
            <w:r>
              <w:rPr>
                <w:rFonts w:ascii="Times New Roman" w:hAnsi="Times New Roman" w:eastAsia="宋体"/>
                <w:b w:val="0"/>
                <w:i w:val="0"/>
                <w:sz w:val="17"/>
              </w:rPr>
              <w:t>20.18%</w:t>
            </w:r>
          </w:p>
        </w:tc>
        <w:tc>
          <w:tcPr>
            <w:tcW w:w="2041" w:type="dxa"/>
            <w:vAlign w:val="center"/>
          </w:tcPr>
          <w:p w14:paraId="52DAE77F">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2456880D">
            <w:pPr>
              <w:spacing w:before="20" w:after="20" w:line="259" w:lineRule="auto"/>
              <w:ind w:firstLine="0"/>
              <w:jc w:val="center"/>
            </w:pPr>
            <w:r>
              <w:rPr>
                <w:rFonts w:ascii="Times New Roman" w:hAnsi="Times New Roman" w:eastAsia="宋体"/>
                <w:b w:val="0"/>
                <w:i w:val="0"/>
                <w:sz w:val="17"/>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23766CBB">
            <w:pPr>
              <w:spacing w:before="20" w:after="20" w:line="259" w:lineRule="auto"/>
              <w:ind w:firstLine="0"/>
              <w:jc w:val="center"/>
            </w:pPr>
            <w:r>
              <w:rPr>
                <w:rFonts w:ascii="Times New Roman" w:hAnsi="Times New Roman" w:eastAsia="宋体"/>
                <w:b w:val="0"/>
                <w:i w:val="0"/>
                <w:sz w:val="17"/>
              </w:rPr>
              <w:t>Q3（中游组）</w:t>
            </w:r>
          </w:p>
        </w:tc>
        <w:tc>
          <w:tcPr>
            <w:tcW w:w="567" w:type="dxa"/>
            <w:vAlign w:val="center"/>
          </w:tcPr>
          <w:p w14:paraId="4460E042">
            <w:pPr>
              <w:spacing w:before="20" w:after="20" w:line="259" w:lineRule="auto"/>
              <w:ind w:firstLine="0"/>
              <w:jc w:val="center"/>
            </w:pPr>
            <w:r>
              <w:rPr>
                <w:rFonts w:ascii="Times New Roman" w:hAnsi="Times New Roman" w:eastAsia="宋体"/>
                <w:b w:val="0"/>
                <w:i w:val="0"/>
                <w:sz w:val="17"/>
              </w:rPr>
              <w:t>65</w:t>
            </w:r>
          </w:p>
        </w:tc>
        <w:tc>
          <w:tcPr>
            <w:tcW w:w="1417" w:type="dxa"/>
            <w:vAlign w:val="center"/>
          </w:tcPr>
          <w:p w14:paraId="4573096A">
            <w:pPr>
              <w:spacing w:before="20" w:after="20" w:line="259" w:lineRule="auto"/>
              <w:ind w:firstLine="0"/>
              <w:jc w:val="center"/>
            </w:pPr>
            <w:r>
              <w:rPr>
                <w:rFonts w:ascii="Times New Roman" w:hAnsi="Times New Roman" w:eastAsia="宋体"/>
                <w:b w:val="0"/>
                <w:i w:val="0"/>
                <w:sz w:val="17"/>
              </w:rPr>
              <w:t>7.97%</w:t>
            </w:r>
          </w:p>
        </w:tc>
        <w:tc>
          <w:tcPr>
            <w:tcW w:w="1417" w:type="dxa"/>
            <w:vAlign w:val="center"/>
          </w:tcPr>
          <w:p w14:paraId="6D52FF44">
            <w:pPr>
              <w:spacing w:before="20" w:after="20" w:line="259" w:lineRule="auto"/>
              <w:ind w:firstLine="0"/>
              <w:jc w:val="center"/>
            </w:pPr>
            <w:r>
              <w:rPr>
                <w:rFonts w:ascii="Times New Roman" w:hAnsi="Times New Roman" w:eastAsia="宋体"/>
                <w:b w:val="0"/>
                <w:i w:val="0"/>
                <w:sz w:val="17"/>
              </w:rPr>
              <w:t>22.32%</w:t>
            </w:r>
          </w:p>
        </w:tc>
        <w:tc>
          <w:tcPr>
            <w:tcW w:w="2041" w:type="dxa"/>
            <w:vAlign w:val="center"/>
          </w:tcPr>
          <w:p w14:paraId="3A3895BB">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660E1E72">
            <w:pPr>
              <w:spacing w:before="20" w:after="20" w:line="259" w:lineRule="auto"/>
              <w:ind w:firstLine="0"/>
              <w:jc w:val="center"/>
            </w:pPr>
            <w:r>
              <w:rPr>
                <w:rFonts w:ascii="Times New Roman" w:hAnsi="Times New Roman" w:eastAsia="宋体"/>
                <w:b w:val="0"/>
                <w:i w:val="0"/>
                <w:sz w:val="17"/>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66881BF3">
            <w:pPr>
              <w:spacing w:before="20" w:after="20" w:line="259" w:lineRule="auto"/>
              <w:ind w:firstLine="0"/>
              <w:jc w:val="center"/>
            </w:pPr>
            <w:r>
              <w:rPr>
                <w:rFonts w:ascii="Times New Roman" w:hAnsi="Times New Roman" w:eastAsia="宋体"/>
                <w:b w:val="0"/>
                <w:i w:val="0"/>
                <w:sz w:val="17"/>
              </w:rPr>
              <w:t>Q4</w:t>
            </w:r>
          </w:p>
        </w:tc>
        <w:tc>
          <w:tcPr>
            <w:tcW w:w="567" w:type="dxa"/>
            <w:vAlign w:val="center"/>
          </w:tcPr>
          <w:p w14:paraId="0B793853">
            <w:pPr>
              <w:spacing w:before="20" w:after="20" w:line="259" w:lineRule="auto"/>
              <w:ind w:firstLine="0"/>
              <w:jc w:val="center"/>
            </w:pPr>
            <w:r>
              <w:rPr>
                <w:rFonts w:ascii="Times New Roman" w:hAnsi="Times New Roman" w:eastAsia="宋体"/>
                <w:b w:val="0"/>
                <w:i w:val="0"/>
                <w:sz w:val="17"/>
              </w:rPr>
              <w:t>65</w:t>
            </w:r>
          </w:p>
        </w:tc>
        <w:tc>
          <w:tcPr>
            <w:tcW w:w="1417" w:type="dxa"/>
            <w:vAlign w:val="center"/>
          </w:tcPr>
          <w:p w14:paraId="6FB47E49">
            <w:pPr>
              <w:spacing w:before="20" w:after="20" w:line="259" w:lineRule="auto"/>
              <w:ind w:firstLine="0"/>
              <w:jc w:val="center"/>
            </w:pPr>
            <w:r>
              <w:rPr>
                <w:rFonts w:ascii="Times New Roman" w:hAnsi="Times New Roman" w:eastAsia="宋体"/>
                <w:b w:val="0"/>
                <w:i w:val="0"/>
                <w:sz w:val="17"/>
              </w:rPr>
              <w:t>8.83%</w:t>
            </w:r>
          </w:p>
        </w:tc>
        <w:tc>
          <w:tcPr>
            <w:tcW w:w="1417" w:type="dxa"/>
            <w:vAlign w:val="center"/>
          </w:tcPr>
          <w:p w14:paraId="43DA041F">
            <w:pPr>
              <w:spacing w:before="20" w:after="20" w:line="259" w:lineRule="auto"/>
              <w:ind w:firstLine="0"/>
              <w:jc w:val="center"/>
            </w:pPr>
            <w:r>
              <w:rPr>
                <w:rFonts w:ascii="Times New Roman" w:hAnsi="Times New Roman" w:eastAsia="宋体"/>
                <w:b w:val="0"/>
                <w:i w:val="0"/>
                <w:sz w:val="17"/>
              </w:rPr>
              <w:t>24.55%</w:t>
            </w:r>
          </w:p>
        </w:tc>
        <w:tc>
          <w:tcPr>
            <w:tcW w:w="2041" w:type="dxa"/>
            <w:vAlign w:val="center"/>
          </w:tcPr>
          <w:p w14:paraId="6EEA766B">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51EEBF01">
            <w:pPr>
              <w:spacing w:before="20" w:after="20" w:line="259" w:lineRule="auto"/>
              <w:ind w:firstLine="0"/>
              <w:jc w:val="center"/>
            </w:pPr>
            <w:r>
              <w:rPr>
                <w:rFonts w:ascii="Times New Roman" w:hAnsi="Times New Roman" w:eastAsia="宋体"/>
                <w:b w:val="0"/>
                <w:i w:val="0"/>
                <w:sz w:val="17"/>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080407DB">
            <w:pPr>
              <w:spacing w:before="20" w:after="20" w:line="259" w:lineRule="auto"/>
              <w:ind w:firstLine="0"/>
              <w:jc w:val="center"/>
            </w:pPr>
            <w:r>
              <w:rPr>
                <w:rFonts w:ascii="Times New Roman" w:hAnsi="Times New Roman" w:eastAsia="宋体"/>
                <w:b w:val="0"/>
                <w:i w:val="0"/>
                <w:sz w:val="17"/>
              </w:rPr>
              <w:t>Q5 最高（行为优势组）</w:t>
            </w:r>
          </w:p>
        </w:tc>
        <w:tc>
          <w:tcPr>
            <w:tcW w:w="567" w:type="dxa"/>
            <w:vAlign w:val="center"/>
          </w:tcPr>
          <w:p w14:paraId="574DF1A6">
            <w:pPr>
              <w:spacing w:before="20" w:after="20" w:line="259" w:lineRule="auto"/>
              <w:ind w:firstLine="0"/>
              <w:jc w:val="center"/>
            </w:pPr>
            <w:r>
              <w:rPr>
                <w:rFonts w:ascii="Times New Roman" w:hAnsi="Times New Roman" w:eastAsia="宋体"/>
                <w:b w:val="0"/>
                <w:i w:val="0"/>
                <w:sz w:val="17"/>
              </w:rPr>
              <w:t>65</w:t>
            </w:r>
          </w:p>
        </w:tc>
        <w:tc>
          <w:tcPr>
            <w:tcW w:w="1417" w:type="dxa"/>
            <w:vAlign w:val="center"/>
          </w:tcPr>
          <w:p w14:paraId="0F2C87EC">
            <w:pPr>
              <w:spacing w:before="20" w:after="20" w:line="259" w:lineRule="auto"/>
              <w:ind w:firstLine="0"/>
              <w:jc w:val="center"/>
            </w:pPr>
            <w:r>
              <w:rPr>
                <w:rFonts w:ascii="Times New Roman" w:hAnsi="Times New Roman" w:eastAsia="宋体"/>
                <w:b w:val="0"/>
                <w:i w:val="0"/>
                <w:sz w:val="17"/>
              </w:rPr>
              <w:t>10.62%</w:t>
            </w:r>
          </w:p>
        </w:tc>
        <w:tc>
          <w:tcPr>
            <w:tcW w:w="1417" w:type="dxa"/>
            <w:vAlign w:val="center"/>
          </w:tcPr>
          <w:p w14:paraId="30A73698">
            <w:pPr>
              <w:spacing w:before="20" w:after="20" w:line="259" w:lineRule="auto"/>
              <w:ind w:firstLine="0"/>
              <w:jc w:val="center"/>
            </w:pPr>
            <w:r>
              <w:rPr>
                <w:rFonts w:ascii="Times New Roman" w:hAnsi="Times New Roman" w:eastAsia="宋体"/>
                <w:b w:val="0"/>
                <w:i w:val="0"/>
                <w:sz w:val="17"/>
              </w:rPr>
              <w:t>27.05%</w:t>
            </w:r>
          </w:p>
        </w:tc>
        <w:tc>
          <w:tcPr>
            <w:tcW w:w="2041" w:type="dxa"/>
            <w:vAlign w:val="center"/>
          </w:tcPr>
          <w:p w14:paraId="22D3D202">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5A4508FE">
            <w:pPr>
              <w:spacing w:before="20" w:after="20" w:line="259" w:lineRule="auto"/>
              <w:ind w:firstLine="0"/>
              <w:jc w:val="center"/>
            </w:pPr>
            <w:r>
              <w:rPr>
                <w:rFonts w:ascii="Times New Roman" w:hAnsi="Times New Roman" w:eastAsia="宋体"/>
                <w:b w:val="0"/>
                <w:i w:val="0"/>
                <w:sz w:val="17"/>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5D9D1CD1">
            <w:pPr>
              <w:spacing w:before="20" w:after="20" w:line="259" w:lineRule="auto"/>
              <w:ind w:firstLine="0"/>
              <w:jc w:val="center"/>
            </w:pPr>
            <w:r>
              <w:rPr>
                <w:rFonts w:ascii="Times New Roman" w:hAnsi="Times New Roman" w:eastAsia="宋体"/>
                <w:b w:val="0"/>
                <w:i w:val="0"/>
                <w:sz w:val="17"/>
              </w:rPr>
              <w:t>Q5 − Q1 组间差</w:t>
            </w:r>
          </w:p>
        </w:tc>
        <w:tc>
          <w:tcPr>
            <w:tcW w:w="567" w:type="dxa"/>
            <w:vAlign w:val="center"/>
          </w:tcPr>
          <w:p w14:paraId="7B0554C6">
            <w:pPr>
              <w:spacing w:before="20" w:after="20" w:line="259" w:lineRule="auto"/>
              <w:ind w:firstLine="0"/>
              <w:jc w:val="center"/>
            </w:pPr>
            <w:r>
              <w:rPr>
                <w:rFonts w:ascii="Times New Roman" w:hAnsi="Times New Roman" w:eastAsia="宋体"/>
                <w:b w:val="0"/>
                <w:i w:val="0"/>
                <w:sz w:val="17"/>
              </w:rPr>
              <w:t>—</w:t>
            </w:r>
          </w:p>
        </w:tc>
        <w:tc>
          <w:tcPr>
            <w:tcW w:w="1417" w:type="dxa"/>
            <w:vAlign w:val="center"/>
          </w:tcPr>
          <w:p w14:paraId="36247027">
            <w:pPr>
              <w:spacing w:before="20" w:after="20" w:line="259" w:lineRule="auto"/>
              <w:ind w:firstLine="0"/>
              <w:jc w:val="center"/>
            </w:pPr>
            <w:r>
              <w:rPr>
                <w:rFonts w:ascii="Times New Roman" w:hAnsi="Times New Roman" w:eastAsia="宋体"/>
                <w:b w:val="0"/>
                <w:i w:val="0"/>
                <w:sz w:val="17"/>
              </w:rPr>
              <w:t>+6.32 pp</w:t>
            </w:r>
          </w:p>
        </w:tc>
        <w:tc>
          <w:tcPr>
            <w:tcW w:w="1417" w:type="dxa"/>
            <w:vAlign w:val="center"/>
          </w:tcPr>
          <w:p w14:paraId="4A6D3982">
            <w:pPr>
              <w:spacing w:before="20" w:after="20" w:line="259" w:lineRule="auto"/>
              <w:ind w:firstLine="0"/>
              <w:jc w:val="center"/>
            </w:pPr>
            <w:r>
              <w:rPr>
                <w:rFonts w:ascii="Times New Roman" w:hAnsi="Times New Roman" w:eastAsia="宋体"/>
                <w:b w:val="0"/>
                <w:i w:val="0"/>
                <w:sz w:val="17"/>
              </w:rPr>
              <w:t>+10.45 pp</w:t>
            </w:r>
          </w:p>
        </w:tc>
        <w:tc>
          <w:tcPr>
            <w:tcW w:w="2041" w:type="dxa"/>
            <w:vAlign w:val="center"/>
          </w:tcPr>
          <w:p w14:paraId="11EAC456">
            <w:pPr>
              <w:spacing w:before="20" w:after="20" w:line="259" w:lineRule="auto"/>
              <w:ind w:firstLine="0"/>
              <w:jc w:val="center"/>
            </w:pPr>
            <w:r>
              <w:rPr>
                <w:rFonts w:ascii="Times New Roman" w:hAnsi="Times New Roman" w:eastAsia="宋体"/>
                <w:b w:val="0"/>
                <w:i w:val="0"/>
                <w:sz w:val="17"/>
              </w:rPr>
              <w:t>t=+5.52***</w:t>
            </w:r>
          </w:p>
        </w:tc>
        <w:tc>
          <w:tcPr>
            <w:tcW w:w="2041" w:type="dxa"/>
            <w:vAlign w:val="center"/>
          </w:tcPr>
          <w:p w14:paraId="77EF24B8">
            <w:pPr>
              <w:spacing w:before="20" w:after="20" w:line="259" w:lineRule="auto"/>
              <w:ind w:firstLine="0"/>
              <w:jc w:val="center"/>
            </w:pPr>
            <w:r>
              <w:rPr>
                <w:rFonts w:ascii="Times New Roman" w:hAnsi="Times New Roman" w:eastAsia="宋体"/>
                <w:b w:val="0"/>
                <w:i w:val="0"/>
                <w:sz w:val="17"/>
              </w:rPr>
              <w:t>t=+8.57***</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3A032CD5">
            <w:pPr>
              <w:spacing w:before="20" w:after="20" w:line="259" w:lineRule="auto"/>
              <w:ind w:firstLine="0"/>
              <w:jc w:val="center"/>
            </w:pPr>
            <w:r>
              <w:rPr>
                <w:rFonts w:ascii="Times New Roman" w:hAnsi="Times New Roman" w:eastAsia="宋体"/>
                <w:b w:val="0"/>
                <w:i w:val="0"/>
                <w:sz w:val="17"/>
              </w:rPr>
              <w:t>综合能力（六维等权）</w:t>
            </w:r>
          </w:p>
        </w:tc>
        <w:tc>
          <w:tcPr>
            <w:tcW w:w="567" w:type="dxa"/>
            <w:vAlign w:val="center"/>
          </w:tcPr>
          <w:p w14:paraId="2D0812B0">
            <w:pPr>
              <w:spacing w:before="20" w:after="20" w:line="259" w:lineRule="auto"/>
              <w:ind w:firstLine="0"/>
              <w:jc w:val="center"/>
            </w:pPr>
            <w:r>
              <w:rPr>
                <w:rFonts w:ascii="Times New Roman" w:hAnsi="Times New Roman" w:eastAsia="宋体"/>
                <w:b w:val="0"/>
                <w:i w:val="0"/>
                <w:sz w:val="17"/>
              </w:rPr>
              <w:t>326</w:t>
            </w:r>
          </w:p>
        </w:tc>
        <w:tc>
          <w:tcPr>
            <w:tcW w:w="1417" w:type="dxa"/>
            <w:vAlign w:val="center"/>
          </w:tcPr>
          <w:p w14:paraId="3747BD2A">
            <w:pPr>
              <w:spacing w:before="20" w:after="20" w:line="259" w:lineRule="auto"/>
              <w:ind w:firstLine="0"/>
              <w:jc w:val="center"/>
            </w:pPr>
            <w:r>
              <w:rPr>
                <w:rFonts w:ascii="Times New Roman" w:hAnsi="Times New Roman" w:eastAsia="宋体"/>
                <w:b w:val="0"/>
                <w:i w:val="0"/>
                <w:sz w:val="17"/>
              </w:rPr>
              <w:t>—</w:t>
            </w:r>
          </w:p>
        </w:tc>
        <w:tc>
          <w:tcPr>
            <w:tcW w:w="1417" w:type="dxa"/>
            <w:vAlign w:val="center"/>
          </w:tcPr>
          <w:p w14:paraId="558DF76B">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13ABEB17">
            <w:pPr>
              <w:spacing w:before="20" w:after="20" w:line="259" w:lineRule="auto"/>
              <w:ind w:firstLine="0"/>
              <w:jc w:val="center"/>
            </w:pPr>
            <w:r>
              <w:rPr>
                <w:rFonts w:ascii="Times New Roman" w:hAnsi="Times New Roman" w:eastAsia="宋体"/>
                <w:b w:val="0"/>
                <w:i w:val="0"/>
                <w:sz w:val="17"/>
              </w:rPr>
              <w:t>β=+0.0604 (t=+5.75***)</w:t>
            </w:r>
          </w:p>
        </w:tc>
        <w:tc>
          <w:tcPr>
            <w:tcW w:w="2041" w:type="dxa"/>
            <w:vAlign w:val="center"/>
          </w:tcPr>
          <w:p w14:paraId="5391FD21">
            <w:pPr>
              <w:spacing w:before="20" w:after="20" w:line="259" w:lineRule="auto"/>
              <w:ind w:firstLine="0"/>
              <w:jc w:val="center"/>
            </w:pPr>
            <w:r>
              <w:rPr>
                <w:rFonts w:ascii="Times New Roman" w:hAnsi="Times New Roman" w:eastAsia="宋体"/>
                <w:b w:val="0"/>
                <w:i w:val="0"/>
                <w:sz w:val="17"/>
              </w:rPr>
              <w:t>— (单变量 R²=9.43%)</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1F24E051">
            <w:pPr>
              <w:spacing w:before="20" w:after="20" w:line="259" w:lineRule="auto"/>
              <w:ind w:firstLine="0"/>
              <w:jc w:val="center"/>
            </w:pPr>
            <w:r>
              <w:rPr>
                <w:rFonts w:ascii="Times New Roman" w:hAnsi="Times New Roman" w:eastAsia="宋体"/>
                <w:b w:val="0"/>
                <w:i w:val="0"/>
                <w:sz w:val="17"/>
              </w:rPr>
              <w:t>L1 基本面优势</w:t>
            </w:r>
          </w:p>
        </w:tc>
        <w:tc>
          <w:tcPr>
            <w:tcW w:w="567" w:type="dxa"/>
            <w:vAlign w:val="center"/>
          </w:tcPr>
          <w:p w14:paraId="7DD24159">
            <w:pPr>
              <w:spacing w:before="20" w:after="20" w:line="259" w:lineRule="auto"/>
              <w:ind w:firstLine="0"/>
              <w:jc w:val="center"/>
            </w:pPr>
            <w:r>
              <w:rPr>
                <w:rFonts w:ascii="Times New Roman" w:hAnsi="Times New Roman" w:eastAsia="宋体"/>
                <w:b w:val="0"/>
                <w:i w:val="0"/>
                <w:sz w:val="17"/>
              </w:rPr>
              <w:t>326</w:t>
            </w:r>
          </w:p>
        </w:tc>
        <w:tc>
          <w:tcPr>
            <w:tcW w:w="1417" w:type="dxa"/>
            <w:vAlign w:val="center"/>
          </w:tcPr>
          <w:p w14:paraId="0A1BDF3A">
            <w:pPr>
              <w:spacing w:before="20" w:after="20" w:line="259" w:lineRule="auto"/>
              <w:ind w:firstLine="0"/>
              <w:jc w:val="center"/>
            </w:pPr>
            <w:r>
              <w:rPr>
                <w:rFonts w:ascii="Times New Roman" w:hAnsi="Times New Roman" w:eastAsia="宋体"/>
                <w:b w:val="0"/>
                <w:i w:val="0"/>
                <w:sz w:val="17"/>
              </w:rPr>
              <w:t>—</w:t>
            </w:r>
          </w:p>
        </w:tc>
        <w:tc>
          <w:tcPr>
            <w:tcW w:w="1417" w:type="dxa"/>
            <w:vAlign w:val="center"/>
          </w:tcPr>
          <w:p w14:paraId="5360680C">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3B5874BA">
            <w:pPr>
              <w:spacing w:before="20" w:after="20" w:line="259" w:lineRule="auto"/>
              <w:ind w:firstLine="0"/>
              <w:jc w:val="center"/>
            </w:pPr>
            <w:r>
              <w:rPr>
                <w:rFonts w:ascii="Times New Roman" w:hAnsi="Times New Roman" w:eastAsia="宋体"/>
                <w:b w:val="0"/>
                <w:i w:val="0"/>
                <w:sz w:val="17"/>
              </w:rPr>
              <w:t>β=+0.0276 (t=+6.35***)</w:t>
            </w:r>
          </w:p>
        </w:tc>
        <w:tc>
          <w:tcPr>
            <w:tcW w:w="2041" w:type="dxa"/>
            <w:vAlign w:val="center"/>
          </w:tcPr>
          <w:p w14:paraId="25294B30">
            <w:pPr>
              <w:spacing w:before="20" w:after="20" w:line="259" w:lineRule="auto"/>
              <w:ind w:firstLine="0"/>
              <w:jc w:val="center"/>
            </w:pPr>
            <w:r>
              <w:rPr>
                <w:rFonts w:ascii="Times New Roman" w:hAnsi="Times New Roman" w:eastAsia="宋体"/>
                <w:b w:val="0"/>
                <w:i w:val="0"/>
                <w:sz w:val="17"/>
              </w:rPr>
              <w:t>β=+0.0179 (t=+4.03***)</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2E31F5CB">
            <w:pPr>
              <w:spacing w:before="20" w:after="20" w:line="259" w:lineRule="auto"/>
              <w:ind w:firstLine="0"/>
              <w:jc w:val="center"/>
            </w:pPr>
            <w:r>
              <w:rPr>
                <w:rFonts w:ascii="Times New Roman" w:hAnsi="Times New Roman" w:eastAsia="宋体"/>
                <w:b w:val="0"/>
                <w:i w:val="0"/>
                <w:sz w:val="17"/>
              </w:rPr>
              <w:t>L2 认知能力</w:t>
            </w:r>
          </w:p>
        </w:tc>
        <w:tc>
          <w:tcPr>
            <w:tcW w:w="567" w:type="dxa"/>
            <w:vAlign w:val="center"/>
          </w:tcPr>
          <w:p w14:paraId="7732E941">
            <w:pPr>
              <w:spacing w:before="20" w:after="20" w:line="259" w:lineRule="auto"/>
              <w:ind w:firstLine="0"/>
              <w:jc w:val="center"/>
            </w:pPr>
            <w:r>
              <w:rPr>
                <w:rFonts w:ascii="Times New Roman" w:hAnsi="Times New Roman" w:eastAsia="宋体"/>
                <w:b w:val="0"/>
                <w:i w:val="0"/>
                <w:sz w:val="17"/>
              </w:rPr>
              <w:t>326</w:t>
            </w:r>
          </w:p>
        </w:tc>
        <w:tc>
          <w:tcPr>
            <w:tcW w:w="1417" w:type="dxa"/>
            <w:vAlign w:val="center"/>
          </w:tcPr>
          <w:p w14:paraId="3005D522">
            <w:pPr>
              <w:spacing w:before="20" w:after="20" w:line="259" w:lineRule="auto"/>
              <w:ind w:firstLine="0"/>
              <w:jc w:val="center"/>
            </w:pPr>
            <w:r>
              <w:rPr>
                <w:rFonts w:ascii="Times New Roman" w:hAnsi="Times New Roman" w:eastAsia="宋体"/>
                <w:b w:val="0"/>
                <w:i w:val="0"/>
                <w:sz w:val="17"/>
              </w:rPr>
              <w:t>—</w:t>
            </w:r>
          </w:p>
        </w:tc>
        <w:tc>
          <w:tcPr>
            <w:tcW w:w="1417" w:type="dxa"/>
            <w:vAlign w:val="center"/>
          </w:tcPr>
          <w:p w14:paraId="73BD082C">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4FC11D07">
            <w:pPr>
              <w:spacing w:before="20" w:after="20" w:line="259" w:lineRule="auto"/>
              <w:ind w:firstLine="0"/>
              <w:jc w:val="center"/>
            </w:pPr>
            <w:r>
              <w:rPr>
                <w:rFonts w:ascii="Times New Roman" w:hAnsi="Times New Roman" w:eastAsia="宋体"/>
                <w:b w:val="0"/>
                <w:i w:val="0"/>
                <w:sz w:val="17"/>
              </w:rPr>
              <w:t>β=+0.0268 (t=+4.44***)</w:t>
            </w:r>
          </w:p>
        </w:tc>
        <w:tc>
          <w:tcPr>
            <w:tcW w:w="2041" w:type="dxa"/>
            <w:vAlign w:val="center"/>
          </w:tcPr>
          <w:p w14:paraId="4A43ED9A">
            <w:pPr>
              <w:spacing w:before="20" w:after="20" w:line="259" w:lineRule="auto"/>
              <w:ind w:firstLine="0"/>
              <w:jc w:val="center"/>
            </w:pPr>
            <w:r>
              <w:rPr>
                <w:rFonts w:ascii="Times New Roman" w:hAnsi="Times New Roman" w:eastAsia="宋体"/>
                <w:b w:val="0"/>
                <w:i w:val="0"/>
                <w:sz w:val="17"/>
              </w:rPr>
              <w:t>β=+0.0257 (t=+4.17***)</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4BF0C3F8">
            <w:pPr>
              <w:spacing w:before="20" w:after="20" w:line="259" w:lineRule="auto"/>
              <w:ind w:firstLine="0"/>
              <w:jc w:val="center"/>
            </w:pPr>
            <w:r>
              <w:rPr>
                <w:rFonts w:ascii="Times New Roman" w:hAnsi="Times New Roman" w:eastAsia="宋体"/>
                <w:b w:val="0"/>
                <w:i w:val="0"/>
                <w:sz w:val="17"/>
              </w:rPr>
              <w:t>L3 配置选择能力</w:t>
            </w:r>
          </w:p>
        </w:tc>
        <w:tc>
          <w:tcPr>
            <w:tcW w:w="567" w:type="dxa"/>
            <w:vAlign w:val="center"/>
          </w:tcPr>
          <w:p w14:paraId="0A3E1CE7">
            <w:pPr>
              <w:spacing w:before="20" w:after="20" w:line="259" w:lineRule="auto"/>
              <w:ind w:firstLine="0"/>
              <w:jc w:val="center"/>
            </w:pPr>
            <w:r>
              <w:rPr>
                <w:rFonts w:ascii="Times New Roman" w:hAnsi="Times New Roman" w:eastAsia="宋体"/>
                <w:b w:val="0"/>
                <w:i w:val="0"/>
                <w:sz w:val="17"/>
              </w:rPr>
              <w:t>326</w:t>
            </w:r>
          </w:p>
        </w:tc>
        <w:tc>
          <w:tcPr>
            <w:tcW w:w="1417" w:type="dxa"/>
            <w:vAlign w:val="center"/>
          </w:tcPr>
          <w:p w14:paraId="36201B57">
            <w:pPr>
              <w:spacing w:before="20" w:after="20" w:line="259" w:lineRule="auto"/>
              <w:ind w:firstLine="0"/>
              <w:jc w:val="center"/>
            </w:pPr>
            <w:r>
              <w:rPr>
                <w:rFonts w:ascii="Times New Roman" w:hAnsi="Times New Roman" w:eastAsia="宋体"/>
                <w:b w:val="0"/>
                <w:i w:val="0"/>
                <w:sz w:val="17"/>
              </w:rPr>
              <w:t>—</w:t>
            </w:r>
          </w:p>
        </w:tc>
        <w:tc>
          <w:tcPr>
            <w:tcW w:w="1417" w:type="dxa"/>
            <w:vAlign w:val="center"/>
          </w:tcPr>
          <w:p w14:paraId="31399D9E">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06FC12AE">
            <w:pPr>
              <w:spacing w:before="20" w:after="20" w:line="259" w:lineRule="auto"/>
              <w:ind w:firstLine="0"/>
              <w:jc w:val="center"/>
            </w:pPr>
            <w:r>
              <w:rPr>
                <w:rFonts w:ascii="Times New Roman" w:hAnsi="Times New Roman" w:eastAsia="宋体"/>
                <w:b w:val="0"/>
                <w:i w:val="0"/>
                <w:sz w:val="17"/>
              </w:rPr>
              <w:t>β=−0.0068 (t=−1.38)</w:t>
            </w:r>
          </w:p>
        </w:tc>
        <w:tc>
          <w:tcPr>
            <w:tcW w:w="2041" w:type="dxa"/>
            <w:vAlign w:val="center"/>
          </w:tcPr>
          <w:p w14:paraId="5FE8F35E">
            <w:pPr>
              <w:spacing w:before="20" w:after="20" w:line="259" w:lineRule="auto"/>
              <w:ind w:firstLine="0"/>
              <w:jc w:val="center"/>
            </w:pPr>
            <w:r>
              <w:rPr>
                <w:rFonts w:ascii="Times New Roman" w:hAnsi="Times New Roman" w:eastAsia="宋体"/>
                <w:b w:val="0"/>
                <w:i w:val="0"/>
                <w:sz w:val="17"/>
              </w:rPr>
              <w:t>β=−0.0079 (t=−1.77*)</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1460BBF7">
            <w:pPr>
              <w:spacing w:before="20" w:after="20" w:line="259" w:lineRule="auto"/>
              <w:ind w:firstLine="0"/>
              <w:jc w:val="center"/>
            </w:pPr>
            <w:r>
              <w:rPr>
                <w:rFonts w:ascii="Times New Roman" w:hAnsi="Times New Roman" w:eastAsia="宋体"/>
                <w:b w:val="0"/>
                <w:i w:val="0"/>
                <w:sz w:val="17"/>
              </w:rPr>
              <w:t>L4a 风险应对能力</w:t>
            </w:r>
          </w:p>
        </w:tc>
        <w:tc>
          <w:tcPr>
            <w:tcW w:w="567" w:type="dxa"/>
            <w:vAlign w:val="center"/>
          </w:tcPr>
          <w:p w14:paraId="5549CFFE">
            <w:pPr>
              <w:spacing w:before="20" w:after="20" w:line="259" w:lineRule="auto"/>
              <w:ind w:firstLine="0"/>
              <w:jc w:val="center"/>
            </w:pPr>
            <w:r>
              <w:rPr>
                <w:rFonts w:ascii="Times New Roman" w:hAnsi="Times New Roman" w:eastAsia="宋体"/>
                <w:b w:val="0"/>
                <w:i w:val="0"/>
                <w:sz w:val="17"/>
              </w:rPr>
              <w:t>326</w:t>
            </w:r>
          </w:p>
        </w:tc>
        <w:tc>
          <w:tcPr>
            <w:tcW w:w="1417" w:type="dxa"/>
            <w:vAlign w:val="center"/>
          </w:tcPr>
          <w:p w14:paraId="1261B3CA">
            <w:pPr>
              <w:spacing w:before="20" w:after="20" w:line="259" w:lineRule="auto"/>
              <w:ind w:firstLine="0"/>
              <w:jc w:val="center"/>
            </w:pPr>
            <w:r>
              <w:rPr>
                <w:rFonts w:ascii="Times New Roman" w:hAnsi="Times New Roman" w:eastAsia="宋体"/>
                <w:b w:val="0"/>
                <w:i w:val="0"/>
                <w:sz w:val="17"/>
              </w:rPr>
              <w:t>—</w:t>
            </w:r>
          </w:p>
        </w:tc>
        <w:tc>
          <w:tcPr>
            <w:tcW w:w="1417" w:type="dxa"/>
            <w:vAlign w:val="center"/>
          </w:tcPr>
          <w:p w14:paraId="38FFC9ED">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3EA1811C">
            <w:pPr>
              <w:spacing w:before="20" w:after="20" w:line="259" w:lineRule="auto"/>
              <w:ind w:firstLine="0"/>
              <w:jc w:val="center"/>
            </w:pPr>
            <w:r>
              <w:rPr>
                <w:rFonts w:ascii="Times New Roman" w:hAnsi="Times New Roman" w:eastAsia="宋体"/>
                <w:b w:val="0"/>
                <w:i w:val="0"/>
                <w:sz w:val="17"/>
              </w:rPr>
              <w:t>β=+0.0297 (t=+4.26***)</w:t>
            </w:r>
          </w:p>
        </w:tc>
        <w:tc>
          <w:tcPr>
            <w:tcW w:w="2041" w:type="dxa"/>
            <w:vAlign w:val="center"/>
          </w:tcPr>
          <w:p w14:paraId="19C9642D">
            <w:pPr>
              <w:spacing w:before="20" w:after="20" w:line="259" w:lineRule="auto"/>
              <w:ind w:firstLine="0"/>
              <w:jc w:val="center"/>
            </w:pPr>
            <w:r>
              <w:rPr>
                <w:rFonts w:ascii="Times New Roman" w:hAnsi="Times New Roman" w:eastAsia="宋体"/>
                <w:b w:val="0"/>
                <w:i w:val="0"/>
                <w:sz w:val="17"/>
              </w:rPr>
              <w:t>β=+0.0121 (t=+1.73*)</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568CED47">
            <w:pPr>
              <w:spacing w:before="20" w:after="20" w:line="259" w:lineRule="auto"/>
              <w:ind w:firstLine="0"/>
              <w:jc w:val="center"/>
            </w:pPr>
            <w:r>
              <w:rPr>
                <w:rFonts w:ascii="Times New Roman" w:hAnsi="Times New Roman" w:eastAsia="宋体"/>
                <w:b w:val="0"/>
                <w:i w:val="0"/>
                <w:sz w:val="17"/>
              </w:rPr>
              <w:t>L4b 风险转化能力</w:t>
            </w:r>
          </w:p>
        </w:tc>
        <w:tc>
          <w:tcPr>
            <w:tcW w:w="567" w:type="dxa"/>
            <w:vAlign w:val="center"/>
          </w:tcPr>
          <w:p w14:paraId="73DF17D6">
            <w:pPr>
              <w:spacing w:before="20" w:after="20" w:line="259" w:lineRule="auto"/>
              <w:ind w:firstLine="0"/>
              <w:jc w:val="center"/>
            </w:pPr>
            <w:r>
              <w:rPr>
                <w:rFonts w:ascii="Times New Roman" w:hAnsi="Times New Roman" w:eastAsia="宋体"/>
                <w:b w:val="0"/>
                <w:i w:val="0"/>
                <w:sz w:val="17"/>
              </w:rPr>
              <w:t>326</w:t>
            </w:r>
          </w:p>
        </w:tc>
        <w:tc>
          <w:tcPr>
            <w:tcW w:w="1417" w:type="dxa"/>
            <w:vAlign w:val="center"/>
          </w:tcPr>
          <w:p w14:paraId="45A5827F">
            <w:pPr>
              <w:spacing w:before="20" w:after="20" w:line="259" w:lineRule="auto"/>
              <w:ind w:firstLine="0"/>
              <w:jc w:val="center"/>
            </w:pPr>
            <w:r>
              <w:rPr>
                <w:rFonts w:ascii="Times New Roman" w:hAnsi="Times New Roman" w:eastAsia="宋体"/>
                <w:b w:val="0"/>
                <w:i w:val="0"/>
                <w:sz w:val="17"/>
              </w:rPr>
              <w:t>—</w:t>
            </w:r>
          </w:p>
        </w:tc>
        <w:tc>
          <w:tcPr>
            <w:tcW w:w="1417" w:type="dxa"/>
            <w:vAlign w:val="center"/>
          </w:tcPr>
          <w:p w14:paraId="17BDD101">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72529EF6">
            <w:pPr>
              <w:spacing w:before="20" w:after="20" w:line="259" w:lineRule="auto"/>
              <w:ind w:firstLine="0"/>
              <w:jc w:val="center"/>
            </w:pPr>
            <w:r>
              <w:rPr>
                <w:rFonts w:ascii="Times New Roman" w:hAnsi="Times New Roman" w:eastAsia="宋体"/>
                <w:b w:val="0"/>
                <w:i w:val="0"/>
                <w:sz w:val="17"/>
              </w:rPr>
              <w:t>β=−0.0056 (t=−1.24)</w:t>
            </w:r>
          </w:p>
        </w:tc>
        <w:tc>
          <w:tcPr>
            <w:tcW w:w="2041" w:type="dxa"/>
            <w:vAlign w:val="center"/>
          </w:tcPr>
          <w:p w14:paraId="466B5753">
            <w:pPr>
              <w:spacing w:before="20" w:after="20" w:line="259" w:lineRule="auto"/>
              <w:ind w:firstLine="0"/>
              <w:jc w:val="center"/>
            </w:pPr>
            <w:r>
              <w:rPr>
                <w:rFonts w:ascii="Times New Roman" w:hAnsi="Times New Roman" w:eastAsia="宋体"/>
                <w:b w:val="0"/>
                <w:i w:val="0"/>
                <w:sz w:val="17"/>
              </w:rPr>
              <w:t>β=−0.0021 (t=−0.46)</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0528BA92">
            <w:pPr>
              <w:spacing w:before="20" w:after="20" w:line="259" w:lineRule="auto"/>
              <w:ind w:firstLine="0"/>
              <w:jc w:val="center"/>
            </w:pPr>
            <w:r>
              <w:rPr>
                <w:rFonts w:ascii="Times New Roman" w:hAnsi="Times New Roman" w:eastAsia="宋体"/>
                <w:b w:val="0"/>
                <w:i w:val="0"/>
                <w:sz w:val="17"/>
              </w:rPr>
              <w:t>L5 交易执行能力</w:t>
            </w:r>
          </w:p>
        </w:tc>
        <w:tc>
          <w:tcPr>
            <w:tcW w:w="567" w:type="dxa"/>
            <w:vAlign w:val="center"/>
          </w:tcPr>
          <w:p w14:paraId="6EFB6384">
            <w:pPr>
              <w:spacing w:before="20" w:after="20" w:line="259" w:lineRule="auto"/>
              <w:ind w:firstLine="0"/>
              <w:jc w:val="center"/>
            </w:pPr>
            <w:r>
              <w:rPr>
                <w:rFonts w:ascii="Times New Roman" w:hAnsi="Times New Roman" w:eastAsia="宋体"/>
                <w:b w:val="0"/>
                <w:i w:val="0"/>
                <w:sz w:val="17"/>
              </w:rPr>
              <w:t>326</w:t>
            </w:r>
          </w:p>
        </w:tc>
        <w:tc>
          <w:tcPr>
            <w:tcW w:w="1417" w:type="dxa"/>
            <w:vAlign w:val="center"/>
          </w:tcPr>
          <w:p w14:paraId="69A33DD7">
            <w:pPr>
              <w:spacing w:before="20" w:after="20" w:line="259" w:lineRule="auto"/>
              <w:ind w:firstLine="0"/>
              <w:jc w:val="center"/>
            </w:pPr>
            <w:r>
              <w:rPr>
                <w:rFonts w:ascii="Times New Roman" w:hAnsi="Times New Roman" w:eastAsia="宋体"/>
                <w:b w:val="0"/>
                <w:i w:val="0"/>
                <w:sz w:val="17"/>
              </w:rPr>
              <w:t>—</w:t>
            </w:r>
          </w:p>
        </w:tc>
        <w:tc>
          <w:tcPr>
            <w:tcW w:w="1417" w:type="dxa"/>
            <w:vAlign w:val="center"/>
          </w:tcPr>
          <w:p w14:paraId="59461F61">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4AA8FB0A">
            <w:pPr>
              <w:spacing w:before="20" w:after="20" w:line="259" w:lineRule="auto"/>
              <w:ind w:firstLine="0"/>
              <w:jc w:val="center"/>
            </w:pPr>
            <w:r>
              <w:rPr>
                <w:rFonts w:ascii="Times New Roman" w:hAnsi="Times New Roman" w:eastAsia="宋体"/>
                <w:b w:val="0"/>
                <w:i w:val="0"/>
                <w:sz w:val="17"/>
              </w:rPr>
              <w:t>β=+0.0237 (t=+5.62***)</w:t>
            </w:r>
          </w:p>
        </w:tc>
        <w:tc>
          <w:tcPr>
            <w:tcW w:w="2041" w:type="dxa"/>
            <w:vAlign w:val="center"/>
          </w:tcPr>
          <w:p w14:paraId="24898CB3">
            <w:pPr>
              <w:spacing w:before="20" w:after="20" w:line="259" w:lineRule="auto"/>
              <w:ind w:firstLine="0"/>
              <w:jc w:val="center"/>
            </w:pPr>
            <w:r>
              <w:rPr>
                <w:rFonts w:ascii="Times New Roman" w:hAnsi="Times New Roman" w:eastAsia="宋体"/>
                <w:b w:val="0"/>
                <w:i w:val="0"/>
                <w:sz w:val="17"/>
              </w:rPr>
              <w:t>β=+0.0124 (t=+2.88***)</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vAlign w:val="center"/>
          </w:tcPr>
          <w:p w14:paraId="5F62895E">
            <w:pPr>
              <w:spacing w:before="20" w:after="20" w:line="259" w:lineRule="auto"/>
              <w:ind w:firstLine="0"/>
              <w:jc w:val="center"/>
            </w:pPr>
            <w:r>
              <w:rPr>
                <w:rFonts w:ascii="Times New Roman" w:hAnsi="Times New Roman" w:eastAsia="宋体"/>
                <w:b w:val="0"/>
                <w:i w:val="0"/>
                <w:sz w:val="17"/>
              </w:rPr>
              <w:t>模型拟合优度 R²</w:t>
            </w:r>
          </w:p>
        </w:tc>
        <w:tc>
          <w:tcPr>
            <w:tcW w:w="567" w:type="dxa"/>
            <w:vAlign w:val="center"/>
          </w:tcPr>
          <w:p w14:paraId="2A4D74D3">
            <w:pPr>
              <w:spacing w:before="20" w:after="20" w:line="259" w:lineRule="auto"/>
              <w:ind w:firstLine="0"/>
              <w:jc w:val="center"/>
            </w:pPr>
            <w:r>
              <w:rPr>
                <w:rFonts w:ascii="Times New Roman" w:hAnsi="Times New Roman" w:eastAsia="宋体"/>
                <w:b w:val="0"/>
                <w:i w:val="0"/>
                <w:sz w:val="17"/>
              </w:rPr>
              <w:t>326</w:t>
            </w:r>
          </w:p>
        </w:tc>
        <w:tc>
          <w:tcPr>
            <w:tcW w:w="1417" w:type="dxa"/>
            <w:vAlign w:val="center"/>
          </w:tcPr>
          <w:p w14:paraId="7B85BE1A">
            <w:pPr>
              <w:spacing w:before="20" w:after="20" w:line="259" w:lineRule="auto"/>
              <w:ind w:firstLine="0"/>
              <w:jc w:val="center"/>
            </w:pPr>
            <w:r>
              <w:rPr>
                <w:rFonts w:ascii="Times New Roman" w:hAnsi="Times New Roman" w:eastAsia="宋体"/>
                <w:b w:val="0"/>
                <w:i w:val="0"/>
                <w:sz w:val="17"/>
              </w:rPr>
              <w:t>—</w:t>
            </w:r>
          </w:p>
        </w:tc>
        <w:tc>
          <w:tcPr>
            <w:tcW w:w="1417" w:type="dxa"/>
            <w:vAlign w:val="center"/>
          </w:tcPr>
          <w:p w14:paraId="18028DBE">
            <w:pPr>
              <w:spacing w:before="20" w:after="20" w:line="259" w:lineRule="auto"/>
              <w:ind w:firstLine="0"/>
              <w:jc w:val="center"/>
            </w:pPr>
            <w:r>
              <w:rPr>
                <w:rFonts w:ascii="Times New Roman" w:hAnsi="Times New Roman" w:eastAsia="宋体"/>
                <w:b w:val="0"/>
                <w:i w:val="0"/>
                <w:sz w:val="17"/>
              </w:rPr>
              <w:t>—</w:t>
            </w:r>
          </w:p>
        </w:tc>
        <w:tc>
          <w:tcPr>
            <w:tcW w:w="2041" w:type="dxa"/>
            <w:vAlign w:val="center"/>
          </w:tcPr>
          <w:p w14:paraId="033FA2D9">
            <w:pPr>
              <w:spacing w:before="20" w:after="20" w:line="259" w:lineRule="auto"/>
              <w:ind w:firstLine="0"/>
              <w:jc w:val="center"/>
            </w:pPr>
            <w:r>
              <w:rPr>
                <w:rFonts w:ascii="Times New Roman" w:hAnsi="Times New Roman" w:eastAsia="宋体"/>
                <w:b w:val="0"/>
                <w:i w:val="0"/>
                <w:sz w:val="17"/>
              </w:rPr>
              <w:t>单变量 R² 最高 11.46%</w:t>
            </w:r>
          </w:p>
        </w:tc>
        <w:tc>
          <w:tcPr>
            <w:tcW w:w="2041" w:type="dxa"/>
            <w:vAlign w:val="center"/>
          </w:tcPr>
          <w:p w14:paraId="6B0689FE">
            <w:pPr>
              <w:spacing w:before="20" w:after="20" w:line="259" w:lineRule="auto"/>
              <w:ind w:firstLine="0"/>
              <w:jc w:val="center"/>
            </w:pPr>
            <w:r>
              <w:rPr>
                <w:rFonts w:ascii="Times New Roman" w:hAnsi="Times New Roman" w:eastAsia="宋体"/>
                <w:b w:val="0"/>
                <w:i w:val="0"/>
                <w:sz w:val="17"/>
              </w:rPr>
              <w:t>六维联立 R² = 19.84%</w:t>
            </w:r>
          </w:p>
        </w:tc>
      </w:tr>
    </w:tbl>
    <w:p w14:paraId="371A85B3">
      <w:pPr>
        <w:spacing w:before="40" w:after="120" w:line="276" w:lineRule="auto"/>
      </w:pPr>
      <w:r>
        <w:t>注：样本内为 2006Q3–2024Q4（74 季度），样本外为 2025Q1–2026Q2（6 季度，326 只合格基金）。异常 Alpha 采用样本内冻结的 FF5 因子载荷剥离系统性风险。右侧两列分别为单变量预测回归与六维联立预测回归结果。***、**、* 分别表示 1%、5%、10% 显著水平。</w:t>
      </w:r>
    </w:p>
    <w:p w14:paraId="1A20C78B">
      <w:pPr>
        <w:spacing w:after="80" w:line="324" w:lineRule="auto"/>
        <w:ind w:firstLine="480"/>
      </w:pPr>
      <w:r>
        <w:rPr>
          <w:rFonts w:ascii="Times New Roman" w:hAnsi="Times New Roman" w:eastAsia="宋体"/>
          <w:b w:val="0"/>
          <w:i w:val="0"/>
          <w:sz w:val="24"/>
        </w:rPr>
        <w:t>样本外盲测呈现出三项核心发现：第一，</w:t>
      </w:r>
      <w:r>
        <w:rPr>
          <w:rFonts w:ascii="Times New Roman" w:hAnsi="Times New Roman" w:eastAsia="宋体"/>
          <w:b/>
          <w:i w:val="0"/>
          <w:sz w:val="24"/>
        </w:rPr>
        <w:t>五分组保持严格单调递增</w:t>
      </w:r>
      <w:r>
        <w:rPr>
          <w:rFonts w:ascii="Times New Roman" w:hAnsi="Times New Roman" w:eastAsia="宋体"/>
          <w:b w:val="0"/>
          <w:i w:val="0"/>
          <w:sz w:val="24"/>
        </w:rPr>
        <w:t>。依据样本内综合得分五等分，样本外异常 Alpha 自 Q1 的 4.30% 逐级攀升至 Q5 的 10.62%，组间差达 +6.32 个百分点／季（t=+5.52，p&lt;0.0001）；季度原始收益自 16.60% 升至 27.05%（差值 +10.45 个百分点，t=+8.57），在样本外呈现出近乎完美的单调规律。第二，</w:t>
      </w:r>
      <w:r>
        <w:rPr>
          <w:rFonts w:ascii="Times New Roman" w:hAnsi="Times New Roman" w:eastAsia="宋体"/>
          <w:b/>
          <w:i w:val="0"/>
          <w:sz w:val="24"/>
        </w:rPr>
        <w:t>纯行为维度的穿透力跨越周期</w:t>
      </w:r>
      <w:r>
        <w:rPr>
          <w:rFonts w:ascii="Times New Roman" w:hAnsi="Times New Roman" w:eastAsia="宋体"/>
          <w:b w:val="0"/>
          <w:i w:val="0"/>
          <w:sz w:val="24"/>
        </w:rPr>
        <w:t>。在样本外预测回归中，综合能力对未来异常 Alpha 显著为正（β=+0.0604，t=+5.75）；认知能力（t=+4.44）、交易执行能力（t=+5.62）与风险应对能力（t=+4.26）在样本外均极度显著，证实克服处置效应、保持风格稳固与严格防守是跨周期的真实长期技能。第三，</w:t>
      </w:r>
      <w:r>
        <w:rPr>
          <w:rFonts w:ascii="Times New Roman" w:hAnsi="Times New Roman" w:eastAsia="宋体"/>
          <w:b/>
          <w:i w:val="0"/>
          <w:sz w:val="24"/>
        </w:rPr>
        <w:t>印证了 L4b 风险转化维度的机械性假说</w:t>
      </w:r>
      <w:r>
        <w:rPr>
          <w:rFonts w:ascii="Times New Roman" w:hAnsi="Times New Roman" w:eastAsia="宋体"/>
          <w:b w:val="0"/>
          <w:i w:val="0"/>
          <w:sz w:val="24"/>
        </w:rPr>
        <w:t>。风险转化能力在样本外的预测回归不再显著（β=−0.0056，t=−1.24），证实了前述理论断言：比率类指标的高 t 值带有与同期业绩同源的机械成分，而真正驱动未来业绩的是认知与防守行为。</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rPr>
          <w:rFonts w:ascii="Times New Roman" w:hAnsi="Times New Roman" w:eastAsia="宋体"/>
          <w:b w:val="0"/>
          <w:i w:val="0"/>
          <w:sz w:val="24"/>
        </w:rPr>
        <w:t>本文以 400 只基金 80 个季度为样本，构建 25 指标五层体系，检验筛选出 16 个核心成分归并为六个能力维度刻画画像。主要结论如下：</w:t>
      </w:r>
    </w:p>
    <w:p w14:paraId="752F0D58">
      <w:pPr>
        <w:spacing w:after="80" w:line="324" w:lineRule="auto"/>
        <w:ind w:firstLine="480"/>
      </w:pPr>
      <w:r>
        <w:t>第一，行为优势是全链条的。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rPr>
          <w:rFonts w:ascii="Times New Roman" w:hAnsi="Times New Roman" w:eastAsia="宋体"/>
          <w:b w:val="0"/>
          <w:i w:val="0"/>
          <w:sz w:val="24"/>
        </w:rPr>
        <w:t>第三，</w:t>
      </w:r>
      <w:r>
        <w:rPr>
          <w:rFonts w:ascii="Times New Roman" w:hAnsi="Times New Roman" w:eastAsia="宋体"/>
          <w:b/>
          <w:i w:val="0"/>
          <w:sz w:val="24"/>
        </w:rPr>
        <w:t>基本面边界是边界条件而非能力</w:t>
      </w:r>
      <w:r>
        <w:rPr>
          <w:rFonts w:ascii="Times New Roman" w:hAnsi="Times New Roman" w:eastAsia="宋体"/>
          <w:b w:val="0"/>
          <w:i w:val="0"/>
          <w:sz w:val="24"/>
        </w:rPr>
        <w:t>。任职年限、基金年龄与规模在单变量检验中显著，但同期进入联立模型后不显著（t=-0.77），样本外检验转为显著为正（t=+2.71）——年轻、小规模基金预示后期更高的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rPr>
          <w:rFonts w:ascii="Times New Roman" w:hAnsi="Times New Roman" w:eastAsia="宋体"/>
          <w:b w:val="0"/>
          <w:i w:val="0"/>
          <w:sz w:val="24"/>
        </w:rPr>
        <w:t>第四，</w:t>
      </w:r>
      <w:r>
        <w:rPr>
          <w:rFonts w:ascii="Times New Roman" w:hAnsi="Times New Roman" w:eastAsia="宋体"/>
          <w:b/>
          <w:i w:val="0"/>
          <w:sz w:val="24"/>
        </w:rPr>
        <w:t>行为复合得分具有筛选与自检价值</w:t>
      </w:r>
      <w:r>
        <w:rPr>
          <w:rFonts w:ascii="Times New Roman" w:hAnsi="Times New Roman" w:eastAsia="宋体"/>
          <w:b w:val="0"/>
          <w:i w:val="0"/>
          <w:sz w:val="24"/>
        </w:rPr>
        <w:t>。按综合能力五等分，全样本 FF5 alpha 自 Q1 的 0.51% 升至 Q5 的 3.85%（Q5−Q1=3.34 个百分点，t=11.24）；在完全独立的 2025–2026 年样本外长周期盲测中，五分组异常 Alpha 依然保持严格单调递增，Q5−Q1 差值达 +6.32 个百分点／季（t=+5.52，p&lt;0.0001），认知、防守与执行维度的未来预测力持续显著，彻底排除了过拟合疑虑。这为 FOF 与机构筛选投资经理提供了可靠的实战工具——重点考察止损果断性（处置效应）、跌市防守纪律与交易执行意图，而非仅凭历史夏普比率。</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rPr>
          <w:rFonts w:ascii="Times New Roman" w:hAnsi="Times New Roman" w:eastAsia="宋体"/>
          <w:b w:val="0"/>
          <w:i w:val="0"/>
          <w:sz w:val="18"/>
        </w:rPr>
        <w:t>[33]  李志冰, 杨光艺, 冯永昌, 景亮. Fama-French五因子模型在中国股票市场的实证检验[J]. 金融研究, 2017(6): 191-206.</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C912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14</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2026-09-04T01:28:26Z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