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t>Kahneman &amp; Tversky (1979) [4]</w:t>
            </w:r>
            <w:r>
              <w:br w:type="textWrapping"/>
            </w:r>
            <w: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t>Gervais &amp; Odean (2001) [24]</w:t>
            </w:r>
            <w:r>
              <w:br w:type="textWrapping"/>
            </w:r>
            <w: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t>Cremers &amp; Petajisto (2009) [28]</w:t>
            </w:r>
            <w:r>
              <w:br w:type="textWrapping"/>
            </w:r>
            <w: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t>Henriksson &amp; Merton (1981) [15]</w:t>
            </w:r>
            <w:r>
              <w:br w:type="textWrapping"/>
            </w:r>
            <w: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t>Lakonishok et al. (1992) [21]</w:t>
            </w:r>
            <w:r>
              <w:br w:type="textWrapping"/>
            </w:r>
            <w: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56DAE214">
            <w:pPr>
              <w:spacing w:before="10" w:after="10" w:line="240" w:lineRule="auto"/>
              <w:ind w:firstLine="0"/>
              <w:jc w:val="left"/>
            </w:pPr>
            <w:r>
              <w:rPr>
                <w:rFonts w:ascii="Times New Roman" w:hAnsi="Times New Roman" w:eastAsia="宋体"/>
                <w:b w:val="0"/>
                <w:i w:val="0"/>
                <w:sz w:val="17"/>
              </w:rPr>
              <w:t>持仓锚定买入高点不肯止损认错损害业绩</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rPr>
          <w:rFonts w:ascii="Times New Roman" w:hAnsi="Times New Roman" w:eastAsia="宋体"/>
          <w:b w:val="0"/>
          <w:i w:val="0"/>
          <w:sz w:val="24"/>
        </w:rPr>
        <w:t>样本是否足够广泛、有没有“只挑了好年景”？逐年结构来回答（表 3）：自 2006 年以来覆盖完整牛熊周期，有效基金数稳步扩张，存续不少于 12 个季度的 362 只基金构成横截面回归样本；2015、2018、2022 三段下跌与 2019–2021 结构性上涨均在样本内，结论不依赖单一行情，杜绝样本选择偏差。</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rPr>
                <w:rFonts w:ascii="Times New Roman" w:hAnsi="Times New Roman" w:eastAsia="宋体"/>
                <w:b w:val="0"/>
                <w:i w:val="0"/>
                <w:sz w:val="16"/>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rPr>
                <w:rFonts w:ascii="Times New Roman" w:hAnsi="Times New Roman" w:eastAsia="宋体"/>
                <w:b w:val="0"/>
                <w:i w:val="0"/>
                <w:sz w:val="16"/>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rPr>
                <w:rFonts w:ascii="Times New Roman" w:hAnsi="Times New Roman" w:eastAsia="宋体"/>
                <w:b w:val="0"/>
                <w:i w:val="0"/>
                <w:sz w:val="16"/>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rPr>
                <w:rFonts w:ascii="Times New Roman" w:hAnsi="Times New Roman" w:eastAsia="宋体"/>
                <w:b w:val="0"/>
                <w:i w:val="0"/>
                <w:sz w:val="16"/>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rPr>
                <w:rFonts w:ascii="Times New Roman" w:hAnsi="Times New Roman" w:eastAsia="宋体"/>
                <w:b w:val="0"/>
                <w:i w:val="0"/>
                <w:sz w:val="16"/>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rPr>
                <w:rFonts w:ascii="Times New Roman" w:hAnsi="Times New Roman" w:eastAsia="宋体"/>
                <w:b w:val="0"/>
                <w:i w:val="0"/>
                <w:sz w:val="16"/>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928AEE5">
            <w:pPr>
              <w:spacing w:before="10" w:after="10" w:line="240" w:lineRule="auto"/>
              <w:ind w:firstLine="0"/>
              <w:jc w:val="center"/>
            </w:pPr>
            <w:r>
              <w:rPr>
                <w:rFonts w:ascii="Times New Roman" w:hAnsi="Times New Roman" w:eastAsia="宋体"/>
                <w:b w:val="0"/>
                <w:i w:val="0"/>
                <w:sz w:val="16"/>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rPr>
                <w:rFonts w:ascii="Times New Roman" w:hAnsi="Times New Roman" w:eastAsia="宋体"/>
                <w:b w:val="0"/>
                <w:i w:val="0"/>
                <w:sz w:val="16"/>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rPr>
                <w:rFonts w:ascii="Times New Roman" w:hAnsi="Times New Roman" w:eastAsia="宋体"/>
                <w:b w:val="0"/>
                <w:i w:val="0"/>
                <w:sz w:val="16"/>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rPr>
                <w:rFonts w:ascii="Times New Roman" w:hAnsi="Times New Roman" w:eastAsia="宋体"/>
                <w:b w:val="0"/>
                <w:i w:val="0"/>
                <w:sz w:val="16"/>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682A26A">
            <w:pPr>
              <w:spacing w:before="10" w:after="10" w:line="240" w:lineRule="auto"/>
              <w:ind w:firstLine="0"/>
              <w:jc w:val="center"/>
            </w:pPr>
            <w:r>
              <w:rPr>
                <w:rFonts w:ascii="Times New Roman" w:hAnsi="Times New Roman" w:eastAsia="宋体"/>
                <w:b w:val="0"/>
                <w:i w:val="0"/>
                <w:sz w:val="16"/>
              </w:rPr>
              <w:t>+4.42</w:t>
            </w:r>
          </w:p>
        </w:tc>
      </w:tr>
    </w:tbl>
    <w:p w14:paraId="5927E81D">
      <w:pPr>
        <w:spacing w:before="40" w:after="120" w:line="276" w:lineRule="auto"/>
      </w:pPr>
      <w:r>
        <w:t>注：规模、收益与超额均为等权年均；换手率为 Wind 单边年化，1%/99% 缩尾，未更新记「—」；超额收益＝季度收益减季度无风险利率（rf，缺失按0.25%/季补；非沪深300超额，以此为准；数字暂不动，第二步重算）。2015 年前基金较少仅供参照；2026 年仅含前两季（含待核查季度，数字暂保留）。</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45950238">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个标准差吞噬年化超额 2.2%（占季度均值约四分之一），行业集中度与 Sharpe 则分别贡献 +2.9% 与 +3.7%。25 个候选指标中12 个行为指标单变量显著（表 4）：集中押注（ICI）、盈利进攻（risk_asym）、报表外调仓（ARG）、跌市防守（timing）、三项转化比率及高位锚定（anchor_high，β=+0.09***，与表2负向预期不一致，机制待第二步重塑）显著为正；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61121887"/>
    <w:p w14:paraId="227C1971">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6E12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2CB00D2">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E36FFF7">
            <w:pPr>
              <w:spacing w:before="10" w:after="10" w:line="240" w:lineRule="auto"/>
              <w:ind w:firstLine="0"/>
              <w:jc w:val="center"/>
            </w:pPr>
            <w:r>
              <w:rPr>
                <w:rFonts w:ascii="Times New Roman" w:hAnsi="Times New Roman" w:eastAsia="宋体"/>
                <w:b/>
                <w:i w:val="0"/>
                <w:sz w:val="17"/>
              </w:rPr>
              <w:t>超额收益（对沪深300）</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CC662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3BA617">
            <w:pPr>
              <w:spacing w:before="10" w:after="10" w:line="240" w:lineRule="auto"/>
              <w:ind w:firstLine="0"/>
              <w:jc w:val="center"/>
            </w:pPr>
            <w:r>
              <w:rPr>
                <w:rFonts w:ascii="Times New Roman" w:hAnsi="Times New Roman" w:eastAsia="宋体"/>
                <w:b/>
                <w:i w:val="0"/>
                <w:sz w:val="17"/>
              </w:rPr>
              <w:t>FF5 alpha</w:t>
            </w:r>
          </w:p>
        </w:tc>
      </w:tr>
      <w:tr w14:paraId="5BAB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E447507">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1FAC61DA">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2508138A">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1FEC6738">
            <w:pPr>
              <w:spacing w:before="10" w:after="10" w:line="240" w:lineRule="auto"/>
              <w:ind w:firstLine="0"/>
              <w:jc w:val="center"/>
            </w:pPr>
            <w:r>
              <w:rPr>
                <w:rFonts w:ascii="Times New Roman" w:hAnsi="Times New Roman" w:eastAsia="宋体"/>
                <w:b w:val="0"/>
                <w:i w:val="0"/>
                <w:sz w:val="16"/>
              </w:rPr>
              <w:t>-1.8*</w:t>
            </w:r>
          </w:p>
        </w:tc>
      </w:tr>
      <w:tr w14:paraId="6BFB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DF6277">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13914354">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5B8AF266">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6E633778">
            <w:pPr>
              <w:spacing w:before="10" w:after="10" w:line="240" w:lineRule="auto"/>
              <w:ind w:firstLine="0"/>
              <w:jc w:val="center"/>
            </w:pPr>
            <w:r>
              <w:rPr>
                <w:rFonts w:ascii="Times New Roman" w:hAnsi="Times New Roman" w:eastAsia="宋体"/>
                <w:b w:val="0"/>
                <w:i w:val="0"/>
                <w:sz w:val="16"/>
              </w:rPr>
              <w:t>-4.2***</w:t>
            </w:r>
          </w:p>
        </w:tc>
      </w:tr>
      <w:tr w14:paraId="3884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10E0D52">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3B198B83">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545FA35B">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23B400EC">
            <w:pPr>
              <w:spacing w:before="10" w:after="10" w:line="240" w:lineRule="auto"/>
              <w:ind w:firstLine="0"/>
              <w:jc w:val="center"/>
            </w:pPr>
            <w:r>
              <w:rPr>
                <w:rFonts w:ascii="Times New Roman" w:hAnsi="Times New Roman" w:eastAsia="宋体"/>
                <w:b w:val="0"/>
                <w:i w:val="0"/>
                <w:sz w:val="16"/>
              </w:rPr>
              <w:t>-1.1</w:t>
            </w:r>
          </w:p>
        </w:tc>
      </w:tr>
      <w:tr w14:paraId="588A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B50419D">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4DC96E5B">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F6267F5">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757335CB">
            <w:pPr>
              <w:spacing w:before="10" w:after="10" w:line="240" w:lineRule="auto"/>
              <w:ind w:firstLine="0"/>
              <w:jc w:val="center"/>
            </w:pPr>
            <w:r>
              <w:rPr>
                <w:rFonts w:ascii="Times New Roman" w:hAnsi="Times New Roman" w:eastAsia="宋体"/>
                <w:b w:val="0"/>
                <w:i w:val="0"/>
                <w:sz w:val="16"/>
              </w:rPr>
              <w:t>+1.2</w:t>
            </w:r>
          </w:p>
        </w:tc>
      </w:tr>
      <w:tr w14:paraId="5800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B2D4502">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70ECAA54">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4C9CD2F2">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42B01BC9">
            <w:pPr>
              <w:spacing w:before="10" w:after="10" w:line="240" w:lineRule="auto"/>
              <w:ind w:firstLine="0"/>
              <w:jc w:val="center"/>
            </w:pPr>
            <w:r>
              <w:rPr>
                <w:rFonts w:ascii="Times New Roman" w:hAnsi="Times New Roman" w:eastAsia="宋体"/>
                <w:b w:val="0"/>
                <w:i w:val="0"/>
                <w:sz w:val="16"/>
              </w:rPr>
              <w:t>-6.7***</w:t>
            </w:r>
          </w:p>
        </w:tc>
      </w:tr>
      <w:tr w14:paraId="2AF6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FF17B2A">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BD0F678">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675CCD52">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72D91FD7">
            <w:pPr>
              <w:spacing w:before="10" w:after="10" w:line="240" w:lineRule="auto"/>
              <w:ind w:firstLine="0"/>
              <w:jc w:val="center"/>
            </w:pPr>
            <w:r>
              <w:rPr>
                <w:rFonts w:ascii="Times New Roman" w:hAnsi="Times New Roman" w:eastAsia="宋体"/>
                <w:b w:val="0"/>
                <w:i w:val="0"/>
                <w:sz w:val="16"/>
              </w:rPr>
              <w:t>+0.9</w:t>
            </w:r>
          </w:p>
        </w:tc>
      </w:tr>
      <w:tr w14:paraId="1996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0FDC581">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1C1056E">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89DAD67">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8EB157">
            <w:pPr>
              <w:spacing w:before="10" w:after="10" w:line="240" w:lineRule="auto"/>
              <w:ind w:firstLine="0"/>
              <w:jc w:val="center"/>
            </w:pPr>
            <w:r>
              <w:rPr>
                <w:rFonts w:ascii="Times New Roman" w:hAnsi="Times New Roman" w:eastAsia="宋体"/>
                <w:b w:val="0"/>
                <w:i w:val="0"/>
                <w:sz w:val="16"/>
              </w:rPr>
              <w:t>+0.8</w:t>
            </w:r>
          </w:p>
        </w:tc>
      </w:tr>
      <w:tr w14:paraId="6CAC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1FADDA">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6D0D1B1C">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4242F299">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00DFBDD5">
            <w:pPr>
              <w:spacing w:before="10" w:after="10" w:line="240" w:lineRule="auto"/>
              <w:ind w:firstLine="0"/>
              <w:jc w:val="center"/>
            </w:pPr>
            <w:r>
              <w:rPr>
                <w:rFonts w:ascii="Times New Roman" w:hAnsi="Times New Roman" w:eastAsia="宋体"/>
                <w:b w:val="0"/>
                <w:i w:val="0"/>
                <w:sz w:val="16"/>
              </w:rPr>
              <w:t>+4.0***</w:t>
            </w:r>
          </w:p>
        </w:tc>
      </w:tr>
      <w:tr w14:paraId="33EF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9D81177">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52DBF230">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03D71821">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6FE9B17">
            <w:pPr>
              <w:spacing w:before="10" w:after="10" w:line="240" w:lineRule="auto"/>
              <w:ind w:firstLine="0"/>
              <w:jc w:val="center"/>
            </w:pPr>
            <w:r>
              <w:rPr>
                <w:rFonts w:ascii="Times New Roman" w:hAnsi="Times New Roman" w:eastAsia="宋体"/>
                <w:b w:val="0"/>
                <w:i w:val="0"/>
                <w:sz w:val="16"/>
              </w:rPr>
              <w:t>-4.4***</w:t>
            </w:r>
          </w:p>
        </w:tc>
      </w:tr>
      <w:tr w14:paraId="6735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087596DE">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47A048CC">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1B1BA51D">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4928CD25">
            <w:pPr>
              <w:spacing w:before="10" w:after="10" w:line="240" w:lineRule="auto"/>
              <w:ind w:firstLine="0"/>
              <w:jc w:val="center"/>
            </w:pPr>
            <w:r>
              <w:rPr>
                <w:rFonts w:ascii="Times New Roman" w:hAnsi="Times New Roman" w:eastAsia="宋体"/>
                <w:b w:val="0"/>
                <w:i w:val="0"/>
                <w:sz w:val="16"/>
              </w:rPr>
              <w:t>-3.8***</w:t>
            </w:r>
          </w:p>
        </w:tc>
      </w:tr>
      <w:tr w14:paraId="03A7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7151203">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3EA53C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96F0FBB">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79255705">
            <w:pPr>
              <w:spacing w:before="10" w:after="10" w:line="240" w:lineRule="auto"/>
              <w:ind w:firstLine="0"/>
              <w:jc w:val="center"/>
            </w:pPr>
            <w:r>
              <w:rPr>
                <w:rFonts w:ascii="Times New Roman" w:hAnsi="Times New Roman" w:eastAsia="宋体"/>
                <w:b w:val="0"/>
                <w:i w:val="0"/>
                <w:sz w:val="16"/>
              </w:rPr>
              <w:t>-1.6</w:t>
            </w:r>
          </w:p>
        </w:tc>
      </w:tr>
      <w:tr w14:paraId="6B38C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CD0C283">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132EB19">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95D358D">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712810">
            <w:pPr>
              <w:spacing w:before="10" w:after="10" w:line="240" w:lineRule="auto"/>
              <w:ind w:firstLine="0"/>
              <w:jc w:val="center"/>
            </w:pPr>
            <w:r>
              <w:rPr>
                <w:rFonts w:ascii="Times New Roman" w:hAnsi="Times New Roman" w:eastAsia="宋体"/>
                <w:b w:val="0"/>
                <w:i w:val="0"/>
                <w:sz w:val="16"/>
              </w:rPr>
              <w:t>+3.1***</w:t>
            </w:r>
          </w:p>
        </w:tc>
      </w:tr>
      <w:tr w14:paraId="5C63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30CB5C9">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69F07C89">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5905F1D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FC966F9">
            <w:pPr>
              <w:spacing w:before="10" w:after="10" w:line="240" w:lineRule="auto"/>
              <w:ind w:firstLine="0"/>
              <w:jc w:val="center"/>
            </w:pPr>
            <w:r>
              <w:rPr>
                <w:rFonts w:ascii="Times New Roman" w:hAnsi="Times New Roman" w:eastAsia="宋体"/>
                <w:b w:val="0"/>
                <w:i w:val="0"/>
                <w:sz w:val="16"/>
              </w:rPr>
              <w:t>+5.8***</w:t>
            </w:r>
          </w:p>
        </w:tc>
      </w:tr>
      <w:tr w14:paraId="0DE8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0524C73E">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2D398F6A">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62EDEE2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2073EF00">
            <w:pPr>
              <w:spacing w:before="10" w:after="10" w:line="240" w:lineRule="auto"/>
              <w:ind w:firstLine="0"/>
              <w:jc w:val="center"/>
            </w:pPr>
            <w:r>
              <w:rPr>
                <w:rFonts w:ascii="Times New Roman" w:hAnsi="Times New Roman" w:eastAsia="宋体"/>
                <w:b w:val="0"/>
                <w:i w:val="0"/>
                <w:sz w:val="16"/>
              </w:rPr>
              <w:t>-4.4***</w:t>
            </w:r>
          </w:p>
        </w:tc>
      </w:tr>
      <w:tr w14:paraId="1F51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3EB471B">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11353BB">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5396DE9E">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D16D5BB">
            <w:pPr>
              <w:spacing w:before="10" w:after="10" w:line="240" w:lineRule="auto"/>
              <w:ind w:firstLine="0"/>
              <w:jc w:val="center"/>
            </w:pPr>
            <w:r>
              <w:rPr>
                <w:rFonts w:ascii="Times New Roman" w:hAnsi="Times New Roman" w:eastAsia="宋体"/>
                <w:b w:val="0"/>
                <w:i w:val="0"/>
                <w:sz w:val="16"/>
              </w:rPr>
              <w:t>-0.3</w:t>
            </w:r>
          </w:p>
        </w:tc>
      </w:tr>
      <w:tr w14:paraId="2730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80DB970">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32D5B70">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20F9F87F">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71A0D2F3">
            <w:pPr>
              <w:spacing w:before="10" w:after="10" w:line="240" w:lineRule="auto"/>
              <w:ind w:firstLine="0"/>
              <w:jc w:val="center"/>
            </w:pPr>
            <w:r>
              <w:rPr>
                <w:rFonts w:ascii="Times New Roman" w:hAnsi="Times New Roman" w:eastAsia="宋体"/>
                <w:b w:val="0"/>
                <w:i w:val="0"/>
                <w:sz w:val="16"/>
              </w:rPr>
              <w:t>+5.0***</w:t>
            </w:r>
          </w:p>
        </w:tc>
      </w:tr>
      <w:tr w14:paraId="3833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5434412">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2FBAEE76">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FC81608">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E4A6075">
            <w:pPr>
              <w:spacing w:before="10" w:after="10" w:line="240" w:lineRule="auto"/>
              <w:ind w:firstLine="0"/>
              <w:jc w:val="center"/>
            </w:pPr>
            <w:r>
              <w:rPr>
                <w:rFonts w:ascii="Times New Roman" w:hAnsi="Times New Roman" w:eastAsia="宋体"/>
                <w:b w:val="0"/>
                <w:i w:val="0"/>
                <w:sz w:val="16"/>
              </w:rPr>
              <w:t>+4.9***</w:t>
            </w:r>
          </w:p>
        </w:tc>
      </w:tr>
      <w:tr w14:paraId="5932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2628B5A">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7EAE8CE0">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2AB22E6F">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6E901E97">
            <w:pPr>
              <w:spacing w:before="10" w:after="10" w:line="240" w:lineRule="auto"/>
              <w:ind w:firstLine="0"/>
              <w:jc w:val="center"/>
            </w:pPr>
            <w:r>
              <w:rPr>
                <w:rFonts w:ascii="Times New Roman" w:hAnsi="Times New Roman" w:eastAsia="宋体"/>
                <w:b w:val="0"/>
                <w:i w:val="0"/>
                <w:sz w:val="16"/>
              </w:rPr>
              <w:t>+4.4***</w:t>
            </w:r>
          </w:p>
        </w:tc>
      </w:tr>
      <w:tr w14:paraId="4195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B172AB7">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04B2A20C">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57F07D21">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B902E2E">
            <w:pPr>
              <w:spacing w:before="10" w:after="10" w:line="240" w:lineRule="auto"/>
              <w:ind w:firstLine="0"/>
              <w:jc w:val="center"/>
            </w:pPr>
            <w:r>
              <w:rPr>
                <w:rFonts w:ascii="Times New Roman" w:hAnsi="Times New Roman" w:eastAsia="宋体"/>
                <w:b w:val="0"/>
                <w:i w:val="0"/>
                <w:sz w:val="16"/>
              </w:rPr>
              <w:t>-6.0***</w:t>
            </w:r>
          </w:p>
        </w:tc>
      </w:tr>
      <w:tr w14:paraId="5F91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03BEBCF1">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23E86206">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23CE8074">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C5E18C7">
            <w:pPr>
              <w:spacing w:before="10" w:after="10" w:line="240" w:lineRule="auto"/>
              <w:ind w:firstLine="0"/>
              <w:jc w:val="center"/>
            </w:pPr>
            <w:r>
              <w:rPr>
                <w:rFonts w:ascii="Times New Roman" w:hAnsi="Times New Roman" w:eastAsia="宋体"/>
                <w:b w:val="0"/>
                <w:i w:val="0"/>
                <w:sz w:val="16"/>
              </w:rPr>
              <w:t>+6.7***</w:t>
            </w:r>
          </w:p>
        </w:tc>
      </w:tr>
      <w:tr w14:paraId="4B66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4833AF8">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135D972E">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526C4C58">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684F066">
            <w:pPr>
              <w:spacing w:before="10" w:after="10" w:line="240" w:lineRule="auto"/>
              <w:ind w:firstLine="0"/>
              <w:jc w:val="center"/>
            </w:pPr>
            <w:r>
              <w:rPr>
                <w:rFonts w:ascii="Times New Roman" w:hAnsi="Times New Roman" w:eastAsia="宋体"/>
                <w:b w:val="0"/>
                <w:i w:val="0"/>
                <w:sz w:val="16"/>
              </w:rPr>
              <w:t>+6.0***</w:t>
            </w:r>
          </w:p>
        </w:tc>
      </w:tr>
      <w:tr w14:paraId="5F3E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2F80FE9A">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AD22CCD">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F3F08E2">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0966470">
            <w:pPr>
              <w:spacing w:before="10" w:after="10" w:line="240" w:lineRule="auto"/>
              <w:ind w:firstLine="0"/>
              <w:jc w:val="center"/>
            </w:pPr>
            <w:r>
              <w:rPr>
                <w:rFonts w:ascii="Times New Roman" w:hAnsi="Times New Roman" w:eastAsia="宋体"/>
                <w:b w:val="0"/>
                <w:i w:val="0"/>
                <w:sz w:val="16"/>
              </w:rPr>
              <w:t>+9.5***</w:t>
            </w:r>
          </w:p>
        </w:tc>
      </w:tr>
      <w:tr w14:paraId="7C48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811753E">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321460DC">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7EEE8AB9">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60C6D8AC">
            <w:pPr>
              <w:spacing w:before="10" w:after="10" w:line="240" w:lineRule="auto"/>
              <w:ind w:firstLine="0"/>
              <w:jc w:val="center"/>
            </w:pPr>
            <w:r>
              <w:rPr>
                <w:rFonts w:ascii="Times New Roman" w:hAnsi="Times New Roman" w:eastAsia="宋体"/>
                <w:b w:val="0"/>
                <w:i w:val="0"/>
                <w:sz w:val="16"/>
              </w:rPr>
              <w:t>-4.7***</w:t>
            </w:r>
          </w:p>
        </w:tc>
      </w:tr>
      <w:tr w14:paraId="117DD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D2E6078">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38C794B0">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161F094F">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03B13C13">
            <w:pPr>
              <w:spacing w:before="10" w:after="10" w:line="240" w:lineRule="auto"/>
              <w:ind w:firstLine="0"/>
              <w:jc w:val="center"/>
            </w:pPr>
            <w:r>
              <w:rPr>
                <w:rFonts w:ascii="Times New Roman" w:hAnsi="Times New Roman" w:eastAsia="宋体"/>
                <w:b w:val="0"/>
                <w:i w:val="0"/>
                <w:sz w:val="16"/>
              </w:rPr>
              <w:t>+3.9***</w:t>
            </w:r>
          </w:p>
        </w:tc>
      </w:tr>
      <w:tr w14:paraId="547E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0784F8AE">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15646924">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04BE3D73">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316A41C9">
            <w:pPr>
              <w:spacing w:before="10" w:after="10" w:line="240" w:lineRule="auto"/>
              <w:ind w:firstLine="0"/>
              <w:jc w:val="center"/>
            </w:pPr>
            <w:r>
              <w:rPr>
                <w:rFonts w:ascii="Times New Roman" w:hAnsi="Times New Roman" w:eastAsia="宋体"/>
                <w:b w:val="0"/>
                <w:i w:val="0"/>
                <w:sz w:val="16"/>
              </w:rPr>
              <w:t>+1.1</w:t>
            </w:r>
          </w:p>
        </w:tc>
      </w:tr>
    </w:tbl>
    <w:p w14:paraId="3259B154">
      <w:pPr>
        <w:spacing w:before="40" w:after="120" w:line="276" w:lineRule="auto"/>
      </w:pPr>
      <w:r>
        <w:rPr>
          <w:rFonts w:ascii="Times New Roman" w:hAnsi="Times New Roman" w:eastAsia="楷体"/>
          <w:b w:val="0"/>
          <w:i w:val="0"/>
          <w:sz w:val="17"/>
        </w:rPr>
        <w:t>注：单元格为基金层横截面 OLS 的 t 值与显著性；三列回归样本随因变量覆盖率微调（N≈352–362）。简单超额不剔因子、风格暴露留在残差，仅作参照。</w:t>
      </w:r>
    </w:p>
    <w:p w14:paraId="200F6B9A">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1C6AD4E8">
      <w:pPr>
        <w:keepNext/>
        <w:spacing w:before="180" w:after="80" w:line="324" w:lineRule="auto"/>
      </w:pPr>
      <w:r>
        <w:rPr>
          <w:rFonts w:ascii="Times New Roman" w:hAnsi="Times New Roman" w:eastAsia="黑体"/>
          <w:b/>
          <w:i w:val="0"/>
          <w:sz w:val="24"/>
        </w:rPr>
        <w:t>（三）维度复合与业绩预测</w:t>
      </w:r>
    </w:p>
    <w:p w14:paraId="00A5EE5F">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w:t>
      </w:r>
    </w:p>
    <w:p w14:paraId="56B8E709">
      <w:pPr>
        <w:spacing w:after="80" w:line="324" w:lineRule="auto"/>
        <w:rPr>
          <w:rFonts w:ascii="Times New Roman" w:hAnsi="Times New Roman" w:eastAsia="宋体"/>
          <w:b w:val="0"/>
          <w:i w:val="0"/>
          <w:sz w:val="24"/>
        </w:rPr>
        <w:sectPr>
          <w:type w:val="continuous"/>
          <w:pgSz w:w="11906" w:h="16838"/>
          <w:pgMar w:top="1134" w:right="1134" w:bottom="1134" w:left="1134" w:header="720" w:footer="720" w:gutter="0"/>
          <w:cols w:space="720" w:num="1"/>
          <w:docGrid w:linePitch="360" w:charSpace="0"/>
        </w:sectPr>
      </w:pPr>
    </w:p>
    <w:p w14:paraId="5F668F72">
      <w:pPr>
        <w:spacing w:after="80" w:line="324" w:lineRule="auto"/>
      </w:pPr>
      <w:bookmarkStart w:id="0" w:name="_GoBack"/>
      <w:bookmarkEnd w:id="0"/>
      <w:r>
        <w:rPr>
          <w:rFonts w:ascii="Times New Roman" w:hAnsi="Times New Roman" w:eastAsia="宋体"/>
          <w:b w:val="0"/>
          <w:i w:val="0"/>
          <w:sz w:val="24"/>
        </w:rPr>
        <w:t>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权重。锚定效应并入认知维度，高位持仓的正向效应已按实证方向计入认知维度，其理论机制（动量延续 vs 沉没成本）待第二步重塑，本版暂不做偏误定性。</w:t>
      </w:r>
    </w:p>
    <w:p w14:paraId="5757CD1A">
      <w:pPr>
        <w:spacing w:after="80" w:line="324" w:lineRule="auto"/>
        <w:ind w:firstLine="480"/>
      </w:pPr>
      <w:r>
        <w:rPr>
          <w:rFonts w:ascii="Times New Roman" w:hAnsi="Times New Roman" w:eastAsia="宋体"/>
          <w:b w:val="0"/>
          <w:i w:val="0"/>
          <w:sz w:val="24"/>
        </w:rPr>
        <w:t>把六个维度得分同时放入回归（主回归方程）：</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能力分对收益的预测效果直观显著（图 2）：按综合能力五等分，FF5 alpha 自 Q1 的 0.51% 单调攀升至 Q5 的 3.85%，头尾差达 3.34 个百分点（t=11.24）；原始季度收益总体向上（Q3 6.93%至Q4 6.64%略有回撤，非严格单调，见表10）。复合能力得分展现出对未来业绩极强的穿透识别与区分度。</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淘汰指标中，“改进主动份额”（AS_improved）横截面显著为负（t=-3.06）而面板单变量显著为正（t=+5.33），符号翻转且受规模驱动。本文以六道检验裁决（表 8，前五道为回归、第六道为群体差异），三证俱在予以剔除，与 Frazzini 等（2016）[29]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rPr>
                <w:rFonts w:ascii="Times New Roman" w:hAnsi="Times New Roman" w:eastAsia="宋体"/>
                <w:b w:val="0"/>
                <w:i w:val="0"/>
                <w:sz w:val="17"/>
              </w:rPr>
              <w:t>VI_群体画像_Top5%减Bottom5%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+2.34，与“偏差损害业绩”相反，明细见方法详解；表1仅列25个核心候选）；追涨杀跌、换手率仅在特定风格口径下显著，剥离五因子后不再显著。Brinson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rPr>
          <w:rFonts w:ascii="Times New Roman" w:hAnsi="Times New Roman" w:eastAsia="黑体"/>
          <w:b/>
          <w:i w:val="0"/>
          <w:sz w:val="21"/>
        </w:rPr>
        <w:t>表 9  群体画像：Top5% 与 Bottom5%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rPr>
                <w:rFonts w:ascii="Times New Roman" w:hAnsi="Times New Roman" w:eastAsia="宋体"/>
                <w:b/>
                <w:i w:val="0"/>
                <w:sz w:val="17"/>
              </w:rPr>
              <w:t>Top5%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rPr>
                <w:rFonts w:ascii="Times New Roman" w:hAnsi="Times New Roman" w:eastAsia="宋体"/>
                <w:b/>
                <w:i w:val="0"/>
                <w:sz w:val="17"/>
              </w:rPr>
              <w:t>Bottom5%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（三）长周期样本外检验：2006–2024 建模与 2025–2026 盲测验证</w:t>
      </w:r>
    </w:p>
    <w:p w14:paraId="2B248E3B">
      <w:pPr>
        <w:spacing w:after="80" w:line="324" w:lineRule="auto"/>
        <w:ind w:firstLine="480"/>
      </w:pPr>
      <w:r>
        <w:rPr>
          <w:rFonts w:ascii="Times New Roman" w:hAnsi="Times New Roman" w:eastAsia="宋体"/>
          <w:b w:val="0"/>
          <w:i w:val="0"/>
          <w:sz w:val="24"/>
        </w:rP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rPr>
                <w:rFonts w:ascii="Times New Roman" w:hAnsi="Times New Roman" w:eastAsia="宋体"/>
                <w:b w:val="0"/>
                <w:i w:val="0"/>
                <w:sz w:val="17"/>
              </w:rPr>
              <w:t>4.30%</w:t>
            </w:r>
          </w:p>
        </w:tc>
        <w:tc>
          <w:tcPr>
            <w:tcW w:w="1417" w:type="dxa"/>
            <w:tcBorders>
              <w:top w:val="nil"/>
              <w:left w:val="nil"/>
              <w:bottom w:val="nil"/>
              <w:right w:val="nil"/>
            </w:tcBorders>
            <w:tcMar>
              <w:top w:w="20" w:type="dxa"/>
              <w:left w:w="45" w:type="dxa"/>
              <w:bottom w:w="20" w:type="dxa"/>
              <w:right w:w="45" w:type="dxa"/>
            </w:tcMar>
            <w:vAlign w:val="center"/>
          </w:tcPr>
          <w:p w14:paraId="20C5211A">
            <w:pPr>
              <w:spacing w:before="10" w:after="10" w:line="240" w:lineRule="auto"/>
              <w:ind w:firstLine="0"/>
              <w:jc w:val="center"/>
            </w:pPr>
            <w:r>
              <w:rPr>
                <w:rFonts w:ascii="Times New Roman" w:hAnsi="Times New Roman" w:eastAsia="宋体"/>
                <w:b w:val="0"/>
                <w:i w:val="0"/>
                <w:sz w:val="17"/>
              </w:rPr>
              <w:t>16.60%</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rPr>
                <w:rFonts w:ascii="Times New Roman" w:hAnsi="Times New Roman" w:eastAsia="宋体"/>
                <w:b w:val="0"/>
                <w:i w:val="0"/>
                <w:sz w:val="17"/>
              </w:rPr>
              <w:t>7.47%</w:t>
            </w:r>
          </w:p>
        </w:tc>
        <w:tc>
          <w:tcPr>
            <w:tcW w:w="1417" w:type="dxa"/>
            <w:tcBorders>
              <w:top w:val="nil"/>
              <w:left w:val="nil"/>
              <w:bottom w:val="nil"/>
              <w:right w:val="nil"/>
            </w:tcBorders>
            <w:tcMar>
              <w:top w:w="20" w:type="dxa"/>
              <w:left w:w="45" w:type="dxa"/>
              <w:bottom w:w="20" w:type="dxa"/>
              <w:right w:w="45" w:type="dxa"/>
            </w:tcMar>
            <w:vAlign w:val="center"/>
          </w:tcPr>
          <w:p w14:paraId="75A1DDFF">
            <w:pPr>
              <w:spacing w:before="10" w:after="10" w:line="240" w:lineRule="auto"/>
              <w:ind w:firstLine="0"/>
              <w:jc w:val="center"/>
            </w:pPr>
            <w:r>
              <w:rPr>
                <w:rFonts w:ascii="Times New Roman" w:hAnsi="Times New Roman" w:eastAsia="宋体"/>
                <w:b w:val="0"/>
                <w:i w:val="0"/>
                <w:sz w:val="17"/>
              </w:rPr>
              <w:t>20.18%</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rPr>
                <w:rFonts w:ascii="Times New Roman" w:hAnsi="Times New Roman" w:eastAsia="宋体"/>
                <w:b w:val="0"/>
                <w:i w:val="0"/>
                <w:sz w:val="17"/>
              </w:rPr>
              <w:t>7.97%</w:t>
            </w:r>
          </w:p>
        </w:tc>
        <w:tc>
          <w:tcPr>
            <w:tcW w:w="1417" w:type="dxa"/>
            <w:tcBorders>
              <w:top w:val="nil"/>
              <w:left w:val="nil"/>
              <w:bottom w:val="nil"/>
              <w:right w:val="nil"/>
            </w:tcBorders>
            <w:tcMar>
              <w:top w:w="20" w:type="dxa"/>
              <w:left w:w="45" w:type="dxa"/>
              <w:bottom w:w="20" w:type="dxa"/>
              <w:right w:w="45" w:type="dxa"/>
            </w:tcMar>
            <w:vAlign w:val="center"/>
          </w:tcPr>
          <w:p w14:paraId="6D52FF44">
            <w:pPr>
              <w:spacing w:before="10" w:after="10" w:line="240" w:lineRule="auto"/>
              <w:ind w:firstLine="0"/>
              <w:jc w:val="center"/>
            </w:pPr>
            <w:r>
              <w:rPr>
                <w:rFonts w:ascii="Times New Roman" w:hAnsi="Times New Roman" w:eastAsia="宋体"/>
                <w:b w:val="0"/>
                <w:i w:val="0"/>
                <w:sz w:val="17"/>
              </w:rPr>
              <w:t>22.32%</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rPr>
                <w:rFonts w:ascii="Times New Roman" w:hAnsi="Times New Roman" w:eastAsia="宋体"/>
                <w:b w:val="0"/>
                <w:i w:val="0"/>
                <w:sz w:val="17"/>
              </w:rPr>
              <w:t>8.83%</w:t>
            </w:r>
          </w:p>
        </w:tc>
        <w:tc>
          <w:tcPr>
            <w:tcW w:w="1417" w:type="dxa"/>
            <w:tcBorders>
              <w:top w:val="nil"/>
              <w:left w:val="nil"/>
              <w:bottom w:val="nil"/>
              <w:right w:val="nil"/>
            </w:tcBorders>
            <w:tcMar>
              <w:top w:w="20" w:type="dxa"/>
              <w:left w:w="45" w:type="dxa"/>
              <w:bottom w:w="20" w:type="dxa"/>
              <w:right w:w="45" w:type="dxa"/>
            </w:tcMar>
            <w:vAlign w:val="center"/>
          </w:tcPr>
          <w:p w14:paraId="43DA041F">
            <w:pPr>
              <w:spacing w:before="10" w:after="10" w:line="240" w:lineRule="auto"/>
              <w:ind w:firstLine="0"/>
              <w:jc w:val="center"/>
            </w:pPr>
            <w:r>
              <w:rPr>
                <w:rFonts w:ascii="Times New Roman" w:hAnsi="Times New Roman" w:eastAsia="宋体"/>
                <w:b w:val="0"/>
                <w:i w:val="0"/>
                <w:sz w:val="17"/>
              </w:rPr>
              <w:t>24.55%</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rPr>
                <w:rFonts w:ascii="Times New Roman" w:hAnsi="Times New Roman" w:eastAsia="宋体"/>
                <w:b w:val="0"/>
                <w:i w:val="0"/>
                <w:sz w:val="17"/>
              </w:rPr>
              <w:t>10.62%</w:t>
            </w:r>
          </w:p>
        </w:tc>
        <w:tc>
          <w:tcPr>
            <w:tcW w:w="1417" w:type="dxa"/>
            <w:tcBorders>
              <w:top w:val="nil"/>
              <w:left w:val="nil"/>
              <w:bottom w:val="nil"/>
              <w:right w:val="nil"/>
            </w:tcBorders>
            <w:tcMar>
              <w:top w:w="20" w:type="dxa"/>
              <w:left w:w="45" w:type="dxa"/>
              <w:bottom w:w="20" w:type="dxa"/>
              <w:right w:w="45" w:type="dxa"/>
            </w:tcMar>
            <w:vAlign w:val="center"/>
          </w:tcPr>
          <w:p w14:paraId="30A73698">
            <w:pPr>
              <w:spacing w:before="10" w:after="10" w:line="240" w:lineRule="auto"/>
              <w:ind w:firstLine="0"/>
              <w:jc w:val="center"/>
            </w:pPr>
            <w:r>
              <w:rPr>
                <w:rFonts w:ascii="Times New Roman" w:hAnsi="Times New Roman" w:eastAsia="宋体"/>
                <w:b w:val="0"/>
                <w:i w:val="0"/>
                <w:sz w:val="17"/>
              </w:rPr>
              <w:t>27.05%</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rPr>
                <w:rFonts w:ascii="Times New Roman" w:hAnsi="Times New Roman" w:eastAsia="宋体"/>
                <w:b w:val="0"/>
                <w:i w:val="0"/>
                <w:sz w:val="17"/>
              </w:rPr>
              <w:t>+6.32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rPr>
                <w:rFonts w:ascii="Times New Roman" w:hAnsi="Times New Roman" w:eastAsia="宋体"/>
                <w:b w:val="0"/>
                <w:i w:val="0"/>
                <w:sz w:val="17"/>
              </w:rPr>
              <w:t>+10.45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rPr>
                <w:rFonts w:ascii="Times New Roman" w:hAnsi="Times New Roman" w:eastAsia="宋体"/>
                <w:b w:val="0"/>
                <w:i w:val="0"/>
                <w:sz w:val="17"/>
              </w:rPr>
              <w:t>t=+5.52***</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rPr>
                <w:rFonts w:ascii="Times New Roman" w:hAnsi="Times New Roman" w:eastAsia="宋体"/>
                <w:b w:val="0"/>
                <w:i w:val="0"/>
                <w:sz w:val="17"/>
              </w:rP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rPr>
                <w:rFonts w:ascii="Times New Roman" w:hAnsi="Times New Roman" w:eastAsia="宋体"/>
                <w:b w:val="0"/>
                <w:i w:val="0"/>
                <w:sz w:val="17"/>
              </w:rPr>
              <w:t>β=+0.0604 (t=+5.75***)</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rPr>
                <w:rFonts w:ascii="Times New Roman" w:hAnsi="Times New Roman" w:eastAsia="宋体"/>
                <w:b w:val="0"/>
                <w:i w:val="0"/>
                <w:sz w:val="17"/>
              </w:rPr>
              <w:t>— (单变量 R²=9.43%)</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rPr>
                <w:rFonts w:ascii="Times New Roman" w:hAnsi="Times New Roman" w:eastAsia="宋体"/>
                <w:b w:val="0"/>
                <w:i w:val="0"/>
                <w:sz w:val="17"/>
              </w:rPr>
              <w:t>β=+0.0276 (t=+6.35***)</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rPr>
                <w:rFonts w:ascii="Times New Roman" w:hAnsi="Times New Roman" w:eastAsia="宋体"/>
                <w:b w:val="0"/>
                <w:i w:val="0"/>
                <w:sz w:val="17"/>
              </w:rPr>
              <w:t>β=+0.0179 (t=+4.03***)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rPr>
                <w:rFonts w:ascii="Times New Roman" w:hAnsi="Times New Roman" w:eastAsia="宋体"/>
                <w:b w:val="0"/>
                <w:i w:val="0"/>
                <w:sz w:val="17"/>
              </w:rPr>
              <w:t>β=+0.0268 (t=+4.44***)</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rPr>
                <w:rFonts w:ascii="Times New Roman" w:hAnsi="Times New Roman" w:eastAsia="宋体"/>
                <w:b w:val="0"/>
                <w:i w:val="0"/>
                <w:sz w:val="17"/>
              </w:rPr>
              <w:t>β=+0.0257 (t=+4.17***)</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rPr>
                <w:rFonts w:ascii="Times New Roman" w:hAnsi="Times New Roman" w:eastAsia="宋体"/>
                <w:b w:val="0"/>
                <w:i w:val="0"/>
                <w:sz w:val="17"/>
              </w:rPr>
              <w:t>β=−0.0068 (t=−1.38)</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rPr>
                <w:rFonts w:ascii="Times New Roman" w:hAnsi="Times New Roman" w:eastAsia="宋体"/>
                <w:b w:val="0"/>
                <w:i w:val="0"/>
                <w:sz w:val="17"/>
              </w:rPr>
              <w:t>β=−0.0079 (t=−1.77*)</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rPr>
                <w:rFonts w:ascii="Times New Roman" w:hAnsi="Times New Roman" w:eastAsia="宋体"/>
                <w:b w:val="0"/>
                <w:i w:val="0"/>
                <w:sz w:val="17"/>
              </w:rPr>
              <w:t>β=+0.0297 (t=+4.26***)</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rPr>
                <w:rFonts w:ascii="Times New Roman" w:hAnsi="Times New Roman" w:eastAsia="宋体"/>
                <w:b w:val="0"/>
                <w:i w:val="0"/>
                <w:sz w:val="17"/>
              </w:rPr>
              <w:t>β=+0.0121 (t=+1.73*)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rPr>
                <w:rFonts w:ascii="Times New Roman" w:hAnsi="Times New Roman" w:eastAsia="宋体"/>
                <w:b w:val="0"/>
                <w:i w:val="0"/>
                <w:sz w:val="17"/>
              </w:rPr>
              <w:t>β=−0.0056 (t=−1.24)</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rPr>
                <w:rFonts w:ascii="Times New Roman" w:hAnsi="Times New Roman" w:eastAsia="宋体"/>
                <w:b w:val="0"/>
                <w:i w:val="0"/>
                <w:sz w:val="17"/>
              </w:rPr>
              <w:t>β=−0.0021 (t=−0.46)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rPr>
                <w:rFonts w:ascii="Times New Roman" w:hAnsi="Times New Roman" w:eastAsia="宋体"/>
                <w:b w:val="0"/>
                <w:i w:val="0"/>
                <w:sz w:val="17"/>
              </w:rPr>
              <w:t>β=+0.0237 (t=+5.62***)</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rPr>
                <w:rFonts w:ascii="Times New Roman" w:hAnsi="Times New Roman" w:eastAsia="宋体"/>
                <w:b w:val="0"/>
                <w:i w:val="0"/>
                <w:sz w:val="17"/>
              </w:rPr>
              <w:t>β=+0.0124 (t=+2.88***)</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rPr>
                <w:rFonts w:ascii="Times New Roman" w:hAnsi="Times New Roman" w:eastAsia="宋体"/>
                <w:b w:val="0"/>
                <w:i w:val="0"/>
                <w:sz w:val="17"/>
              </w:rPr>
              <w:t>单变量 R² 最高 11.46%</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rPr>
                <w:rFonts w:ascii="Times New Roman" w:hAnsi="Times New Roman" w:eastAsia="宋体"/>
                <w:b w:val="0"/>
                <w:i w:val="0"/>
                <w:sz w:val="17"/>
              </w:rPr>
              <w:t>六维联立 R² = 19.84%</w:t>
            </w:r>
          </w:p>
        </w:tc>
      </w:tr>
    </w:tbl>
    <w:p w14:paraId="371A85B3">
      <w:pPr>
        <w:spacing w:before="40" w:after="120" w:line="276" w:lineRule="auto"/>
      </w:pPr>
      <w:r>
        <w:rPr>
          <w:rFonts w:ascii="Times New Roman" w:hAnsi="Times New Roman" w:eastAsia="楷体"/>
          <w:b w:val="0"/>
          <w:i w:val="0"/>
          <w:sz w:val="17"/>
        </w:rPr>
        <w:t>注：样本内为 2006Q3–2024Q4（74 季度），样本外为 2025Q1–2026Q2（6 季度，326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t>样本外盲测呈现出三项核心发现：第一，五分组保持严格单调递增。依据样本内综合得分五等分，样本外异常 Alpha 自 Q1 的 4.30% 逐级攀升至 Q5 的 10.62%，组间差达 +6.32 个百分点／季（t=+5.52，p&lt;0.0001）；季度原始收益自 16.60% 升至 27.05%（差值 +10.45 个百分点，t=+8.57），在样本外呈总体单调（本版数字暂保留；2025Q3与2026Q2存在数据质量警示，第二步将按4季度干净样本重估）。第二，纯行为维度的穿透力跨越周期。在样本外预测回归中，综合能力对未来异常 Alpha 显著为正（β=+0.0604，t=+5.75）；认知能力（t=+4.44）、交易执行能力（t=+5.62）与风险应对能力（t=+4.26）在样本外均极度显著，证实克服处置效应、保持风格稳固与严格防守是跨周期的真实长期技能。第三，印证了 L4b 风险转化维度的机械性假说。风险转化能力在样本外的预测回归不再显著（β=−0.0056，t=−1.24），证实了前述理论断言：比率类指标的高 t 值带有与同期业绩同源的机械成分，而真正驱动未来业绩的是认知与防守行为。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单变量t=+6.35***，联立t=+4.03***，见表12；本版数字暂保留，第二步重估）——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个百分点，t=11.24）；在完全独立的 2025–2026 年样本外长周期盲测中，五分组异常 Alpha 总体保持单调递增，Q5−Q1 差值达 +6.32 个百分点／季（t=+5.52，p&lt;0.0001；本版数字暂保留，待第二步干净重估），认知、防守与执行维度的未来预测力在本版口径下显著，为排除过拟合提供了初步证据（严格时序推断待第二步）。这为 FOF 与机构筛选投资经理提供了可靠的实战工具——重点考察止损果断性（处置效应）、跌市防守纪律与交易执行意图，而非仅凭历史夏普比率。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rPr>
          <w:rFonts w:ascii="Times New Roman" w:hAnsi="Times New Roman" w:eastAsia="宋体"/>
          <w:b w:val="0"/>
          <w:i w:val="0"/>
          <w:sz w:val="18"/>
        </w:rPr>
        <w:t>[33]  李志冰, 杨光艺, 冯永昌, 景亮. Fama-French五因子模型在中国股票市场的实证检验[J]. 金融研究, 2017(6): 191-206.</w:t>
      </w:r>
    </w:p>
    <w:p w14:paraId="7FA5657C"/>
    <w:p w14:paraId="3E8BF2F1">
      <w:r>
        <w:rPr>
          <w:i w:val="0"/>
        </w:rPr>
        <w:t>版本说明（文字规范版，2026-09-05；基于《论文初稿_2026-09-04.docx》只读复制生成，原文件未改动）：本版仅做文字与引用规范修复（章节编号、文献角标[11]–[31]对齐、anchor方向表述、表注口径澄清、单调性措辞、幽灵t对齐表内值、反例表述、γ注语义）；所有回归系数、t值、R²、N、分组收益数字与结论判断全部冻结；2025Q3/2026Q2数据质量、表12干净重估、Sortino/HM算法、L4b同源等实证重跑留待第二步。</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3B987D74"/>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2026-09-04T04:55:53Z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