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sz w:val="24"/>
          <w:szCs w:val="24"/>
        </w:rPr>
        <w:t>本文用 400 只中国主动权益基金、2006Q3 至 2026Q2 共 80 个季度的数据，从行为金融学角度，将投资经理的行为量化为 16 个可计算的“行为指标”，检验哪些行为真的能带来超额收益。提取有效的指标合成能力评分，刻画表现最好与最差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szCs w:val="24"/>
          <w:lang w:eastAsia="zh-CN"/>
        </w:rPr>
      </w:pPr>
      <w:r>
        <w:rPr>
          <w:sz w:val="24"/>
          <w:szCs w:val="24"/>
        </w:rPr>
        <w:t>第一层“风格底色”，回答“他是谁”——刻画投资经理稳定的、跨周期不变的底层投资偏好，包括选择偏好（行业集中度 ICI、行业风格漂移 ISDI）与基本面特征（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基本面特征仅作为控制变量和群体画像的背景参照。</w:t>
      </w:r>
    </w:p>
    <w:p w14:paraId="73CAF753">
      <w:pPr>
        <w:spacing w:after="120" w:line="360" w:lineRule="auto"/>
        <w:ind w:firstLine="480"/>
        <w:rPr>
          <w:sz w:val="24"/>
          <w:szCs w:val="24"/>
          <w:lang w:eastAsia="zh-CN"/>
        </w:rPr>
      </w:pPr>
      <w:r>
        <w:rPr>
          <w:sz w:val="24"/>
          <w:szCs w:val="24"/>
        </w:rPr>
        <w:t>第二层“认知偏差”，回答“他怎么思考”。投资经理并非完全理性，投资决策受系统性心理偏差影响。该层聚焦三个可观测的行为投射：风险偏好不对称（盈利和亏损时冒险倾向不同）、处置效应（止盈与止损行为的不对称，赚钱急卖、亏钱死扛）、过度自信（业绩向好后的交易放大行为），以及锚定效应（持仓锚定买入高点不肯止损损害业绩）。</w:t>
      </w:r>
    </w:p>
    <w:p w14:paraId="50E10287">
      <w:pPr>
        <w:spacing w:after="120" w:line="360" w:lineRule="auto"/>
        <w:ind w:firstLine="480"/>
        <w:rPr>
          <w:rFonts w:ascii="Times New Roman" w:hAnsi="Times New Roman" w:eastAsia="宋体"/>
          <w:sz w:val="24"/>
          <w:szCs w:val="24"/>
          <w:lang w:eastAsia="zh-CN"/>
        </w:rPr>
      </w:pPr>
      <w:r>
        <w:rPr>
          <w:sz w:val="24"/>
          <w:szCs w:val="24"/>
        </w:rPr>
        <w:t>第三层“风险应对”，回答“他在压力下怎么行动”。刻画经理在市场压力下的实际应对质量，这是行为最终转化为业绩的关键环节。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szCs w:val="24"/>
          <w:lang w:eastAsia="zh-CN"/>
        </w:rPr>
        <w:t>第四层“市场互动”</w:t>
      </w:r>
      <w:r>
        <w:rPr>
          <w:rFonts w:ascii="Times New Roman" w:hAnsi="Times New Roman" w:eastAsia="宋体"/>
          <w:sz w:val="24"/>
          <w:szCs w:val="24"/>
          <w:lang w:eastAsia="zh-CN"/>
        </w:rPr>
        <w:t>，</w:t>
      </w:r>
      <w:r>
        <w:rPr>
          <w:rFonts w:hint="eastAsia" w:ascii="Times New Roman" w:hAnsi="Times New Roman" w:eastAsia="宋体"/>
          <w:sz w:val="24"/>
          <w:szCs w:val="24"/>
          <w:lang w:eastAsia="zh-CN"/>
        </w:rPr>
        <w:t>回答“他如何受市场影响”。</w:t>
      </w:r>
      <w:r>
        <w:rPr>
          <w:rFonts w:ascii="Times New Roman" w:hAnsi="Times New Roman" w:eastAsia="宋体"/>
          <w:sz w:val="24"/>
          <w:szCs w:val="24"/>
          <w:lang w:eastAsia="zh-CN"/>
        </w:rPr>
        <w:t>刻画经理与市场的互动方式，策略偏离指数度量净值风格漂移</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交易趋同度刻画机构交易趋同与抱团倾向。</w:t>
      </w:r>
      <w:r>
        <w:rPr>
          <w:rFonts w:hint="eastAsia" w:ascii="Times New Roman" w:hAnsi="Times New Roman" w:eastAsia="宋体"/>
          <w:sz w:val="24"/>
          <w:szCs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94"/>
        <w:gridCol w:w="860"/>
        <w:gridCol w:w="1932"/>
        <w:gridCol w:w="1440"/>
        <w:gridCol w:w="2881"/>
        <w:gridCol w:w="1731"/>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50" w:hRule="atLeast"/>
          <w:jc w:val="center"/>
        </w:trPr>
        <w:tc>
          <w:tcPr>
            <w:tcW w:w="794"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860"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1932"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440"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88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731"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4" w:hRule="atLeast"/>
          <w:jc w:val="center"/>
        </w:trPr>
        <w:tc>
          <w:tcPr>
            <w:tcW w:w="794"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860"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1932"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440"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88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731"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24" w:hRule="atLeast"/>
          <w:jc w:val="center"/>
        </w:trPr>
        <w:tc>
          <w:tcPr>
            <w:tcW w:w="794"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860"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1932"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440"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88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731"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642" w:hRule="atLeast"/>
          <w:jc w:val="center"/>
        </w:trPr>
        <w:tc>
          <w:tcPr>
            <w:tcW w:w="794"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860"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1932"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440"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88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731"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jc w:val="center"/>
        </w:trPr>
        <w:tc>
          <w:tcPr>
            <w:tcW w:w="794"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860"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1932"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440"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88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731"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794"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860"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1932"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440"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88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731"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54" w:hRule="atLeast"/>
          <w:jc w:val="center"/>
        </w:trPr>
        <w:tc>
          <w:tcPr>
            <w:tcW w:w="794"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860"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1932"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440"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88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731"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914" w:hRule="atLeast"/>
          <w:jc w:val="center"/>
        </w:trPr>
        <w:tc>
          <w:tcPr>
            <w:tcW w:w="794"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860"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1932"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440"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88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731"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jc w:val="center"/>
        </w:trPr>
        <w:tc>
          <w:tcPr>
            <w:tcW w:w="794"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860"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1932"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440"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88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731"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39" w:hRule="atLeast"/>
          <w:jc w:val="center"/>
        </w:trPr>
        <w:tc>
          <w:tcPr>
            <w:tcW w:w="794"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860"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1932"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440"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88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731"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b w:val="0"/>
          <w:sz w:val="18"/>
        </w:rPr>
        <w:t>注：w 为持仓权重，σ 为标准差，TO 为换手率，R 为收益率，MKT 为市场超额收益，γ 为 HM 回归中市场下行项系数。</w:t>
      </w:r>
    </w:p>
    <w:p w14:paraId="12A88E6A">
      <w:pPr>
        <w:spacing w:before="280" w:after="120"/>
      </w:pPr>
      <w:r>
        <w:rPr>
          <w:rFonts w:ascii="Times New Roman" w:hAnsi="Times New Roman" w:eastAsia="黑体"/>
          <w:b/>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rPr>
        <w:t>数据来源方面，基金净值、持仓与行业配置数据取自 AKShare 与东方财富，换手率取自 Wind。因变量为 Fama &amp; French 五因子模型调整后的超额收益（Fama &amp; French, 2015），其在中国市场的适用性已有文献检验支持（Li et al., 2017）。研究样本覆盖 2006 年三季度至 2026 年二季度共 80 个季度。在 400 只主动权益基金构建的非平衡面板中，选取存续期不少于 11 个季度（近三年）且具备完整因子数据的 362 只基金，构成基金层核心横截面回归样本。在指标体系设计中，本文提取了全部 25 个候选行为与特征指标</w:t>
      </w:r>
      <w:r>
        <w:rPr>
          <w:rFonts w:hint="eastAsia"/>
          <w:sz w:val="24"/>
          <w:szCs w:val="24"/>
          <w:lang w:eastAsia="zh-CN"/>
        </w:rPr>
        <w:t>，</w:t>
      </w:r>
      <w:r>
        <w:rPr>
          <w:rFonts w:ascii="Times New Roman" w:hAnsi="Times New Roman" w:eastAsia="宋体"/>
          <w:sz w:val="24"/>
          <w:szCs w:val="24"/>
        </w:rPr>
        <w:t>最终从中精选提炼出 16 个具有稳健解释力的核心成分指标，用于构建六维能力画像体系。表 2 完整汇总了全部 25 个候选指标的理论预期方向、作用渠道与逻辑。</w:t>
      </w: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354"/>
        <w:gridCol w:w="1070"/>
        <w:gridCol w:w="2360"/>
        <w:gridCol w:w="1350"/>
        <w:gridCol w:w="3504"/>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tblHeader/>
          <w:jc w:val="center"/>
        </w:trPr>
        <w:tc>
          <w:tcPr>
            <w:tcW w:w="1354" w:type="dxa"/>
            <w:tcBorders>
              <w:top w:val="single" w:color="000000" w:sz="12" w:space="0"/>
              <w:left w:val="nil"/>
              <w:bottom w:val="single" w:color="000000" w:sz="4" w:space="0"/>
              <w:right w:val="nil"/>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070" w:type="dxa"/>
            <w:tcBorders>
              <w:top w:val="single" w:color="000000" w:sz="12" w:space="0"/>
              <w:left w:val="nil"/>
              <w:bottom w:val="single" w:color="000000" w:sz="4" w:space="0"/>
              <w:right w:val="nil"/>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360" w:type="dxa"/>
            <w:tcBorders>
              <w:top w:val="single" w:color="000000" w:sz="12" w:space="0"/>
              <w:left w:val="nil"/>
              <w:bottom w:val="single" w:color="000000" w:sz="4" w:space="0"/>
              <w:right w:val="nil"/>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50" w:type="dxa"/>
            <w:tcBorders>
              <w:top w:val="single" w:color="000000" w:sz="12" w:space="0"/>
              <w:left w:val="nil"/>
              <w:bottom w:val="single" w:color="000000" w:sz="4" w:space="0"/>
              <w:right w:val="nil"/>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3504" w:type="dxa"/>
            <w:tcBorders>
              <w:top w:val="single" w:color="000000" w:sz="12" w:space="0"/>
              <w:left w:val="nil"/>
              <w:bottom w:val="single" w:color="000000" w:sz="4" w:space="0"/>
              <w:right w:val="nil"/>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14:paraId="4693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single" w:color="000000" w:sz="4" w:space="0"/>
              <w:left w:val="nil"/>
              <w:bottom w:val="nil"/>
              <w:right w:val="nil"/>
            </w:tcBorders>
            <w:shd w:val="clear" w:color="auto" w:fill="auto"/>
          </w:tcPr>
          <w:p w14:paraId="44FF6B2D">
            <w:pPr>
              <w:spacing w:before="40" w:after="40" w:line="252" w:lineRule="auto"/>
              <w:jc w:val="center"/>
            </w:pPr>
            <w:r>
              <w:rPr>
                <w:rFonts w:ascii="Times New Roman" w:hAnsi="Times New Roman" w:eastAsia="宋体"/>
                <w:b w:val="0"/>
                <w:sz w:val="18"/>
              </w:rPr>
              <w:t>L1 基本面层</w:t>
            </w:r>
          </w:p>
        </w:tc>
        <w:tc>
          <w:tcPr>
            <w:tcW w:w="1070" w:type="dxa"/>
            <w:tcBorders>
              <w:top w:val="single" w:color="000000" w:sz="4" w:space="0"/>
              <w:left w:val="nil"/>
              <w:bottom w:val="nil"/>
              <w:right w:val="nil"/>
            </w:tcBorders>
            <w:shd w:val="clear" w:color="auto" w:fill="auto"/>
          </w:tcPr>
          <w:p w14:paraId="58DE8454">
            <w:pPr>
              <w:spacing w:before="40" w:after="40" w:line="252" w:lineRule="auto"/>
              <w:jc w:val="center"/>
            </w:pPr>
            <w:r>
              <w:rPr>
                <w:rFonts w:ascii="Times New Roman" w:hAnsi="Times New Roman" w:eastAsia="宋体"/>
                <w:b w:val="0"/>
                <w:sz w:val="18"/>
              </w:rPr>
              <w:t>基本面特征</w:t>
            </w:r>
          </w:p>
        </w:tc>
        <w:tc>
          <w:tcPr>
            <w:tcW w:w="2360" w:type="dxa"/>
            <w:tcBorders>
              <w:top w:val="single" w:color="000000" w:sz="4" w:space="0"/>
              <w:left w:val="nil"/>
              <w:bottom w:val="nil"/>
              <w:right w:val="nil"/>
            </w:tcBorders>
            <w:shd w:val="clear" w:color="auto" w:fill="auto"/>
          </w:tcPr>
          <w:p w14:paraId="1D89BFEE">
            <w:pPr>
              <w:spacing w:before="40" w:after="40" w:line="252" w:lineRule="auto"/>
              <w:jc w:val="left"/>
            </w:pPr>
            <w:r>
              <w:rPr>
                <w:rFonts w:ascii="Times New Roman" w:hAnsi="Times New Roman" w:eastAsia="宋体"/>
                <w:b w:val="0"/>
                <w:sz w:val="18"/>
              </w:rPr>
              <w:t>任职年限 tenure</w:t>
            </w:r>
          </w:p>
        </w:tc>
        <w:tc>
          <w:tcPr>
            <w:tcW w:w="1350" w:type="dxa"/>
            <w:tcBorders>
              <w:top w:val="single" w:color="000000" w:sz="4" w:space="0"/>
              <w:left w:val="nil"/>
              <w:bottom w:val="nil"/>
              <w:right w:val="nil"/>
            </w:tcBorders>
            <w:shd w:val="clear" w:color="auto" w:fill="auto"/>
          </w:tcPr>
          <w:p w14:paraId="56132965">
            <w:pPr>
              <w:spacing w:before="40" w:after="40" w:line="252" w:lineRule="auto"/>
              <w:jc w:val="center"/>
            </w:pPr>
            <w:r>
              <w:rPr>
                <w:rFonts w:ascii="Times New Roman" w:hAnsi="Times New Roman" w:eastAsia="宋体"/>
                <w:b w:val="0"/>
                <w:sz w:val="18"/>
              </w:rPr>
              <w:t>负向／不显著</w:t>
            </w:r>
          </w:p>
        </w:tc>
        <w:tc>
          <w:tcPr>
            <w:tcW w:w="3504" w:type="dxa"/>
            <w:tcBorders>
              <w:top w:val="single" w:color="000000" w:sz="4" w:space="0"/>
              <w:left w:val="nil"/>
              <w:bottom w:val="nil"/>
              <w:right w:val="nil"/>
            </w:tcBorders>
            <w:shd w:val="clear" w:color="auto" w:fill="auto"/>
          </w:tcPr>
          <w:p w14:paraId="42DAA622">
            <w:pPr>
              <w:spacing w:before="40" w:after="40" w:line="252" w:lineRule="auto"/>
              <w:jc w:val="left"/>
            </w:pPr>
            <w:r>
              <w:rPr>
                <w:rFonts w:ascii="Times New Roman" w:hAnsi="Times New Roman" w:eastAsia="宋体"/>
                <w:b w:val="0"/>
                <w:sz w:val="18"/>
              </w:rPr>
              <w:t>年轻经理职业关注激励强（Chevalier &amp; Ellison, 1999）；资深经理风险规避增加且精力受限</w:t>
            </w:r>
          </w:p>
        </w:tc>
      </w:tr>
      <w:tr w14:paraId="7DB9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3E79FB19">
            <w:pPr>
              <w:spacing w:before="40" w:after="40" w:line="252" w:lineRule="auto"/>
              <w:jc w:val="center"/>
            </w:pPr>
            <w:r>
              <w:rPr>
                <w:rFonts w:ascii="Times New Roman" w:hAnsi="Times New Roman" w:eastAsia="宋体"/>
                <w:b w:val="0"/>
                <w:sz w:val="18"/>
              </w:rPr>
              <w:t>L1 基本面层</w:t>
            </w:r>
          </w:p>
        </w:tc>
        <w:tc>
          <w:tcPr>
            <w:tcW w:w="1070" w:type="dxa"/>
            <w:tcBorders>
              <w:top w:val="nil"/>
              <w:left w:val="nil"/>
              <w:bottom w:val="nil"/>
              <w:right w:val="nil"/>
            </w:tcBorders>
            <w:shd w:val="clear" w:color="auto" w:fill="auto"/>
          </w:tcPr>
          <w:p w14:paraId="5C74EDD3">
            <w:pPr>
              <w:spacing w:before="40" w:after="40" w:line="252" w:lineRule="auto"/>
              <w:jc w:val="center"/>
            </w:pPr>
            <w:r>
              <w:rPr>
                <w:rFonts w:ascii="Times New Roman" w:hAnsi="Times New Roman" w:eastAsia="宋体"/>
                <w:b w:val="0"/>
                <w:sz w:val="18"/>
              </w:rPr>
              <w:t>基本面特征</w:t>
            </w:r>
          </w:p>
        </w:tc>
        <w:tc>
          <w:tcPr>
            <w:tcW w:w="2360" w:type="dxa"/>
            <w:tcBorders>
              <w:top w:val="nil"/>
              <w:left w:val="nil"/>
              <w:bottom w:val="nil"/>
              <w:right w:val="nil"/>
            </w:tcBorders>
            <w:shd w:val="clear" w:color="auto" w:fill="auto"/>
          </w:tcPr>
          <w:p w14:paraId="75EBB619">
            <w:pPr>
              <w:spacing w:before="40" w:after="40" w:line="252" w:lineRule="auto"/>
              <w:jc w:val="left"/>
            </w:pPr>
            <w:r>
              <w:rPr>
                <w:rFonts w:ascii="Times New Roman" w:hAnsi="Times New Roman" w:eastAsia="宋体"/>
                <w:b w:val="0"/>
                <w:sz w:val="18"/>
              </w:rPr>
              <w:t>基金年龄 log_age</w:t>
            </w:r>
          </w:p>
        </w:tc>
        <w:tc>
          <w:tcPr>
            <w:tcW w:w="1350" w:type="dxa"/>
            <w:tcBorders>
              <w:top w:val="nil"/>
              <w:left w:val="nil"/>
              <w:bottom w:val="nil"/>
              <w:right w:val="nil"/>
            </w:tcBorders>
            <w:shd w:val="clear" w:color="auto" w:fill="auto"/>
          </w:tcPr>
          <w:p w14:paraId="1EA8BCE0">
            <w:pPr>
              <w:spacing w:before="40" w:after="40" w:line="252" w:lineRule="auto"/>
              <w:jc w:val="center"/>
            </w:pPr>
            <w:r>
              <w:rPr>
                <w:rFonts w:ascii="Times New Roman" w:hAnsi="Times New Roman" w:eastAsia="宋体"/>
                <w:b w:val="0"/>
                <w:sz w:val="18"/>
              </w:rPr>
              <w:t>负向</w:t>
            </w:r>
          </w:p>
        </w:tc>
        <w:tc>
          <w:tcPr>
            <w:tcW w:w="3504" w:type="dxa"/>
            <w:tcBorders>
              <w:top w:val="nil"/>
              <w:left w:val="nil"/>
              <w:bottom w:val="nil"/>
              <w:right w:val="nil"/>
            </w:tcBorders>
            <w:shd w:val="clear" w:color="auto" w:fill="auto"/>
          </w:tcPr>
          <w:p w14:paraId="5F3DB192">
            <w:pPr>
              <w:spacing w:before="40" w:after="40" w:line="252" w:lineRule="auto"/>
              <w:jc w:val="left"/>
            </w:pPr>
            <w:r>
              <w:rPr>
                <w:rFonts w:ascii="Times New Roman" w:hAnsi="Times New Roman" w:eastAsia="宋体"/>
                <w:b w:val="0"/>
                <w:sz w:val="18"/>
              </w:rPr>
              <w:t>新设基金建仓灵活且包袱轻；存续久的老基金机制僵化与基数效应拖累业绩</w:t>
            </w:r>
          </w:p>
        </w:tc>
      </w:tr>
      <w:tr w14:paraId="3ACB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7F98656E">
            <w:pPr>
              <w:spacing w:before="40" w:after="40" w:line="252" w:lineRule="auto"/>
              <w:jc w:val="center"/>
            </w:pPr>
            <w:r>
              <w:rPr>
                <w:rFonts w:ascii="Times New Roman" w:hAnsi="Times New Roman" w:eastAsia="宋体"/>
                <w:b w:val="0"/>
                <w:sz w:val="18"/>
              </w:rPr>
              <w:t>L1 基本面层</w:t>
            </w:r>
          </w:p>
        </w:tc>
        <w:tc>
          <w:tcPr>
            <w:tcW w:w="1070" w:type="dxa"/>
            <w:tcBorders>
              <w:top w:val="nil"/>
              <w:left w:val="nil"/>
              <w:bottom w:val="nil"/>
              <w:right w:val="nil"/>
            </w:tcBorders>
            <w:shd w:val="clear" w:color="auto" w:fill="auto"/>
          </w:tcPr>
          <w:p w14:paraId="1F2A5FA6">
            <w:pPr>
              <w:spacing w:before="40" w:after="40" w:line="252" w:lineRule="auto"/>
              <w:jc w:val="center"/>
            </w:pPr>
            <w:r>
              <w:rPr>
                <w:rFonts w:ascii="Times New Roman" w:hAnsi="Times New Roman" w:eastAsia="宋体"/>
                <w:b w:val="0"/>
                <w:sz w:val="18"/>
              </w:rPr>
              <w:t>基本面特征</w:t>
            </w:r>
          </w:p>
        </w:tc>
        <w:tc>
          <w:tcPr>
            <w:tcW w:w="2360" w:type="dxa"/>
            <w:tcBorders>
              <w:top w:val="nil"/>
              <w:left w:val="nil"/>
              <w:bottom w:val="nil"/>
              <w:right w:val="nil"/>
            </w:tcBorders>
            <w:shd w:val="clear" w:color="auto" w:fill="auto"/>
          </w:tcPr>
          <w:p w14:paraId="3992E306">
            <w:pPr>
              <w:spacing w:before="40" w:after="40" w:line="252" w:lineRule="auto"/>
              <w:jc w:val="left"/>
            </w:pPr>
            <w:r>
              <w:rPr>
                <w:rFonts w:ascii="Times New Roman" w:hAnsi="Times New Roman" w:eastAsia="宋体"/>
                <w:b w:val="0"/>
                <w:sz w:val="18"/>
              </w:rPr>
              <w:t>基金规模 log_aum</w:t>
            </w:r>
          </w:p>
        </w:tc>
        <w:tc>
          <w:tcPr>
            <w:tcW w:w="1350" w:type="dxa"/>
            <w:tcBorders>
              <w:top w:val="nil"/>
              <w:left w:val="nil"/>
              <w:bottom w:val="nil"/>
              <w:right w:val="nil"/>
            </w:tcBorders>
            <w:shd w:val="clear" w:color="auto" w:fill="auto"/>
          </w:tcPr>
          <w:p w14:paraId="0184D016">
            <w:pPr>
              <w:spacing w:before="40" w:after="40" w:line="252" w:lineRule="auto"/>
              <w:jc w:val="center"/>
            </w:pPr>
            <w:r>
              <w:rPr>
                <w:rFonts w:ascii="Times New Roman" w:hAnsi="Times New Roman" w:eastAsia="宋体"/>
                <w:b w:val="0"/>
                <w:sz w:val="18"/>
              </w:rPr>
              <w:t>显著负向</w:t>
            </w:r>
          </w:p>
        </w:tc>
        <w:tc>
          <w:tcPr>
            <w:tcW w:w="3504" w:type="dxa"/>
            <w:tcBorders>
              <w:top w:val="nil"/>
              <w:left w:val="nil"/>
              <w:bottom w:val="nil"/>
              <w:right w:val="nil"/>
            </w:tcBorders>
            <w:shd w:val="clear" w:color="auto" w:fill="auto"/>
          </w:tcPr>
          <w:p w14:paraId="7B91B7D9">
            <w:pPr>
              <w:spacing w:before="40" w:after="40" w:line="252" w:lineRule="auto"/>
              <w:jc w:val="left"/>
            </w:pPr>
            <w:r>
              <w:rPr>
                <w:rFonts w:ascii="Times New Roman" w:hAnsi="Times New Roman" w:eastAsia="宋体"/>
                <w:b w:val="0"/>
                <w:sz w:val="18"/>
              </w:rPr>
              <w:t>规模不经济物理约束显著（Berk &amp; Green, 2004）；大资金冲击成本高、流动性受限</w:t>
            </w:r>
          </w:p>
        </w:tc>
      </w:tr>
      <w:tr w14:paraId="2C04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41DAE90">
            <w:pPr>
              <w:spacing w:before="40" w:after="40" w:line="252" w:lineRule="auto"/>
              <w:jc w:val="center"/>
            </w:pPr>
            <w:r>
              <w:rPr>
                <w:rFonts w:ascii="Times New Roman" w:hAnsi="Times New Roman" w:eastAsia="宋体"/>
                <w:b w:val="0"/>
                <w:sz w:val="18"/>
              </w:rPr>
              <w:t>L1 基本面层</w:t>
            </w:r>
          </w:p>
        </w:tc>
        <w:tc>
          <w:tcPr>
            <w:tcW w:w="1070" w:type="dxa"/>
            <w:tcBorders>
              <w:top w:val="nil"/>
              <w:left w:val="nil"/>
              <w:bottom w:val="nil"/>
              <w:right w:val="nil"/>
            </w:tcBorders>
            <w:shd w:val="clear" w:color="auto" w:fill="auto"/>
          </w:tcPr>
          <w:p w14:paraId="644E8889">
            <w:pPr>
              <w:spacing w:before="40" w:after="40" w:line="252" w:lineRule="auto"/>
              <w:jc w:val="center"/>
            </w:pPr>
            <w:r>
              <w:rPr>
                <w:rFonts w:ascii="Times New Roman" w:hAnsi="Times New Roman" w:eastAsia="宋体"/>
                <w:b w:val="0"/>
                <w:sz w:val="18"/>
              </w:rPr>
              <w:t>个人背景特征</w:t>
            </w:r>
          </w:p>
        </w:tc>
        <w:tc>
          <w:tcPr>
            <w:tcW w:w="2360" w:type="dxa"/>
            <w:tcBorders>
              <w:top w:val="nil"/>
              <w:left w:val="nil"/>
              <w:bottom w:val="nil"/>
              <w:right w:val="nil"/>
            </w:tcBorders>
            <w:shd w:val="clear" w:color="auto" w:fill="auto"/>
          </w:tcPr>
          <w:p w14:paraId="537B243C">
            <w:pPr>
              <w:spacing w:before="40" w:after="40" w:line="252" w:lineRule="auto"/>
              <w:jc w:val="left"/>
            </w:pPr>
            <w:r>
              <w:rPr>
                <w:rFonts w:ascii="Times New Roman" w:hAnsi="Times New Roman" w:eastAsia="宋体"/>
                <w:b w:val="0"/>
                <w:sz w:val="18"/>
              </w:rPr>
              <w:t>性别 male（男=1）</w:t>
            </w:r>
          </w:p>
        </w:tc>
        <w:tc>
          <w:tcPr>
            <w:tcW w:w="1350" w:type="dxa"/>
            <w:tcBorders>
              <w:top w:val="nil"/>
              <w:left w:val="nil"/>
              <w:bottom w:val="nil"/>
              <w:right w:val="nil"/>
            </w:tcBorders>
            <w:shd w:val="clear" w:color="auto" w:fill="auto"/>
          </w:tcPr>
          <w:p w14:paraId="707C67BD">
            <w:pPr>
              <w:spacing w:before="40" w:after="40" w:line="252" w:lineRule="auto"/>
              <w:jc w:val="center"/>
            </w:pPr>
            <w:r>
              <w:rPr>
                <w:rFonts w:ascii="Times New Roman" w:hAnsi="Times New Roman" w:eastAsia="宋体"/>
                <w:b w:val="0"/>
                <w:sz w:val="18"/>
              </w:rPr>
              <w:t>不显著／负向</w:t>
            </w:r>
          </w:p>
        </w:tc>
        <w:tc>
          <w:tcPr>
            <w:tcW w:w="3504" w:type="dxa"/>
            <w:tcBorders>
              <w:top w:val="nil"/>
              <w:left w:val="nil"/>
              <w:bottom w:val="nil"/>
              <w:right w:val="nil"/>
            </w:tcBorders>
            <w:shd w:val="clear" w:color="auto" w:fill="auto"/>
          </w:tcPr>
          <w:p w14:paraId="507297F5">
            <w:pPr>
              <w:spacing w:before="40" w:after="40" w:line="252" w:lineRule="auto"/>
              <w:jc w:val="left"/>
            </w:pPr>
            <w:r>
              <w:rPr>
                <w:rFonts w:ascii="Times New Roman" w:hAnsi="Times New Roman" w:eastAsia="宋体"/>
                <w:b w:val="0"/>
                <w:sz w:val="18"/>
              </w:rPr>
              <w:t>行为金融学表明男性更易过度自信与过度交易（Barber &amp; Odean, 2001）；传统金融学预期无显著超额差异</w:t>
            </w:r>
          </w:p>
        </w:tc>
      </w:tr>
      <w:tr w14:paraId="2490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279C6B2F">
            <w:pPr>
              <w:spacing w:before="40" w:after="40" w:line="252" w:lineRule="auto"/>
              <w:jc w:val="center"/>
            </w:pPr>
            <w:r>
              <w:rPr>
                <w:rFonts w:ascii="Times New Roman" w:hAnsi="Times New Roman" w:eastAsia="宋体"/>
                <w:b w:val="0"/>
                <w:sz w:val="18"/>
              </w:rPr>
              <w:t>L1 基本面层</w:t>
            </w:r>
          </w:p>
        </w:tc>
        <w:tc>
          <w:tcPr>
            <w:tcW w:w="1070" w:type="dxa"/>
            <w:tcBorders>
              <w:top w:val="nil"/>
              <w:left w:val="nil"/>
              <w:bottom w:val="nil"/>
              <w:right w:val="nil"/>
            </w:tcBorders>
            <w:shd w:val="clear" w:color="auto" w:fill="auto"/>
          </w:tcPr>
          <w:p w14:paraId="6ABA21E9">
            <w:pPr>
              <w:spacing w:before="40" w:after="40" w:line="252" w:lineRule="auto"/>
              <w:jc w:val="center"/>
            </w:pPr>
            <w:r>
              <w:rPr>
                <w:rFonts w:ascii="Times New Roman" w:hAnsi="Times New Roman" w:eastAsia="宋体"/>
                <w:b w:val="0"/>
                <w:sz w:val="18"/>
              </w:rPr>
              <w:t>个人背景特征</w:t>
            </w:r>
          </w:p>
        </w:tc>
        <w:tc>
          <w:tcPr>
            <w:tcW w:w="2360" w:type="dxa"/>
            <w:tcBorders>
              <w:top w:val="nil"/>
              <w:left w:val="nil"/>
              <w:bottom w:val="nil"/>
              <w:right w:val="nil"/>
            </w:tcBorders>
            <w:shd w:val="clear" w:color="auto" w:fill="auto"/>
          </w:tcPr>
          <w:p w14:paraId="5BF2A58F">
            <w:pPr>
              <w:spacing w:before="40" w:after="40" w:line="252" w:lineRule="auto"/>
              <w:jc w:val="left"/>
            </w:pPr>
            <w:r>
              <w:rPr>
                <w:rFonts w:ascii="Times New Roman" w:hAnsi="Times New Roman" w:eastAsia="宋体"/>
                <w:b w:val="0"/>
                <w:sz w:val="18"/>
              </w:rPr>
              <w:t>CFA持证 has_CFA</w:t>
            </w:r>
          </w:p>
        </w:tc>
        <w:tc>
          <w:tcPr>
            <w:tcW w:w="1350" w:type="dxa"/>
            <w:tcBorders>
              <w:top w:val="nil"/>
              <w:left w:val="nil"/>
              <w:bottom w:val="nil"/>
              <w:right w:val="nil"/>
            </w:tcBorders>
            <w:shd w:val="clear" w:color="auto" w:fill="auto"/>
          </w:tcPr>
          <w:p w14:paraId="00F0B41D">
            <w:pPr>
              <w:spacing w:before="40" w:after="40" w:line="252" w:lineRule="auto"/>
              <w:jc w:val="center"/>
            </w:pPr>
            <w:r>
              <w:rPr>
                <w:rFonts w:ascii="Times New Roman" w:hAnsi="Times New Roman" w:eastAsia="宋体"/>
                <w:b w:val="0"/>
                <w:sz w:val="18"/>
              </w:rPr>
              <w:t>不显著／正向</w:t>
            </w:r>
          </w:p>
        </w:tc>
        <w:tc>
          <w:tcPr>
            <w:tcW w:w="3504" w:type="dxa"/>
            <w:tcBorders>
              <w:top w:val="nil"/>
              <w:left w:val="nil"/>
              <w:bottom w:val="nil"/>
              <w:right w:val="nil"/>
            </w:tcBorders>
            <w:shd w:val="clear" w:color="auto" w:fill="auto"/>
          </w:tcPr>
          <w:p w14:paraId="2F04040C">
            <w:pPr>
              <w:spacing w:before="40" w:after="40" w:line="252" w:lineRule="auto"/>
              <w:jc w:val="left"/>
            </w:pPr>
            <w:r>
              <w:rPr>
                <w:rFonts w:ascii="Times New Roman" w:hAnsi="Times New Roman" w:eastAsia="宋体"/>
                <w:b w:val="0"/>
                <w:sz w:val="18"/>
              </w:rPr>
              <w:t>专业资格认证反映系统性金融知识储备，但考证知识与实际投资中的心理抗压和实操可能脱节</w:t>
            </w:r>
          </w:p>
        </w:tc>
      </w:tr>
      <w:tr w14:paraId="4875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150C1B6">
            <w:pPr>
              <w:spacing w:before="40" w:after="40" w:line="252" w:lineRule="auto"/>
              <w:jc w:val="center"/>
            </w:pPr>
            <w:r>
              <w:rPr>
                <w:rFonts w:ascii="Times New Roman" w:hAnsi="Times New Roman" w:eastAsia="宋体"/>
                <w:b w:val="0"/>
                <w:sz w:val="18"/>
              </w:rPr>
              <w:t>L1 基本面层</w:t>
            </w:r>
          </w:p>
        </w:tc>
        <w:tc>
          <w:tcPr>
            <w:tcW w:w="1070" w:type="dxa"/>
            <w:tcBorders>
              <w:top w:val="nil"/>
              <w:left w:val="nil"/>
              <w:bottom w:val="nil"/>
              <w:right w:val="nil"/>
            </w:tcBorders>
            <w:shd w:val="clear" w:color="auto" w:fill="auto"/>
          </w:tcPr>
          <w:p w14:paraId="33C2A385">
            <w:pPr>
              <w:spacing w:before="40" w:after="40" w:line="252" w:lineRule="auto"/>
              <w:jc w:val="center"/>
            </w:pPr>
            <w:r>
              <w:rPr>
                <w:rFonts w:ascii="Times New Roman" w:hAnsi="Times New Roman" w:eastAsia="宋体"/>
                <w:b w:val="0"/>
                <w:sz w:val="18"/>
              </w:rPr>
              <w:t>个人背景特征</w:t>
            </w:r>
          </w:p>
        </w:tc>
        <w:tc>
          <w:tcPr>
            <w:tcW w:w="2360" w:type="dxa"/>
            <w:tcBorders>
              <w:top w:val="nil"/>
              <w:left w:val="nil"/>
              <w:bottom w:val="nil"/>
              <w:right w:val="nil"/>
            </w:tcBorders>
            <w:shd w:val="clear" w:color="auto" w:fill="auto"/>
          </w:tcPr>
          <w:p w14:paraId="2E459FB9">
            <w:pPr>
              <w:spacing w:before="40" w:after="40" w:line="252" w:lineRule="auto"/>
              <w:jc w:val="left"/>
            </w:pPr>
            <w:r>
              <w:rPr>
                <w:rFonts w:ascii="Times New Roman" w:hAnsi="Times New Roman" w:eastAsia="宋体"/>
                <w:b w:val="0"/>
                <w:sz w:val="18"/>
              </w:rPr>
              <w:t>学历 master_up（硕士及以上）</w:t>
            </w:r>
          </w:p>
        </w:tc>
        <w:tc>
          <w:tcPr>
            <w:tcW w:w="1350" w:type="dxa"/>
            <w:tcBorders>
              <w:top w:val="nil"/>
              <w:left w:val="nil"/>
              <w:bottom w:val="nil"/>
              <w:right w:val="nil"/>
            </w:tcBorders>
            <w:shd w:val="clear" w:color="auto" w:fill="auto"/>
          </w:tcPr>
          <w:p w14:paraId="5B1D952A">
            <w:pPr>
              <w:spacing w:before="40" w:after="40" w:line="252" w:lineRule="auto"/>
              <w:jc w:val="center"/>
            </w:pPr>
            <w:r>
              <w:rPr>
                <w:rFonts w:ascii="Times New Roman" w:hAnsi="Times New Roman" w:eastAsia="宋体"/>
                <w:b w:val="0"/>
                <w:sz w:val="18"/>
              </w:rPr>
              <w:t>不显著</w:t>
            </w:r>
          </w:p>
        </w:tc>
        <w:tc>
          <w:tcPr>
            <w:tcW w:w="3504" w:type="dxa"/>
            <w:tcBorders>
              <w:top w:val="nil"/>
              <w:left w:val="nil"/>
              <w:bottom w:val="nil"/>
              <w:right w:val="nil"/>
            </w:tcBorders>
            <w:shd w:val="clear" w:color="auto" w:fill="auto"/>
          </w:tcPr>
          <w:p w14:paraId="4C7C208B">
            <w:pPr>
              <w:spacing w:before="40" w:after="40" w:line="252" w:lineRule="auto"/>
              <w:jc w:val="left"/>
            </w:pPr>
            <w:r>
              <w:rPr>
                <w:rFonts w:ascii="Times New Roman" w:hAnsi="Times New Roman" w:eastAsia="宋体"/>
                <w:b w:val="0"/>
                <w:sz w:val="18"/>
              </w:rPr>
              <w:t>公募基金经理学历门槛极高（硕士及以上占比超 90%），学历在群体内部高度同质化，缺乏区分度</w:t>
            </w:r>
          </w:p>
        </w:tc>
      </w:tr>
      <w:tr w14:paraId="2A72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7606F2A">
            <w:pPr>
              <w:spacing w:before="40" w:after="40" w:line="252" w:lineRule="auto"/>
              <w:jc w:val="center"/>
            </w:pPr>
            <w:r>
              <w:rPr>
                <w:rFonts w:ascii="Times New Roman" w:hAnsi="Times New Roman" w:eastAsia="宋体"/>
                <w:b w:val="0"/>
                <w:sz w:val="18"/>
              </w:rPr>
              <w:t>L1 基本面层</w:t>
            </w:r>
          </w:p>
        </w:tc>
        <w:tc>
          <w:tcPr>
            <w:tcW w:w="1070" w:type="dxa"/>
            <w:tcBorders>
              <w:top w:val="nil"/>
              <w:left w:val="nil"/>
              <w:bottom w:val="nil"/>
              <w:right w:val="nil"/>
            </w:tcBorders>
            <w:shd w:val="clear" w:color="auto" w:fill="auto"/>
          </w:tcPr>
          <w:p w14:paraId="6345B218">
            <w:pPr>
              <w:spacing w:before="40" w:after="40" w:line="252" w:lineRule="auto"/>
              <w:jc w:val="center"/>
            </w:pPr>
            <w:r>
              <w:rPr>
                <w:rFonts w:ascii="Times New Roman" w:hAnsi="Times New Roman" w:eastAsia="宋体"/>
                <w:b w:val="0"/>
                <w:sz w:val="18"/>
              </w:rPr>
              <w:t>个人背景特征</w:t>
            </w:r>
          </w:p>
        </w:tc>
        <w:tc>
          <w:tcPr>
            <w:tcW w:w="2360" w:type="dxa"/>
            <w:tcBorders>
              <w:top w:val="nil"/>
              <w:left w:val="nil"/>
              <w:bottom w:val="nil"/>
              <w:right w:val="nil"/>
            </w:tcBorders>
            <w:shd w:val="clear" w:color="auto" w:fill="auto"/>
          </w:tcPr>
          <w:p w14:paraId="40D34F5E">
            <w:pPr>
              <w:spacing w:before="40" w:after="40" w:line="252" w:lineRule="auto"/>
              <w:jc w:val="left"/>
            </w:pPr>
            <w:r>
              <w:rPr>
                <w:rFonts w:ascii="Times New Roman" w:hAnsi="Times New Roman" w:eastAsia="宋体"/>
                <w:b w:val="0"/>
                <w:sz w:val="18"/>
              </w:rPr>
              <w:t>院校层次 top_school（名校毕业）</w:t>
            </w:r>
          </w:p>
        </w:tc>
        <w:tc>
          <w:tcPr>
            <w:tcW w:w="1350" w:type="dxa"/>
            <w:tcBorders>
              <w:top w:val="nil"/>
              <w:left w:val="nil"/>
              <w:bottom w:val="nil"/>
              <w:right w:val="nil"/>
            </w:tcBorders>
            <w:shd w:val="clear" w:color="auto" w:fill="auto"/>
          </w:tcPr>
          <w:p w14:paraId="3EF3CD30">
            <w:pPr>
              <w:spacing w:before="40" w:after="40" w:line="252" w:lineRule="auto"/>
              <w:jc w:val="center"/>
            </w:pPr>
            <w:r>
              <w:rPr>
                <w:rFonts w:ascii="Times New Roman" w:hAnsi="Times New Roman" w:eastAsia="宋体"/>
                <w:b w:val="0"/>
                <w:sz w:val="18"/>
              </w:rPr>
              <w:t>不显著／弱正向</w:t>
            </w:r>
          </w:p>
        </w:tc>
        <w:tc>
          <w:tcPr>
            <w:tcW w:w="3504" w:type="dxa"/>
            <w:tcBorders>
              <w:top w:val="nil"/>
              <w:left w:val="nil"/>
              <w:bottom w:val="nil"/>
              <w:right w:val="nil"/>
            </w:tcBorders>
            <w:shd w:val="clear" w:color="auto" w:fill="auto"/>
          </w:tcPr>
          <w:p w14:paraId="565D8F14">
            <w:pPr>
              <w:spacing w:before="40" w:after="40" w:line="252" w:lineRule="auto"/>
              <w:jc w:val="left"/>
            </w:pPr>
            <w:r>
              <w:rPr>
                <w:rFonts w:ascii="Times New Roman" w:hAnsi="Times New Roman" w:eastAsia="宋体"/>
                <w:b w:val="0"/>
                <w:sz w:val="18"/>
              </w:rPr>
              <w:t>名校校友圈层带来信息获取优势与声誉筛选效应，但难以直接决定统计显著的超额投资收益</w:t>
            </w:r>
          </w:p>
        </w:tc>
      </w:tr>
      <w:tr w14:paraId="68FB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F107116">
            <w:pPr>
              <w:spacing w:before="40" w:after="40" w:line="252" w:lineRule="auto"/>
              <w:jc w:val="center"/>
            </w:pPr>
            <w:r>
              <w:rPr>
                <w:rFonts w:ascii="Times New Roman" w:hAnsi="Times New Roman" w:eastAsia="宋体"/>
                <w:b w:val="0"/>
                <w:sz w:val="18"/>
              </w:rPr>
              <w:t>L1 配置选择层</w:t>
            </w:r>
          </w:p>
        </w:tc>
        <w:tc>
          <w:tcPr>
            <w:tcW w:w="1070" w:type="dxa"/>
            <w:tcBorders>
              <w:top w:val="nil"/>
              <w:left w:val="nil"/>
              <w:bottom w:val="nil"/>
              <w:right w:val="nil"/>
            </w:tcBorders>
            <w:shd w:val="clear" w:color="auto" w:fill="auto"/>
          </w:tcPr>
          <w:p w14:paraId="323BBD5F">
            <w:pPr>
              <w:spacing w:before="40" w:after="40" w:line="252" w:lineRule="auto"/>
              <w:jc w:val="center"/>
            </w:pPr>
            <w:r>
              <w:rPr>
                <w:rFonts w:ascii="Times New Roman" w:hAnsi="Times New Roman" w:eastAsia="宋体"/>
                <w:b w:val="0"/>
                <w:sz w:val="18"/>
              </w:rPr>
              <w:t>行业配置</w:t>
            </w:r>
          </w:p>
        </w:tc>
        <w:tc>
          <w:tcPr>
            <w:tcW w:w="2360" w:type="dxa"/>
            <w:tcBorders>
              <w:top w:val="nil"/>
              <w:left w:val="nil"/>
              <w:bottom w:val="nil"/>
              <w:right w:val="nil"/>
            </w:tcBorders>
            <w:shd w:val="clear" w:color="auto" w:fill="auto"/>
          </w:tcPr>
          <w:p w14:paraId="796A069B">
            <w:pPr>
              <w:spacing w:before="40" w:after="40" w:line="252" w:lineRule="auto"/>
              <w:jc w:val="left"/>
            </w:pPr>
            <w:r>
              <w:rPr>
                <w:rFonts w:ascii="Times New Roman" w:hAnsi="Times New Roman" w:eastAsia="宋体"/>
                <w:b w:val="0"/>
                <w:sz w:val="18"/>
              </w:rPr>
              <w:t>行业集中度 ICI</w:t>
            </w:r>
          </w:p>
        </w:tc>
        <w:tc>
          <w:tcPr>
            <w:tcW w:w="1350" w:type="dxa"/>
            <w:tcBorders>
              <w:top w:val="nil"/>
              <w:left w:val="nil"/>
              <w:bottom w:val="nil"/>
              <w:right w:val="nil"/>
            </w:tcBorders>
            <w:shd w:val="clear" w:color="auto" w:fill="auto"/>
          </w:tcPr>
          <w:p w14:paraId="705AD2E0">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026A165F">
            <w:pPr>
              <w:spacing w:before="40" w:after="40" w:line="252" w:lineRule="auto"/>
              <w:jc w:val="left"/>
            </w:pPr>
            <w:r>
              <w:rPr>
                <w:rFonts w:ascii="Times New Roman" w:hAnsi="Times New Roman" w:eastAsia="宋体"/>
                <w:b w:val="0"/>
                <w:sz w:val="18"/>
              </w:rPr>
              <w:t>集中重仓看好行业体现私有信息优势与深度选股自信（Kacperczyk et al., 2005）</w:t>
            </w:r>
          </w:p>
        </w:tc>
      </w:tr>
      <w:tr w14:paraId="18DA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20C87B77">
            <w:pPr>
              <w:spacing w:before="40" w:after="40" w:line="252" w:lineRule="auto"/>
              <w:jc w:val="center"/>
            </w:pPr>
            <w:r>
              <w:rPr>
                <w:rFonts w:ascii="Times New Roman" w:hAnsi="Times New Roman" w:eastAsia="宋体"/>
                <w:b w:val="0"/>
                <w:sz w:val="18"/>
              </w:rPr>
              <w:t>L1 配置选择层</w:t>
            </w:r>
          </w:p>
        </w:tc>
        <w:tc>
          <w:tcPr>
            <w:tcW w:w="1070" w:type="dxa"/>
            <w:tcBorders>
              <w:top w:val="nil"/>
              <w:left w:val="nil"/>
              <w:bottom w:val="nil"/>
              <w:right w:val="nil"/>
            </w:tcBorders>
            <w:shd w:val="clear" w:color="auto" w:fill="auto"/>
          </w:tcPr>
          <w:p w14:paraId="2C93D347">
            <w:pPr>
              <w:spacing w:before="40" w:after="40" w:line="252" w:lineRule="auto"/>
              <w:jc w:val="center"/>
            </w:pPr>
            <w:r>
              <w:rPr>
                <w:rFonts w:ascii="Times New Roman" w:hAnsi="Times New Roman" w:eastAsia="宋体"/>
                <w:b w:val="0"/>
                <w:sz w:val="18"/>
              </w:rPr>
              <w:t>风格稳定</w:t>
            </w:r>
          </w:p>
        </w:tc>
        <w:tc>
          <w:tcPr>
            <w:tcW w:w="2360" w:type="dxa"/>
            <w:tcBorders>
              <w:top w:val="nil"/>
              <w:left w:val="nil"/>
              <w:bottom w:val="nil"/>
              <w:right w:val="nil"/>
            </w:tcBorders>
            <w:shd w:val="clear" w:color="auto" w:fill="auto"/>
          </w:tcPr>
          <w:p w14:paraId="027A2502">
            <w:pPr>
              <w:spacing w:before="40" w:after="40" w:line="252" w:lineRule="auto"/>
              <w:jc w:val="left"/>
            </w:pPr>
            <w:r>
              <w:rPr>
                <w:rFonts w:ascii="Times New Roman" w:hAnsi="Times New Roman" w:eastAsia="宋体"/>
                <w:b w:val="0"/>
                <w:sz w:val="18"/>
              </w:rPr>
              <w:t>行业风格漂移 ISDI</w:t>
            </w:r>
          </w:p>
        </w:tc>
        <w:tc>
          <w:tcPr>
            <w:tcW w:w="1350" w:type="dxa"/>
            <w:tcBorders>
              <w:top w:val="nil"/>
              <w:left w:val="nil"/>
              <w:bottom w:val="nil"/>
              <w:right w:val="nil"/>
            </w:tcBorders>
            <w:shd w:val="clear" w:color="auto" w:fill="auto"/>
          </w:tcPr>
          <w:p w14:paraId="6D832569">
            <w:pPr>
              <w:spacing w:before="40" w:after="40" w:line="252" w:lineRule="auto"/>
              <w:jc w:val="center"/>
            </w:pPr>
            <w:r>
              <w:rPr>
                <w:rFonts w:ascii="Times New Roman" w:hAnsi="Times New Roman" w:eastAsia="宋体"/>
                <w:b w:val="0"/>
                <w:sz w:val="18"/>
              </w:rPr>
              <w:t>显著负向</w:t>
            </w:r>
          </w:p>
        </w:tc>
        <w:tc>
          <w:tcPr>
            <w:tcW w:w="3504" w:type="dxa"/>
            <w:tcBorders>
              <w:top w:val="nil"/>
              <w:left w:val="nil"/>
              <w:bottom w:val="nil"/>
              <w:right w:val="nil"/>
            </w:tcBorders>
            <w:shd w:val="clear" w:color="auto" w:fill="auto"/>
          </w:tcPr>
          <w:p w14:paraId="42C421D0">
            <w:pPr>
              <w:spacing w:before="40" w:after="40" w:line="252" w:lineRule="auto"/>
              <w:jc w:val="left"/>
            </w:pPr>
            <w:r>
              <w:rPr>
                <w:rFonts w:ascii="Times New Roman" w:hAnsi="Times New Roman" w:eastAsia="宋体"/>
                <w:b w:val="0"/>
                <w:sz w:val="18"/>
              </w:rPr>
              <w:t>跨行业弹性组频繁横跳反映缺乏稳定投资框架与追逐热点损耗（Chen &amp; Wei, 2025）</w:t>
            </w:r>
          </w:p>
        </w:tc>
      </w:tr>
      <w:tr w14:paraId="5898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7DEAC5EE">
            <w:pPr>
              <w:spacing w:before="40" w:after="40" w:line="252" w:lineRule="auto"/>
              <w:jc w:val="center"/>
            </w:pPr>
            <w:r>
              <w:rPr>
                <w:rFonts w:ascii="Times New Roman" w:hAnsi="Times New Roman" w:eastAsia="宋体"/>
                <w:b w:val="0"/>
                <w:sz w:val="18"/>
              </w:rPr>
              <w:t>L1 配置选择层</w:t>
            </w:r>
          </w:p>
        </w:tc>
        <w:tc>
          <w:tcPr>
            <w:tcW w:w="1070" w:type="dxa"/>
            <w:tcBorders>
              <w:top w:val="nil"/>
              <w:left w:val="nil"/>
              <w:bottom w:val="nil"/>
              <w:right w:val="nil"/>
            </w:tcBorders>
            <w:shd w:val="clear" w:color="auto" w:fill="auto"/>
          </w:tcPr>
          <w:p w14:paraId="09E0AD5C">
            <w:pPr>
              <w:spacing w:before="40" w:after="40" w:line="252" w:lineRule="auto"/>
              <w:jc w:val="center"/>
            </w:pPr>
            <w:r>
              <w:rPr>
                <w:rFonts w:ascii="Times New Roman" w:hAnsi="Times New Roman" w:eastAsia="宋体"/>
                <w:b w:val="0"/>
                <w:sz w:val="18"/>
              </w:rPr>
              <w:t>选股偏离</w:t>
            </w:r>
          </w:p>
        </w:tc>
        <w:tc>
          <w:tcPr>
            <w:tcW w:w="2360" w:type="dxa"/>
            <w:tcBorders>
              <w:top w:val="nil"/>
              <w:left w:val="nil"/>
              <w:bottom w:val="nil"/>
              <w:right w:val="nil"/>
            </w:tcBorders>
            <w:shd w:val="clear" w:color="auto" w:fill="auto"/>
          </w:tcPr>
          <w:p w14:paraId="23BD094A">
            <w:pPr>
              <w:spacing w:before="40" w:after="40" w:line="252" w:lineRule="auto"/>
              <w:jc w:val="left"/>
            </w:pPr>
            <w:r>
              <w:rPr>
                <w:rFonts w:ascii="Times New Roman" w:hAnsi="Times New Roman" w:eastAsia="宋体"/>
                <w:b w:val="0"/>
                <w:sz w:val="18"/>
              </w:rPr>
              <w:t>改进主动份额 AS_improved</w:t>
            </w:r>
          </w:p>
        </w:tc>
        <w:tc>
          <w:tcPr>
            <w:tcW w:w="1350" w:type="dxa"/>
            <w:tcBorders>
              <w:top w:val="nil"/>
              <w:left w:val="nil"/>
              <w:bottom w:val="nil"/>
              <w:right w:val="nil"/>
            </w:tcBorders>
            <w:shd w:val="clear" w:color="auto" w:fill="auto"/>
          </w:tcPr>
          <w:p w14:paraId="41239126">
            <w:pPr>
              <w:spacing w:before="40" w:after="40" w:line="252" w:lineRule="auto"/>
              <w:jc w:val="center"/>
            </w:pPr>
            <w:r>
              <w:rPr>
                <w:rFonts w:ascii="Times New Roman" w:hAnsi="Times New Roman" w:eastAsia="宋体"/>
                <w:b w:val="0"/>
                <w:sz w:val="18"/>
              </w:rPr>
              <w:t>正向</w:t>
            </w:r>
          </w:p>
        </w:tc>
        <w:tc>
          <w:tcPr>
            <w:tcW w:w="3504" w:type="dxa"/>
            <w:tcBorders>
              <w:top w:val="nil"/>
              <w:left w:val="nil"/>
              <w:bottom w:val="nil"/>
              <w:right w:val="nil"/>
            </w:tcBorders>
            <w:shd w:val="clear" w:color="auto" w:fill="auto"/>
          </w:tcPr>
          <w:p w14:paraId="5BB931AB">
            <w:pPr>
              <w:spacing w:before="40" w:after="40" w:line="252" w:lineRule="auto"/>
              <w:jc w:val="left"/>
            </w:pPr>
            <w:r>
              <w:rPr>
                <w:rFonts w:ascii="Times New Roman" w:hAnsi="Times New Roman" w:eastAsia="宋体"/>
                <w:b w:val="0"/>
                <w:sz w:val="18"/>
              </w:rPr>
              <w:t>持仓相对基准的主动偏离度高，体现主动选股意愿与创造 Alpha 潜力（Cremers &amp; Petajisto, 2009）</w:t>
            </w:r>
          </w:p>
        </w:tc>
      </w:tr>
      <w:tr w14:paraId="6B60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05EE3C4A">
            <w:pPr>
              <w:spacing w:before="40" w:after="40" w:line="252" w:lineRule="auto"/>
              <w:jc w:val="center"/>
            </w:pPr>
            <w:r>
              <w:rPr>
                <w:rFonts w:ascii="Times New Roman" w:hAnsi="Times New Roman" w:eastAsia="宋体"/>
                <w:b w:val="0"/>
                <w:sz w:val="18"/>
              </w:rPr>
              <w:t>L2 认知偏差层</w:t>
            </w:r>
          </w:p>
        </w:tc>
        <w:tc>
          <w:tcPr>
            <w:tcW w:w="1070" w:type="dxa"/>
            <w:tcBorders>
              <w:top w:val="nil"/>
              <w:left w:val="nil"/>
              <w:bottom w:val="nil"/>
              <w:right w:val="nil"/>
            </w:tcBorders>
            <w:shd w:val="clear" w:color="auto" w:fill="auto"/>
          </w:tcPr>
          <w:p w14:paraId="0EA623A9">
            <w:pPr>
              <w:spacing w:before="40" w:after="40" w:line="252" w:lineRule="auto"/>
              <w:jc w:val="center"/>
            </w:pPr>
            <w:r>
              <w:rPr>
                <w:rFonts w:ascii="Times New Roman" w:hAnsi="Times New Roman" w:eastAsia="宋体"/>
                <w:b w:val="0"/>
                <w:sz w:val="18"/>
              </w:rPr>
              <w:t>风险态度</w:t>
            </w:r>
          </w:p>
        </w:tc>
        <w:tc>
          <w:tcPr>
            <w:tcW w:w="2360" w:type="dxa"/>
            <w:tcBorders>
              <w:top w:val="nil"/>
              <w:left w:val="nil"/>
              <w:bottom w:val="nil"/>
              <w:right w:val="nil"/>
            </w:tcBorders>
            <w:shd w:val="clear" w:color="auto" w:fill="auto"/>
          </w:tcPr>
          <w:p w14:paraId="5F94934F">
            <w:pPr>
              <w:spacing w:before="40" w:after="40" w:line="252" w:lineRule="auto"/>
              <w:jc w:val="left"/>
            </w:pPr>
            <w:r>
              <w:rPr>
                <w:rFonts w:ascii="Times New Roman" w:hAnsi="Times New Roman" w:eastAsia="宋体"/>
                <w:b w:val="0"/>
                <w:sz w:val="18"/>
              </w:rPr>
              <w:t>风险偏好不对称 risk_asym</w:t>
            </w:r>
          </w:p>
        </w:tc>
        <w:tc>
          <w:tcPr>
            <w:tcW w:w="1350" w:type="dxa"/>
            <w:tcBorders>
              <w:top w:val="nil"/>
              <w:left w:val="nil"/>
              <w:bottom w:val="nil"/>
              <w:right w:val="nil"/>
            </w:tcBorders>
            <w:shd w:val="clear" w:color="auto" w:fill="auto"/>
          </w:tcPr>
          <w:p w14:paraId="5D45427D">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14775291">
            <w:pPr>
              <w:spacing w:before="40" w:after="40" w:line="252" w:lineRule="auto"/>
              <w:jc w:val="left"/>
            </w:pPr>
            <w:r>
              <w:rPr>
                <w:rFonts w:ascii="Times New Roman" w:hAnsi="Times New Roman" w:eastAsia="宋体"/>
                <w:b w:val="0"/>
                <w:sz w:val="18"/>
              </w:rPr>
              <w:t>盈利期敢于进攻、亏损期严格防守，展现情境适应力与止损纪律</w:t>
            </w:r>
          </w:p>
        </w:tc>
      </w:tr>
      <w:tr w14:paraId="67FD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F5E89F5">
            <w:pPr>
              <w:spacing w:before="40" w:after="40" w:line="252" w:lineRule="auto"/>
              <w:jc w:val="center"/>
            </w:pPr>
            <w:r>
              <w:rPr>
                <w:rFonts w:ascii="Times New Roman" w:hAnsi="Times New Roman" w:eastAsia="宋体"/>
                <w:b w:val="0"/>
                <w:sz w:val="18"/>
              </w:rPr>
              <w:t>L2 认知偏差层</w:t>
            </w:r>
          </w:p>
        </w:tc>
        <w:tc>
          <w:tcPr>
            <w:tcW w:w="1070" w:type="dxa"/>
            <w:tcBorders>
              <w:top w:val="nil"/>
              <w:left w:val="nil"/>
              <w:bottom w:val="nil"/>
              <w:right w:val="nil"/>
            </w:tcBorders>
            <w:shd w:val="clear" w:color="auto" w:fill="auto"/>
          </w:tcPr>
          <w:p w14:paraId="058427DC">
            <w:pPr>
              <w:spacing w:before="40" w:after="40" w:line="252" w:lineRule="auto"/>
              <w:jc w:val="center"/>
            </w:pPr>
            <w:r>
              <w:rPr>
                <w:rFonts w:ascii="Times New Roman" w:hAnsi="Times New Roman" w:eastAsia="宋体"/>
                <w:b w:val="0"/>
                <w:sz w:val="18"/>
              </w:rPr>
              <w:t>参考点偏误</w:t>
            </w:r>
          </w:p>
        </w:tc>
        <w:tc>
          <w:tcPr>
            <w:tcW w:w="2360" w:type="dxa"/>
            <w:tcBorders>
              <w:top w:val="nil"/>
              <w:left w:val="nil"/>
              <w:bottom w:val="nil"/>
              <w:right w:val="nil"/>
            </w:tcBorders>
            <w:shd w:val="clear" w:color="auto" w:fill="auto"/>
          </w:tcPr>
          <w:p w14:paraId="1D4394A2">
            <w:pPr>
              <w:spacing w:before="40" w:after="40" w:line="252" w:lineRule="auto"/>
              <w:jc w:val="left"/>
            </w:pPr>
            <w:r>
              <w:rPr>
                <w:rFonts w:ascii="Times New Roman" w:hAnsi="Times New Roman" w:eastAsia="宋体"/>
                <w:b w:val="0"/>
                <w:sz w:val="18"/>
              </w:rPr>
              <w:t>处置效应 de</w:t>
            </w:r>
          </w:p>
        </w:tc>
        <w:tc>
          <w:tcPr>
            <w:tcW w:w="1350" w:type="dxa"/>
            <w:tcBorders>
              <w:top w:val="nil"/>
              <w:left w:val="nil"/>
              <w:bottom w:val="nil"/>
              <w:right w:val="nil"/>
            </w:tcBorders>
            <w:shd w:val="clear" w:color="auto" w:fill="auto"/>
          </w:tcPr>
          <w:p w14:paraId="3243B3D1">
            <w:pPr>
              <w:spacing w:before="40" w:after="40" w:line="252" w:lineRule="auto"/>
              <w:jc w:val="center"/>
            </w:pPr>
            <w:r>
              <w:rPr>
                <w:rFonts w:ascii="Times New Roman" w:hAnsi="Times New Roman" w:eastAsia="宋体"/>
                <w:b w:val="0"/>
                <w:sz w:val="18"/>
              </w:rPr>
              <w:t>显著负向</w:t>
            </w:r>
          </w:p>
        </w:tc>
        <w:tc>
          <w:tcPr>
            <w:tcW w:w="3504" w:type="dxa"/>
            <w:tcBorders>
              <w:top w:val="nil"/>
              <w:left w:val="nil"/>
              <w:bottom w:val="nil"/>
              <w:right w:val="nil"/>
            </w:tcBorders>
            <w:shd w:val="clear" w:color="auto" w:fill="auto"/>
          </w:tcPr>
          <w:p w14:paraId="4159A036">
            <w:pPr>
              <w:spacing w:before="40" w:after="40" w:line="252" w:lineRule="auto"/>
              <w:jc w:val="left"/>
            </w:pPr>
            <w:r>
              <w:rPr>
                <w:rFonts w:ascii="Times New Roman" w:hAnsi="Times New Roman" w:eastAsia="宋体"/>
                <w:b w:val="0"/>
                <w:sz w:val="18"/>
              </w:rPr>
              <w:t>售盈持亏心理偏差（Shefrin &amp; Statman, 1985），过早止盈阻断涨幅、死扛亏损放大回撤</w:t>
            </w:r>
          </w:p>
        </w:tc>
      </w:tr>
      <w:tr w14:paraId="7B70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2A4A31F9">
            <w:pPr>
              <w:spacing w:before="40" w:after="40" w:line="252" w:lineRule="auto"/>
              <w:jc w:val="center"/>
            </w:pPr>
            <w:r>
              <w:rPr>
                <w:rFonts w:ascii="Times New Roman" w:hAnsi="Times New Roman" w:eastAsia="宋体"/>
                <w:b w:val="0"/>
                <w:sz w:val="18"/>
              </w:rPr>
              <w:t>L2 认知偏差层</w:t>
            </w:r>
          </w:p>
        </w:tc>
        <w:tc>
          <w:tcPr>
            <w:tcW w:w="1070" w:type="dxa"/>
            <w:tcBorders>
              <w:top w:val="nil"/>
              <w:left w:val="nil"/>
              <w:bottom w:val="nil"/>
              <w:right w:val="nil"/>
            </w:tcBorders>
            <w:shd w:val="clear" w:color="auto" w:fill="auto"/>
          </w:tcPr>
          <w:p w14:paraId="7F98E33A">
            <w:pPr>
              <w:spacing w:before="40" w:after="40" w:line="252" w:lineRule="auto"/>
              <w:jc w:val="center"/>
            </w:pPr>
            <w:r>
              <w:rPr>
                <w:rFonts w:ascii="Times New Roman" w:hAnsi="Times New Roman" w:eastAsia="宋体"/>
                <w:b w:val="0"/>
                <w:sz w:val="18"/>
              </w:rPr>
              <w:t>参考点偏误</w:t>
            </w:r>
          </w:p>
        </w:tc>
        <w:tc>
          <w:tcPr>
            <w:tcW w:w="2360" w:type="dxa"/>
            <w:tcBorders>
              <w:top w:val="nil"/>
              <w:left w:val="nil"/>
              <w:bottom w:val="nil"/>
              <w:right w:val="nil"/>
            </w:tcBorders>
            <w:shd w:val="clear" w:color="auto" w:fill="auto"/>
          </w:tcPr>
          <w:p w14:paraId="682E0420">
            <w:pPr>
              <w:spacing w:before="40" w:after="40" w:line="252" w:lineRule="auto"/>
              <w:jc w:val="left"/>
            </w:pPr>
            <w:r>
              <w:rPr>
                <w:rFonts w:ascii="Times New Roman" w:hAnsi="Times New Roman" w:eastAsia="宋体"/>
                <w:b w:val="0"/>
                <w:sz w:val="18"/>
              </w:rPr>
              <w:t>锚定效应 anchor_high</w:t>
            </w:r>
          </w:p>
        </w:tc>
        <w:tc>
          <w:tcPr>
            <w:tcW w:w="1350" w:type="dxa"/>
            <w:tcBorders>
              <w:top w:val="nil"/>
              <w:left w:val="nil"/>
              <w:bottom w:val="nil"/>
              <w:right w:val="nil"/>
            </w:tcBorders>
            <w:shd w:val="clear" w:color="auto" w:fill="auto"/>
          </w:tcPr>
          <w:p w14:paraId="55994463">
            <w:pPr>
              <w:spacing w:before="40" w:after="40" w:line="252" w:lineRule="auto"/>
              <w:jc w:val="center"/>
            </w:pPr>
            <w:r>
              <w:rPr>
                <w:rFonts w:ascii="Times New Roman" w:hAnsi="Times New Roman" w:eastAsia="宋体"/>
                <w:b w:val="0"/>
                <w:sz w:val="18"/>
              </w:rPr>
              <w:t>负向（实证为正）</w:t>
            </w:r>
          </w:p>
        </w:tc>
        <w:tc>
          <w:tcPr>
            <w:tcW w:w="3504" w:type="dxa"/>
            <w:tcBorders>
              <w:top w:val="nil"/>
              <w:left w:val="nil"/>
              <w:bottom w:val="nil"/>
              <w:right w:val="nil"/>
            </w:tcBorders>
            <w:shd w:val="clear" w:color="auto" w:fill="auto"/>
          </w:tcPr>
          <w:p w14:paraId="6BC913D3">
            <w:pPr>
              <w:spacing w:before="40" w:after="40" w:line="252" w:lineRule="auto"/>
              <w:jc w:val="left"/>
            </w:pPr>
            <w:r>
              <w:rPr>
                <w:rFonts w:ascii="Times New Roman" w:hAnsi="Times New Roman" w:eastAsia="宋体"/>
                <w:b w:val="0"/>
                <w:sz w:val="18"/>
              </w:rPr>
              <w:t>理论上锚定历史高价拒绝止损损害业绩；实证受 A 股右侧动量追随效应支撑呈现正向</w:t>
            </w:r>
          </w:p>
        </w:tc>
      </w:tr>
      <w:tr w14:paraId="0B34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6FA1EC4E">
            <w:pPr>
              <w:spacing w:before="40" w:after="40" w:line="252" w:lineRule="auto"/>
              <w:jc w:val="center"/>
            </w:pPr>
            <w:r>
              <w:rPr>
                <w:rFonts w:ascii="Times New Roman" w:hAnsi="Times New Roman" w:eastAsia="宋体"/>
                <w:b w:val="0"/>
                <w:sz w:val="18"/>
              </w:rPr>
              <w:t>L2 认知偏差层</w:t>
            </w:r>
          </w:p>
        </w:tc>
        <w:tc>
          <w:tcPr>
            <w:tcW w:w="1070" w:type="dxa"/>
            <w:tcBorders>
              <w:top w:val="nil"/>
              <w:left w:val="nil"/>
              <w:bottom w:val="nil"/>
              <w:right w:val="nil"/>
            </w:tcBorders>
            <w:shd w:val="clear" w:color="auto" w:fill="auto"/>
          </w:tcPr>
          <w:p w14:paraId="1DC00407">
            <w:pPr>
              <w:spacing w:before="40" w:after="40" w:line="252" w:lineRule="auto"/>
              <w:jc w:val="center"/>
            </w:pPr>
            <w:r>
              <w:rPr>
                <w:rFonts w:ascii="Times New Roman" w:hAnsi="Times New Roman" w:eastAsia="宋体"/>
                <w:b w:val="0"/>
                <w:sz w:val="18"/>
              </w:rPr>
              <w:t>过度自信</w:t>
            </w:r>
          </w:p>
        </w:tc>
        <w:tc>
          <w:tcPr>
            <w:tcW w:w="2360" w:type="dxa"/>
            <w:tcBorders>
              <w:top w:val="nil"/>
              <w:left w:val="nil"/>
              <w:bottom w:val="nil"/>
              <w:right w:val="nil"/>
            </w:tcBorders>
            <w:shd w:val="clear" w:color="auto" w:fill="auto"/>
          </w:tcPr>
          <w:p w14:paraId="1FDF821C">
            <w:pPr>
              <w:spacing w:before="40" w:after="40" w:line="252" w:lineRule="auto"/>
              <w:jc w:val="left"/>
            </w:pPr>
            <w:r>
              <w:rPr>
                <w:rFonts w:ascii="Times New Roman" w:hAnsi="Times New Roman" w:eastAsia="宋体"/>
                <w:b w:val="0"/>
                <w:sz w:val="18"/>
              </w:rPr>
              <w:t>过度自信 oc_conf</w:t>
            </w:r>
          </w:p>
        </w:tc>
        <w:tc>
          <w:tcPr>
            <w:tcW w:w="1350" w:type="dxa"/>
            <w:tcBorders>
              <w:top w:val="nil"/>
              <w:left w:val="nil"/>
              <w:bottom w:val="nil"/>
              <w:right w:val="nil"/>
            </w:tcBorders>
            <w:shd w:val="clear" w:color="auto" w:fill="auto"/>
          </w:tcPr>
          <w:p w14:paraId="5875AC4C">
            <w:pPr>
              <w:spacing w:before="40" w:after="40" w:line="252" w:lineRule="auto"/>
              <w:jc w:val="center"/>
            </w:pPr>
            <w:r>
              <w:rPr>
                <w:rFonts w:ascii="Times New Roman" w:hAnsi="Times New Roman" w:eastAsia="宋体"/>
                <w:b w:val="0"/>
                <w:sz w:val="18"/>
              </w:rPr>
              <w:t>显著负向</w:t>
            </w:r>
          </w:p>
        </w:tc>
        <w:tc>
          <w:tcPr>
            <w:tcW w:w="3504" w:type="dxa"/>
            <w:tcBorders>
              <w:top w:val="nil"/>
              <w:left w:val="nil"/>
              <w:bottom w:val="nil"/>
              <w:right w:val="nil"/>
            </w:tcBorders>
            <w:shd w:val="clear" w:color="auto" w:fill="auto"/>
          </w:tcPr>
          <w:p w14:paraId="34C668DD">
            <w:pPr>
              <w:spacing w:before="40" w:after="40" w:line="252" w:lineRule="auto"/>
              <w:jc w:val="left"/>
            </w:pPr>
            <w:r>
              <w:rPr>
                <w:rFonts w:ascii="Times New Roman" w:hAnsi="Times New Roman" w:eastAsia="宋体"/>
                <w:b w:val="0"/>
                <w:sz w:val="18"/>
              </w:rPr>
              <w:t>前期盈利后自负加码频繁交易，摩擦成本与决策失误侵蚀业绩（Gervais &amp; Odean, 2001）</w:t>
            </w:r>
          </w:p>
        </w:tc>
      </w:tr>
      <w:tr w14:paraId="075F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32CC55CE">
            <w:pPr>
              <w:spacing w:before="40" w:after="40" w:line="252" w:lineRule="auto"/>
              <w:jc w:val="center"/>
            </w:pPr>
            <w:r>
              <w:rPr>
                <w:rFonts w:ascii="Times New Roman" w:hAnsi="Times New Roman" w:eastAsia="宋体"/>
                <w:b w:val="0"/>
                <w:sz w:val="18"/>
              </w:rPr>
              <w:t>L2 认知偏差层</w:t>
            </w:r>
          </w:p>
        </w:tc>
        <w:tc>
          <w:tcPr>
            <w:tcW w:w="1070" w:type="dxa"/>
            <w:tcBorders>
              <w:top w:val="nil"/>
              <w:left w:val="nil"/>
              <w:bottom w:val="nil"/>
              <w:right w:val="nil"/>
            </w:tcBorders>
            <w:shd w:val="clear" w:color="auto" w:fill="auto"/>
          </w:tcPr>
          <w:p w14:paraId="7607FCCE">
            <w:pPr>
              <w:spacing w:before="40" w:after="40" w:line="252" w:lineRule="auto"/>
              <w:jc w:val="center"/>
            </w:pPr>
            <w:r>
              <w:rPr>
                <w:rFonts w:ascii="Times New Roman" w:hAnsi="Times New Roman" w:eastAsia="宋体"/>
                <w:b w:val="0"/>
                <w:sz w:val="18"/>
              </w:rPr>
              <w:t>趋势外推</w:t>
            </w:r>
          </w:p>
        </w:tc>
        <w:tc>
          <w:tcPr>
            <w:tcW w:w="2360" w:type="dxa"/>
            <w:tcBorders>
              <w:top w:val="nil"/>
              <w:left w:val="nil"/>
              <w:bottom w:val="nil"/>
              <w:right w:val="nil"/>
            </w:tcBorders>
            <w:shd w:val="clear" w:color="auto" w:fill="auto"/>
          </w:tcPr>
          <w:p w14:paraId="2269127D">
            <w:pPr>
              <w:spacing w:before="40" w:after="40" w:line="252" w:lineRule="auto"/>
              <w:jc w:val="left"/>
            </w:pPr>
            <w:r>
              <w:rPr>
                <w:rFonts w:ascii="Times New Roman" w:hAnsi="Times New Roman" w:eastAsia="宋体"/>
                <w:b w:val="0"/>
                <w:sz w:val="18"/>
              </w:rPr>
              <w:t>追涨杀跌 rc_mom</w:t>
            </w:r>
          </w:p>
        </w:tc>
        <w:tc>
          <w:tcPr>
            <w:tcW w:w="1350" w:type="dxa"/>
            <w:tcBorders>
              <w:top w:val="nil"/>
              <w:left w:val="nil"/>
              <w:bottom w:val="nil"/>
              <w:right w:val="nil"/>
            </w:tcBorders>
            <w:shd w:val="clear" w:color="auto" w:fill="auto"/>
          </w:tcPr>
          <w:p w14:paraId="369FF547">
            <w:pPr>
              <w:spacing w:before="40" w:after="40" w:line="252" w:lineRule="auto"/>
              <w:jc w:val="center"/>
            </w:pPr>
            <w:r>
              <w:rPr>
                <w:rFonts w:ascii="Times New Roman" w:hAnsi="Times New Roman" w:eastAsia="宋体"/>
                <w:b w:val="0"/>
                <w:sz w:val="18"/>
              </w:rPr>
              <w:t>负向／不显著</w:t>
            </w:r>
          </w:p>
        </w:tc>
        <w:tc>
          <w:tcPr>
            <w:tcW w:w="3504" w:type="dxa"/>
            <w:tcBorders>
              <w:top w:val="nil"/>
              <w:left w:val="nil"/>
              <w:bottom w:val="nil"/>
              <w:right w:val="nil"/>
            </w:tcBorders>
            <w:shd w:val="clear" w:color="auto" w:fill="auto"/>
          </w:tcPr>
          <w:p w14:paraId="35431F2B">
            <w:pPr>
              <w:spacing w:before="40" w:after="40" w:line="252" w:lineRule="auto"/>
              <w:jc w:val="left"/>
            </w:pPr>
            <w:r>
              <w:rPr>
                <w:rFonts w:ascii="Times New Roman" w:hAnsi="Times New Roman" w:eastAsia="宋体"/>
                <w:b w:val="0"/>
                <w:sz w:val="18"/>
              </w:rPr>
              <w:t>追逐近期短期暴涨股票容易买在情绪高点承担泡沫破裂风险（Greenwood &amp; Shleifer, 2014）</w:t>
            </w:r>
          </w:p>
        </w:tc>
      </w:tr>
      <w:tr w14:paraId="5233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70DBBBD4">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05E88EBA">
            <w:pPr>
              <w:spacing w:before="40" w:after="40" w:line="252" w:lineRule="auto"/>
              <w:jc w:val="center"/>
            </w:pPr>
            <w:r>
              <w:rPr>
                <w:rFonts w:ascii="Times New Roman" w:hAnsi="Times New Roman" w:eastAsia="宋体"/>
                <w:b w:val="0"/>
                <w:sz w:val="18"/>
              </w:rPr>
              <w:t>过程应对</w:t>
            </w:r>
          </w:p>
        </w:tc>
        <w:tc>
          <w:tcPr>
            <w:tcW w:w="2360" w:type="dxa"/>
            <w:tcBorders>
              <w:top w:val="nil"/>
              <w:left w:val="nil"/>
              <w:bottom w:val="nil"/>
              <w:right w:val="nil"/>
            </w:tcBorders>
            <w:shd w:val="clear" w:color="auto" w:fill="auto"/>
          </w:tcPr>
          <w:p w14:paraId="50D2E6F8">
            <w:pPr>
              <w:spacing w:before="40" w:after="40" w:line="252" w:lineRule="auto"/>
              <w:jc w:val="left"/>
            </w:pPr>
            <w:r>
              <w:rPr>
                <w:rFonts w:ascii="Times New Roman" w:hAnsi="Times New Roman" w:eastAsia="宋体"/>
                <w:b w:val="0"/>
                <w:sz w:val="18"/>
              </w:rPr>
              <w:t>调仓幅度 ARG</w:t>
            </w:r>
          </w:p>
        </w:tc>
        <w:tc>
          <w:tcPr>
            <w:tcW w:w="1350" w:type="dxa"/>
            <w:tcBorders>
              <w:top w:val="nil"/>
              <w:left w:val="nil"/>
              <w:bottom w:val="nil"/>
              <w:right w:val="nil"/>
            </w:tcBorders>
            <w:shd w:val="clear" w:color="auto" w:fill="auto"/>
          </w:tcPr>
          <w:p w14:paraId="518C15CC">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317DE129">
            <w:pPr>
              <w:spacing w:before="40" w:after="40" w:line="252" w:lineRule="auto"/>
              <w:jc w:val="left"/>
            </w:pPr>
            <w:r>
              <w:rPr>
                <w:rFonts w:ascii="Times New Roman" w:hAnsi="Times New Roman" w:eastAsia="宋体"/>
                <w:b w:val="0"/>
                <w:sz w:val="18"/>
              </w:rPr>
              <w:t>定期报告披露外的主动调仓预示管理能力与短期定价错误捕捉（Kacperczyk et al., 2008）</w:t>
            </w:r>
          </w:p>
        </w:tc>
      </w:tr>
      <w:tr w14:paraId="5BA2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113377F6">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3CC9F296">
            <w:pPr>
              <w:spacing w:before="40" w:after="40" w:line="252" w:lineRule="auto"/>
              <w:jc w:val="center"/>
            </w:pPr>
            <w:r>
              <w:rPr>
                <w:rFonts w:ascii="Times New Roman" w:hAnsi="Times New Roman" w:eastAsia="宋体"/>
                <w:b w:val="0"/>
                <w:sz w:val="18"/>
              </w:rPr>
              <w:t>过程应对</w:t>
            </w:r>
          </w:p>
        </w:tc>
        <w:tc>
          <w:tcPr>
            <w:tcW w:w="2360" w:type="dxa"/>
            <w:tcBorders>
              <w:top w:val="nil"/>
              <w:left w:val="nil"/>
              <w:bottom w:val="nil"/>
              <w:right w:val="nil"/>
            </w:tcBorders>
            <w:shd w:val="clear" w:color="auto" w:fill="auto"/>
          </w:tcPr>
          <w:p w14:paraId="44EB0D3F">
            <w:pPr>
              <w:spacing w:before="40" w:after="40" w:line="252" w:lineRule="auto"/>
              <w:jc w:val="left"/>
            </w:pPr>
            <w:r>
              <w:rPr>
                <w:rFonts w:ascii="Times New Roman" w:hAnsi="Times New Roman" w:eastAsia="宋体"/>
                <w:b w:val="0"/>
                <w:sz w:val="18"/>
              </w:rPr>
              <w:t>下行保护 timing</w:t>
            </w:r>
          </w:p>
        </w:tc>
        <w:tc>
          <w:tcPr>
            <w:tcW w:w="1350" w:type="dxa"/>
            <w:tcBorders>
              <w:top w:val="nil"/>
              <w:left w:val="nil"/>
              <w:bottom w:val="nil"/>
              <w:right w:val="nil"/>
            </w:tcBorders>
            <w:shd w:val="clear" w:color="auto" w:fill="auto"/>
          </w:tcPr>
          <w:p w14:paraId="6774D786">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6CF1E716">
            <w:pPr>
              <w:spacing w:before="40" w:after="40" w:line="252" w:lineRule="auto"/>
              <w:jc w:val="left"/>
            </w:pPr>
            <w:r>
              <w:rPr>
                <w:rFonts w:ascii="Times New Roman" w:hAnsi="Times New Roman" w:eastAsia="宋体"/>
                <w:b w:val="0"/>
                <w:sz w:val="18"/>
              </w:rPr>
              <w:t>大盘下行期主动收缩风险暴露（HM 跌市额外项取反），保本防守能力强（Henriksson &amp; Merton, 1981）</w:t>
            </w:r>
          </w:p>
        </w:tc>
      </w:tr>
      <w:tr w14:paraId="680B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32A21D95">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1D8400AA">
            <w:pPr>
              <w:spacing w:before="40" w:after="40" w:line="252" w:lineRule="auto"/>
              <w:jc w:val="center"/>
            </w:pPr>
            <w:r>
              <w:rPr>
                <w:rFonts w:ascii="Times New Roman" w:hAnsi="Times New Roman" w:eastAsia="宋体"/>
                <w:b w:val="0"/>
                <w:sz w:val="18"/>
              </w:rPr>
              <w:t>过程应对</w:t>
            </w:r>
          </w:p>
        </w:tc>
        <w:tc>
          <w:tcPr>
            <w:tcW w:w="2360" w:type="dxa"/>
            <w:tcBorders>
              <w:top w:val="nil"/>
              <w:left w:val="nil"/>
              <w:bottom w:val="nil"/>
              <w:right w:val="nil"/>
            </w:tcBorders>
            <w:shd w:val="clear" w:color="auto" w:fill="auto"/>
          </w:tcPr>
          <w:p w14:paraId="4C8D303F">
            <w:pPr>
              <w:spacing w:before="40" w:after="40" w:line="252" w:lineRule="auto"/>
              <w:jc w:val="left"/>
            </w:pPr>
            <w:r>
              <w:rPr>
                <w:rFonts w:ascii="Times New Roman" w:hAnsi="Times New Roman" w:eastAsia="宋体"/>
                <w:b w:val="0"/>
                <w:sz w:val="18"/>
              </w:rPr>
              <w:t>收益波动率 volatility</w:t>
            </w:r>
          </w:p>
        </w:tc>
        <w:tc>
          <w:tcPr>
            <w:tcW w:w="1350" w:type="dxa"/>
            <w:tcBorders>
              <w:top w:val="nil"/>
              <w:left w:val="nil"/>
              <w:bottom w:val="nil"/>
              <w:right w:val="nil"/>
            </w:tcBorders>
            <w:shd w:val="clear" w:color="auto" w:fill="auto"/>
          </w:tcPr>
          <w:p w14:paraId="1683FA59">
            <w:pPr>
              <w:spacing w:before="40" w:after="40" w:line="252" w:lineRule="auto"/>
              <w:jc w:val="center"/>
            </w:pPr>
            <w:r>
              <w:rPr>
                <w:rFonts w:ascii="Times New Roman" w:hAnsi="Times New Roman" w:eastAsia="宋体"/>
                <w:b w:val="0"/>
                <w:sz w:val="18"/>
              </w:rPr>
              <w:t>负向</w:t>
            </w:r>
          </w:p>
        </w:tc>
        <w:tc>
          <w:tcPr>
            <w:tcW w:w="3504" w:type="dxa"/>
            <w:tcBorders>
              <w:top w:val="nil"/>
              <w:left w:val="nil"/>
              <w:bottom w:val="nil"/>
              <w:right w:val="nil"/>
            </w:tcBorders>
            <w:shd w:val="clear" w:color="auto" w:fill="auto"/>
          </w:tcPr>
          <w:p w14:paraId="02F0E767">
            <w:pPr>
              <w:spacing w:before="40" w:after="40" w:line="252" w:lineRule="auto"/>
              <w:jc w:val="left"/>
            </w:pPr>
            <w:r>
              <w:rPr>
                <w:rFonts w:ascii="Times New Roman" w:hAnsi="Times New Roman" w:eastAsia="宋体"/>
                <w:b w:val="0"/>
                <w:sz w:val="18"/>
              </w:rPr>
              <w:t>未经风险调整的过高总波动反映持仓博弈剧烈、风险敞口过大，损害长期复利</w:t>
            </w:r>
          </w:p>
        </w:tc>
      </w:tr>
      <w:tr w14:paraId="0EF6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74534369">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61619F9D">
            <w:pPr>
              <w:spacing w:before="40" w:after="40" w:line="252" w:lineRule="auto"/>
              <w:jc w:val="center"/>
            </w:pPr>
            <w:r>
              <w:rPr>
                <w:rFonts w:ascii="Times New Roman" w:hAnsi="Times New Roman" w:eastAsia="宋体"/>
                <w:b w:val="0"/>
                <w:sz w:val="18"/>
              </w:rPr>
              <w:t>过程应对</w:t>
            </w:r>
          </w:p>
        </w:tc>
        <w:tc>
          <w:tcPr>
            <w:tcW w:w="2360" w:type="dxa"/>
            <w:tcBorders>
              <w:top w:val="nil"/>
              <w:left w:val="nil"/>
              <w:bottom w:val="nil"/>
              <w:right w:val="nil"/>
            </w:tcBorders>
            <w:shd w:val="clear" w:color="auto" w:fill="auto"/>
          </w:tcPr>
          <w:p w14:paraId="1AA9E86B">
            <w:pPr>
              <w:spacing w:before="40" w:after="40" w:line="252" w:lineRule="auto"/>
              <w:jc w:val="left"/>
            </w:pPr>
            <w:r>
              <w:rPr>
                <w:rFonts w:ascii="Times New Roman" w:hAnsi="Times New Roman" w:eastAsia="宋体"/>
                <w:b w:val="0"/>
                <w:sz w:val="18"/>
              </w:rPr>
              <w:t>风格稳定性 rsstab</w:t>
            </w:r>
          </w:p>
        </w:tc>
        <w:tc>
          <w:tcPr>
            <w:tcW w:w="1350" w:type="dxa"/>
            <w:tcBorders>
              <w:top w:val="nil"/>
              <w:left w:val="nil"/>
              <w:bottom w:val="nil"/>
              <w:right w:val="nil"/>
            </w:tcBorders>
            <w:shd w:val="clear" w:color="auto" w:fill="auto"/>
          </w:tcPr>
          <w:p w14:paraId="5DA1A1E7">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7AECE45B">
            <w:pPr>
              <w:spacing w:before="40" w:after="40" w:line="252" w:lineRule="auto"/>
              <w:jc w:val="left"/>
            </w:pPr>
            <w:r>
              <w:rPr>
                <w:rFonts w:ascii="Times New Roman" w:hAnsi="Times New Roman" w:eastAsia="宋体"/>
                <w:b w:val="0"/>
                <w:sz w:val="18"/>
              </w:rPr>
              <w:t>风格回归拟合度 R² 稳定，表明投资风格专一、载荷平稳，利于 Alpha 沉淀</w:t>
            </w:r>
          </w:p>
        </w:tc>
      </w:tr>
      <w:tr w14:paraId="2B1A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6E271201">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3B2694E2">
            <w:pPr>
              <w:spacing w:before="40" w:after="40" w:line="252" w:lineRule="auto"/>
              <w:jc w:val="center"/>
            </w:pPr>
            <w:r>
              <w:rPr>
                <w:rFonts w:ascii="Times New Roman" w:hAnsi="Times New Roman" w:eastAsia="宋体"/>
                <w:b w:val="0"/>
                <w:sz w:val="18"/>
              </w:rPr>
              <w:t>转化效率</w:t>
            </w:r>
          </w:p>
        </w:tc>
        <w:tc>
          <w:tcPr>
            <w:tcW w:w="2360" w:type="dxa"/>
            <w:tcBorders>
              <w:top w:val="nil"/>
              <w:left w:val="nil"/>
              <w:bottom w:val="nil"/>
              <w:right w:val="nil"/>
            </w:tcBorders>
            <w:shd w:val="clear" w:color="auto" w:fill="auto"/>
          </w:tcPr>
          <w:p w14:paraId="726B2178">
            <w:pPr>
              <w:spacing w:before="40" w:after="40" w:line="252" w:lineRule="auto"/>
              <w:jc w:val="left"/>
            </w:pPr>
            <w:r>
              <w:rPr>
                <w:rFonts w:ascii="Times New Roman" w:hAnsi="Times New Roman" w:eastAsia="宋体"/>
                <w:b w:val="0"/>
                <w:sz w:val="18"/>
              </w:rPr>
              <w:t>夏普比率 Sharpe</w:t>
            </w:r>
          </w:p>
        </w:tc>
        <w:tc>
          <w:tcPr>
            <w:tcW w:w="1350" w:type="dxa"/>
            <w:tcBorders>
              <w:top w:val="nil"/>
              <w:left w:val="nil"/>
              <w:bottom w:val="nil"/>
              <w:right w:val="nil"/>
            </w:tcBorders>
            <w:shd w:val="clear" w:color="auto" w:fill="auto"/>
          </w:tcPr>
          <w:p w14:paraId="31F2E8E3">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0C6A22B0">
            <w:pPr>
              <w:spacing w:before="40" w:after="40" w:line="252" w:lineRule="auto"/>
              <w:jc w:val="left"/>
            </w:pPr>
            <w:r>
              <w:rPr>
                <w:rFonts w:ascii="Times New Roman" w:hAnsi="Times New Roman" w:eastAsia="宋体"/>
                <w:b w:val="0"/>
                <w:sz w:val="18"/>
              </w:rPr>
              <w:t>单位总风险带来的超额回报，衡量基础风险调整收益能力（Sharpe, 1966）</w:t>
            </w:r>
          </w:p>
        </w:tc>
      </w:tr>
      <w:tr w14:paraId="17F3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0226273D">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45BDCEF8">
            <w:pPr>
              <w:spacing w:before="40" w:after="40" w:line="252" w:lineRule="auto"/>
              <w:jc w:val="center"/>
            </w:pPr>
            <w:r>
              <w:rPr>
                <w:rFonts w:ascii="Times New Roman" w:hAnsi="Times New Roman" w:eastAsia="宋体"/>
                <w:b w:val="0"/>
                <w:sz w:val="18"/>
              </w:rPr>
              <w:t>转化效率</w:t>
            </w:r>
          </w:p>
        </w:tc>
        <w:tc>
          <w:tcPr>
            <w:tcW w:w="2360" w:type="dxa"/>
            <w:tcBorders>
              <w:top w:val="nil"/>
              <w:left w:val="nil"/>
              <w:bottom w:val="nil"/>
              <w:right w:val="nil"/>
            </w:tcBorders>
            <w:shd w:val="clear" w:color="auto" w:fill="auto"/>
          </w:tcPr>
          <w:p w14:paraId="5996CD1A">
            <w:pPr>
              <w:spacing w:before="40" w:after="40" w:line="252" w:lineRule="auto"/>
              <w:jc w:val="left"/>
            </w:pPr>
            <w:r>
              <w:rPr>
                <w:rFonts w:ascii="Times New Roman" w:hAnsi="Times New Roman" w:eastAsia="宋体"/>
                <w:b w:val="0"/>
                <w:sz w:val="18"/>
              </w:rPr>
              <w:t>索提诺比率 Sortino</w:t>
            </w:r>
          </w:p>
        </w:tc>
        <w:tc>
          <w:tcPr>
            <w:tcW w:w="1350" w:type="dxa"/>
            <w:tcBorders>
              <w:top w:val="nil"/>
              <w:left w:val="nil"/>
              <w:bottom w:val="nil"/>
              <w:right w:val="nil"/>
            </w:tcBorders>
            <w:shd w:val="clear" w:color="auto" w:fill="auto"/>
          </w:tcPr>
          <w:p w14:paraId="08C28FFE">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1DB373DB">
            <w:pPr>
              <w:spacing w:before="40" w:after="40" w:line="252" w:lineRule="auto"/>
              <w:jc w:val="left"/>
            </w:pPr>
            <w:r>
              <w:rPr>
                <w:rFonts w:ascii="Times New Roman" w:hAnsi="Times New Roman" w:eastAsia="宋体"/>
                <w:b w:val="0"/>
                <w:sz w:val="18"/>
              </w:rPr>
              <w:t>区分上下行风险并专注于惩罚下行波动，衡量下行风险转化质量（Sortino &amp; Price, 1994）</w:t>
            </w:r>
          </w:p>
        </w:tc>
      </w:tr>
      <w:tr w14:paraId="19DF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6398878">
            <w:pPr>
              <w:spacing w:before="40" w:after="40" w:line="252" w:lineRule="auto"/>
              <w:jc w:val="center"/>
            </w:pPr>
            <w:r>
              <w:rPr>
                <w:rFonts w:ascii="Times New Roman" w:hAnsi="Times New Roman" w:eastAsia="宋体"/>
                <w:b w:val="0"/>
                <w:sz w:val="18"/>
              </w:rPr>
              <w:t>L3 风险应对层</w:t>
            </w:r>
          </w:p>
        </w:tc>
        <w:tc>
          <w:tcPr>
            <w:tcW w:w="1070" w:type="dxa"/>
            <w:tcBorders>
              <w:top w:val="nil"/>
              <w:left w:val="nil"/>
              <w:bottom w:val="nil"/>
              <w:right w:val="nil"/>
            </w:tcBorders>
            <w:shd w:val="clear" w:color="auto" w:fill="auto"/>
          </w:tcPr>
          <w:p w14:paraId="45632F0B">
            <w:pPr>
              <w:spacing w:before="40" w:after="40" w:line="252" w:lineRule="auto"/>
              <w:jc w:val="center"/>
            </w:pPr>
            <w:r>
              <w:rPr>
                <w:rFonts w:ascii="Times New Roman" w:hAnsi="Times New Roman" w:eastAsia="宋体"/>
                <w:b w:val="0"/>
                <w:sz w:val="18"/>
              </w:rPr>
              <w:t>转化效率</w:t>
            </w:r>
          </w:p>
        </w:tc>
        <w:tc>
          <w:tcPr>
            <w:tcW w:w="2360" w:type="dxa"/>
            <w:tcBorders>
              <w:top w:val="nil"/>
              <w:left w:val="nil"/>
              <w:bottom w:val="nil"/>
              <w:right w:val="nil"/>
            </w:tcBorders>
            <w:shd w:val="clear" w:color="auto" w:fill="auto"/>
          </w:tcPr>
          <w:p w14:paraId="6ECCF117">
            <w:pPr>
              <w:spacing w:before="40" w:after="40" w:line="252" w:lineRule="auto"/>
              <w:jc w:val="left"/>
            </w:pPr>
            <w:r>
              <w:rPr>
                <w:rFonts w:ascii="Times New Roman" w:hAnsi="Times New Roman" w:eastAsia="宋体"/>
                <w:b w:val="0"/>
                <w:sz w:val="18"/>
              </w:rPr>
              <w:t>MPPM测度</w:t>
            </w:r>
          </w:p>
        </w:tc>
        <w:tc>
          <w:tcPr>
            <w:tcW w:w="1350" w:type="dxa"/>
            <w:tcBorders>
              <w:top w:val="nil"/>
              <w:left w:val="nil"/>
              <w:bottom w:val="nil"/>
              <w:right w:val="nil"/>
            </w:tcBorders>
            <w:shd w:val="clear" w:color="auto" w:fill="auto"/>
          </w:tcPr>
          <w:p w14:paraId="7CF456FC">
            <w:pPr>
              <w:spacing w:before="40" w:after="40" w:line="252" w:lineRule="auto"/>
              <w:jc w:val="center"/>
            </w:pPr>
            <w:r>
              <w:rPr>
                <w:rFonts w:ascii="Times New Roman" w:hAnsi="Times New Roman" w:eastAsia="宋体"/>
                <w:b w:val="0"/>
                <w:sz w:val="18"/>
              </w:rPr>
              <w:t>显著正向</w:t>
            </w:r>
          </w:p>
        </w:tc>
        <w:tc>
          <w:tcPr>
            <w:tcW w:w="3504" w:type="dxa"/>
            <w:tcBorders>
              <w:top w:val="nil"/>
              <w:left w:val="nil"/>
              <w:bottom w:val="nil"/>
              <w:right w:val="nil"/>
            </w:tcBorders>
            <w:shd w:val="clear" w:color="auto" w:fill="auto"/>
          </w:tcPr>
          <w:p w14:paraId="2C53BEFF">
            <w:pPr>
              <w:spacing w:before="40" w:after="40" w:line="252" w:lineRule="auto"/>
              <w:jc w:val="left"/>
            </w:pPr>
            <w:r>
              <w:rPr>
                <w:rFonts w:ascii="Times New Roman" w:hAnsi="Times New Roman" w:eastAsia="宋体"/>
                <w:b w:val="0"/>
                <w:sz w:val="18"/>
              </w:rPr>
              <w:t>以幂效用严惩大额亏损，能有效穿透动态杠杆与极端尾部风险操纵（Goetzmann et al., 2007）</w:t>
            </w:r>
          </w:p>
        </w:tc>
      </w:tr>
      <w:tr w14:paraId="1FFB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5EDC82FB">
            <w:pPr>
              <w:spacing w:before="40" w:after="40" w:line="252" w:lineRule="auto"/>
              <w:jc w:val="center"/>
            </w:pPr>
            <w:r>
              <w:rPr>
                <w:rFonts w:ascii="Times New Roman" w:hAnsi="Times New Roman" w:eastAsia="宋体"/>
                <w:b w:val="0"/>
                <w:sz w:val="18"/>
              </w:rPr>
              <w:t>L4 交易执行层</w:t>
            </w:r>
          </w:p>
        </w:tc>
        <w:tc>
          <w:tcPr>
            <w:tcW w:w="1070" w:type="dxa"/>
            <w:tcBorders>
              <w:top w:val="nil"/>
              <w:left w:val="nil"/>
              <w:bottom w:val="nil"/>
              <w:right w:val="nil"/>
            </w:tcBorders>
            <w:shd w:val="clear" w:color="auto" w:fill="auto"/>
          </w:tcPr>
          <w:p w14:paraId="11FAD5BF">
            <w:pPr>
              <w:spacing w:before="40" w:after="40" w:line="252" w:lineRule="auto"/>
              <w:jc w:val="center"/>
            </w:pPr>
            <w:r>
              <w:rPr>
                <w:rFonts w:ascii="Times New Roman" w:hAnsi="Times New Roman" w:eastAsia="宋体"/>
                <w:b w:val="0"/>
                <w:sz w:val="18"/>
              </w:rPr>
              <w:t>风格稳定性</w:t>
            </w:r>
          </w:p>
        </w:tc>
        <w:tc>
          <w:tcPr>
            <w:tcW w:w="2360" w:type="dxa"/>
            <w:tcBorders>
              <w:top w:val="nil"/>
              <w:left w:val="nil"/>
              <w:bottom w:val="nil"/>
              <w:right w:val="nil"/>
            </w:tcBorders>
            <w:shd w:val="clear" w:color="auto" w:fill="auto"/>
          </w:tcPr>
          <w:p w14:paraId="2B8A9352">
            <w:pPr>
              <w:spacing w:before="40" w:after="40" w:line="252" w:lineRule="auto"/>
              <w:jc w:val="left"/>
            </w:pPr>
            <w:r>
              <w:rPr>
                <w:rFonts w:ascii="Times New Roman" w:hAnsi="Times New Roman" w:eastAsia="宋体"/>
                <w:b w:val="0"/>
                <w:sz w:val="18"/>
              </w:rPr>
              <w:t>策略偏离指数 SDI</w:t>
            </w:r>
          </w:p>
        </w:tc>
        <w:tc>
          <w:tcPr>
            <w:tcW w:w="1350" w:type="dxa"/>
            <w:tcBorders>
              <w:top w:val="nil"/>
              <w:left w:val="nil"/>
              <w:bottom w:val="nil"/>
              <w:right w:val="nil"/>
            </w:tcBorders>
            <w:shd w:val="clear" w:color="auto" w:fill="auto"/>
          </w:tcPr>
          <w:p w14:paraId="58C58B6B">
            <w:pPr>
              <w:spacing w:before="40" w:after="40" w:line="252" w:lineRule="auto"/>
              <w:jc w:val="center"/>
            </w:pPr>
            <w:r>
              <w:rPr>
                <w:rFonts w:ascii="Times New Roman" w:hAnsi="Times New Roman" w:eastAsia="宋体"/>
                <w:b w:val="0"/>
                <w:sz w:val="18"/>
              </w:rPr>
              <w:t>显著负向</w:t>
            </w:r>
          </w:p>
        </w:tc>
        <w:tc>
          <w:tcPr>
            <w:tcW w:w="3504" w:type="dxa"/>
            <w:tcBorders>
              <w:top w:val="nil"/>
              <w:left w:val="nil"/>
              <w:bottom w:val="nil"/>
              <w:right w:val="nil"/>
            </w:tcBorders>
            <w:shd w:val="clear" w:color="auto" w:fill="auto"/>
          </w:tcPr>
          <w:p w14:paraId="1DB765AF">
            <w:pPr>
              <w:spacing w:before="40" w:after="40" w:line="252" w:lineRule="auto"/>
              <w:jc w:val="left"/>
            </w:pPr>
            <w:r>
              <w:rPr>
                <w:rFonts w:ascii="Times New Roman" w:hAnsi="Times New Roman" w:eastAsia="宋体"/>
                <w:b w:val="0"/>
                <w:sz w:val="18"/>
              </w:rPr>
              <w:t>风格回归隐含权重相邻季度剧烈晃动，净值风格漂移严重损害长期业绩（Wermers, 2012）</w:t>
            </w:r>
          </w:p>
        </w:tc>
      </w:tr>
      <w:tr w14:paraId="744B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54" w:type="dxa"/>
            <w:tcBorders>
              <w:top w:val="nil"/>
              <w:left w:val="nil"/>
              <w:bottom w:val="nil"/>
              <w:right w:val="nil"/>
            </w:tcBorders>
            <w:shd w:val="clear" w:color="auto" w:fill="auto"/>
          </w:tcPr>
          <w:p w14:paraId="4E2B5D14">
            <w:pPr>
              <w:spacing w:before="40" w:after="40" w:line="252" w:lineRule="auto"/>
              <w:jc w:val="center"/>
            </w:pPr>
            <w:r>
              <w:rPr>
                <w:rFonts w:ascii="Times New Roman" w:hAnsi="Times New Roman" w:eastAsia="宋体"/>
                <w:b w:val="0"/>
                <w:sz w:val="18"/>
              </w:rPr>
              <w:t>L4 交易执行层</w:t>
            </w:r>
          </w:p>
        </w:tc>
        <w:tc>
          <w:tcPr>
            <w:tcW w:w="1070" w:type="dxa"/>
            <w:tcBorders>
              <w:top w:val="nil"/>
              <w:left w:val="nil"/>
              <w:bottom w:val="nil"/>
              <w:right w:val="nil"/>
            </w:tcBorders>
            <w:shd w:val="clear" w:color="auto" w:fill="auto"/>
          </w:tcPr>
          <w:p w14:paraId="6CECFC7E">
            <w:pPr>
              <w:spacing w:before="40" w:after="40" w:line="252" w:lineRule="auto"/>
              <w:jc w:val="center"/>
            </w:pPr>
            <w:r>
              <w:rPr>
                <w:rFonts w:ascii="Times New Roman" w:hAnsi="Times New Roman" w:eastAsia="宋体"/>
                <w:b w:val="0"/>
                <w:sz w:val="18"/>
              </w:rPr>
              <w:t>交易互动</w:t>
            </w:r>
          </w:p>
        </w:tc>
        <w:tc>
          <w:tcPr>
            <w:tcW w:w="2360" w:type="dxa"/>
            <w:tcBorders>
              <w:top w:val="nil"/>
              <w:left w:val="nil"/>
              <w:bottom w:val="nil"/>
              <w:right w:val="nil"/>
            </w:tcBorders>
            <w:shd w:val="clear" w:color="auto" w:fill="auto"/>
          </w:tcPr>
          <w:p w14:paraId="7F699040">
            <w:pPr>
              <w:spacing w:before="40" w:after="40" w:line="252" w:lineRule="auto"/>
              <w:jc w:val="left"/>
            </w:pPr>
            <w:r>
              <w:rPr>
                <w:rFonts w:ascii="Times New Roman" w:hAnsi="Times New Roman" w:eastAsia="宋体"/>
                <w:b w:val="0"/>
                <w:sz w:val="18"/>
              </w:rPr>
              <w:t>交易趋同度 LSV</w:t>
            </w:r>
          </w:p>
        </w:tc>
        <w:tc>
          <w:tcPr>
            <w:tcW w:w="1350" w:type="dxa"/>
            <w:tcBorders>
              <w:top w:val="nil"/>
              <w:left w:val="nil"/>
              <w:bottom w:val="nil"/>
              <w:right w:val="nil"/>
            </w:tcBorders>
            <w:shd w:val="clear" w:color="auto" w:fill="auto"/>
          </w:tcPr>
          <w:p w14:paraId="76AE8EE6">
            <w:pPr>
              <w:spacing w:before="40" w:after="40" w:line="252" w:lineRule="auto"/>
              <w:jc w:val="center"/>
            </w:pPr>
            <w:r>
              <w:rPr>
                <w:rFonts w:ascii="Times New Roman" w:hAnsi="Times New Roman" w:eastAsia="宋体"/>
                <w:b w:val="0"/>
                <w:sz w:val="18"/>
              </w:rPr>
              <w:t>负向（实证为正）</w:t>
            </w:r>
          </w:p>
        </w:tc>
        <w:tc>
          <w:tcPr>
            <w:tcW w:w="3504" w:type="dxa"/>
            <w:tcBorders>
              <w:top w:val="nil"/>
              <w:left w:val="nil"/>
              <w:bottom w:val="nil"/>
              <w:right w:val="nil"/>
            </w:tcBorders>
            <w:shd w:val="clear" w:color="auto" w:fill="auto"/>
          </w:tcPr>
          <w:p w14:paraId="6389598B">
            <w:pPr>
              <w:spacing w:before="40" w:after="40" w:line="252" w:lineRule="auto"/>
              <w:jc w:val="left"/>
            </w:pPr>
            <w:r>
              <w:rPr>
                <w:rFonts w:ascii="Times New Roman" w:hAnsi="Times New Roman" w:eastAsia="宋体"/>
                <w:b w:val="0"/>
                <w:sz w:val="18"/>
              </w:rPr>
              <w:t>经典理论认为羊群抱团损害定价效率；实证在 A 股机构共识驱动下展现出显著信息与流动性溢价</w:t>
            </w:r>
          </w:p>
        </w:tc>
      </w:tr>
      <w:tr w14:paraId="7394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354" w:type="dxa"/>
            <w:tcBorders>
              <w:top w:val="nil"/>
              <w:left w:val="nil"/>
              <w:bottom w:val="single" w:color="000000" w:sz="12" w:space="0"/>
              <w:right w:val="nil"/>
            </w:tcBorders>
            <w:shd w:val="clear" w:color="auto" w:fill="auto"/>
          </w:tcPr>
          <w:p w14:paraId="7C3818B4">
            <w:pPr>
              <w:spacing w:before="40" w:after="40" w:line="252" w:lineRule="auto"/>
              <w:jc w:val="center"/>
            </w:pPr>
            <w:r>
              <w:rPr>
                <w:rFonts w:ascii="Times New Roman" w:hAnsi="Times New Roman" w:eastAsia="宋体"/>
                <w:b w:val="0"/>
                <w:sz w:val="18"/>
              </w:rPr>
              <w:t>L4 交易执行层</w:t>
            </w:r>
          </w:p>
        </w:tc>
        <w:tc>
          <w:tcPr>
            <w:tcW w:w="1070" w:type="dxa"/>
            <w:tcBorders>
              <w:top w:val="nil"/>
              <w:left w:val="nil"/>
              <w:bottom w:val="single" w:color="000000" w:sz="12" w:space="0"/>
              <w:right w:val="nil"/>
            </w:tcBorders>
            <w:shd w:val="clear" w:color="auto" w:fill="auto"/>
          </w:tcPr>
          <w:p w14:paraId="335B9A16">
            <w:pPr>
              <w:spacing w:before="40" w:after="40" w:line="252" w:lineRule="auto"/>
              <w:jc w:val="center"/>
            </w:pPr>
            <w:r>
              <w:rPr>
                <w:rFonts w:ascii="Times New Roman" w:hAnsi="Times New Roman" w:eastAsia="宋体"/>
                <w:b w:val="0"/>
                <w:sz w:val="18"/>
              </w:rPr>
              <w:t>交易执行</w:t>
            </w:r>
          </w:p>
        </w:tc>
        <w:tc>
          <w:tcPr>
            <w:tcW w:w="2360" w:type="dxa"/>
            <w:tcBorders>
              <w:top w:val="nil"/>
              <w:left w:val="nil"/>
              <w:bottom w:val="single" w:color="000000" w:sz="12" w:space="0"/>
              <w:right w:val="nil"/>
            </w:tcBorders>
            <w:shd w:val="clear" w:color="auto" w:fill="auto"/>
          </w:tcPr>
          <w:p w14:paraId="0425B883">
            <w:pPr>
              <w:spacing w:before="40" w:after="40" w:line="252" w:lineRule="auto"/>
              <w:jc w:val="left"/>
            </w:pPr>
            <w:r>
              <w:rPr>
                <w:rFonts w:ascii="Times New Roman" w:hAnsi="Times New Roman" w:eastAsia="宋体"/>
                <w:b w:val="0"/>
                <w:sz w:val="18"/>
              </w:rPr>
              <w:t>换手率 turnover</w:t>
            </w:r>
          </w:p>
        </w:tc>
        <w:tc>
          <w:tcPr>
            <w:tcW w:w="1350" w:type="dxa"/>
            <w:tcBorders>
              <w:top w:val="nil"/>
              <w:left w:val="nil"/>
              <w:bottom w:val="single" w:color="000000" w:sz="12" w:space="0"/>
              <w:right w:val="nil"/>
            </w:tcBorders>
            <w:shd w:val="clear" w:color="auto" w:fill="auto"/>
          </w:tcPr>
          <w:p w14:paraId="2FF930A3">
            <w:pPr>
              <w:spacing w:before="40" w:after="40" w:line="252" w:lineRule="auto"/>
              <w:jc w:val="center"/>
            </w:pPr>
            <w:r>
              <w:rPr>
                <w:rFonts w:ascii="Times New Roman" w:hAnsi="Times New Roman" w:eastAsia="宋体"/>
                <w:b w:val="0"/>
                <w:sz w:val="18"/>
              </w:rPr>
              <w:t>负向</w:t>
            </w:r>
          </w:p>
        </w:tc>
        <w:tc>
          <w:tcPr>
            <w:tcW w:w="3504" w:type="dxa"/>
            <w:tcBorders>
              <w:top w:val="nil"/>
              <w:left w:val="nil"/>
              <w:bottom w:val="single" w:color="000000" w:sz="12" w:space="0"/>
              <w:right w:val="nil"/>
            </w:tcBorders>
            <w:shd w:val="clear" w:color="auto" w:fill="auto"/>
          </w:tcPr>
          <w:p w14:paraId="487EF56D">
            <w:pPr>
              <w:spacing w:before="40" w:after="40" w:line="252" w:lineRule="auto"/>
              <w:jc w:val="left"/>
            </w:pPr>
            <w:r>
              <w:rPr>
                <w:rFonts w:ascii="Times New Roman" w:hAnsi="Times New Roman" w:eastAsia="宋体"/>
                <w:b w:val="0"/>
                <w:sz w:val="18"/>
              </w:rPr>
              <w:t>过高换手率增加佣金税费与冲击成本，过度投机损耗组合长期收益</w:t>
            </w:r>
          </w:p>
        </w:tc>
      </w:tr>
    </w:tbl>
    <w:p w14:paraId="62138A77">
      <w:pPr>
        <w:spacing w:before="0" w:after="0" w:line="360" w:lineRule="auto"/>
        <w:ind w:firstLine="480"/>
        <w:rPr>
          <w:rFonts w:hint="eastAsia" w:eastAsia="宋体"/>
          <w:color w:val="auto"/>
          <w:highlight w:val="yellow"/>
          <w:lang w:eastAsia="zh-CN"/>
        </w:rPr>
      </w:pPr>
    </w:p>
    <w:p w14:paraId="18DC5253">
      <w:pPr>
        <w:spacing w:after="80" w:line="360" w:lineRule="auto"/>
        <w:ind w:firstLine="480"/>
        <w:rPr>
          <w:rFonts w:hint="eastAsia" w:eastAsia="宋体"/>
          <w:sz w:val="24"/>
          <w:szCs w:val="28"/>
          <w:highlight w:val="yellow"/>
          <w:lang w:eastAsia="zh-CN"/>
        </w:rPr>
      </w:pPr>
      <w:r>
        <w:rPr>
          <w:rFonts w:hint="eastAsia"/>
          <w:sz w:val="24"/>
          <w:szCs w:val="28"/>
          <w:highlight w:val="yellow"/>
          <w:lang w:eastAsia="zh-CN"/>
        </w:rPr>
        <w:t>【</w:t>
      </w:r>
      <w:r>
        <w:rPr>
          <w:rFonts w:hint="eastAsia"/>
          <w:sz w:val="24"/>
          <w:szCs w:val="28"/>
          <w:highlight w:val="yellow"/>
          <w:lang w:val="en-US" w:eastAsia="zh-CN"/>
        </w:rPr>
        <w:t>增加：描述性统计</w:t>
      </w:r>
      <w:r>
        <w:rPr>
          <w:rFonts w:hint="eastAsia"/>
          <w:sz w:val="24"/>
          <w:szCs w:val="28"/>
          <w:highlight w:val="yellow"/>
          <w:lang w:eastAsia="zh-CN"/>
        </w:rPr>
        <w:t>】</w:t>
      </w:r>
    </w:p>
    <w:p w14:paraId="7FF7CD6B">
      <w:pPr>
        <w:spacing w:after="80" w:line="360" w:lineRule="auto"/>
        <w:ind w:firstLine="480"/>
        <w:rPr>
          <w:color w:val="auto"/>
          <w:sz w:val="24"/>
          <w:szCs w:val="28"/>
          <w:highlight w:val="none"/>
        </w:rPr>
      </w:pPr>
      <w:r>
        <w:rPr>
          <w:sz w:val="24"/>
          <w:szCs w:val="28"/>
        </w:rP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年以来覆盖完整牛熊周期，2015年后有效基金数稳步扩张（2006–2014年存续基金不足10只、2006–2010年每年仅1只，仅供长历史参照，主横截面不依赖早期稀疏年份）；存续期不少于 11 个季度（近三年）的 362 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先用最朴素的单变量回归：基金层面横截面看“行为越好、业绩越高”是否成立。模型方程为：</w:t>
      </w:r>
    </w:p>
    <w:p w14:paraId="09A4525F">
      <w:pPr>
        <w:spacing w:before="120" w:after="160"/>
        <w:ind w:firstLine="0"/>
        <w:jc w:val="center"/>
        <m:rPr/>
        <w:rPr>
          <w:b w:val="0"/>
          <w:i w:val="0"/>
        </w:rP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3AA6D853">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47C38ED2">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0D84BC2">
      <w:pPr>
        <w:spacing w:before="120" w:after="160"/>
        <w:ind w:firstLine="0"/>
        <w:jc w:val="center"/>
        <m:rPr/>
        <w:rPr>
          <w:b w:val="0"/>
          <w:i w:val="0"/>
        </w:rP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k</m:t>
              </m:r>
              <m:r>
                <m:rPr>
                  <m:sty m:val="p"/>
                </m:rPr>
                <m:t xml:space="preserve"> = 1</m:t>
              </m:r>
            </m:sub>
            <m:sup>
              <m:r>
                <m:rPr/>
                <m:t>K</m:t>
              </m:r>
            </m:sup>
            <m:e>
              <m:sSub>
                <m:sSubPr/>
                <m:e>
                  <m:r>
                    <m:rPr/>
                    <m:t>β</m:t>
                  </m:r>
                </m:e>
                <m:sub>
                  <m:r>
                    <m:rPr/>
                    <m:t>k</m:t>
                  </m:r>
                </m:sub>
              </m:sSub>
              <m:r>
                <m:rPr>
                  <m:sty m:val="p"/>
                </m:rPr>
                <m:t xml:space="preserve"> · </m:t>
              </m:r>
              <m:sSub>
                <m:sSubPr/>
                <m:e>
                  <m:r>
                    <m:rPr/>
                    <m:t>X</m:t>
                  </m:r>
                </m:e>
                <m:sub>
                  <m:r>
                    <m:rPr/>
                    <m:t>k,i</m:t>
                  </m:r>
                </m:sub>
              </m:sSub>
            </m:e>
          </m:nary>
          <m:r>
            <m:rPr>
              <m:sty m:val="p"/>
            </m:rPr>
            <m:t xml:space="preserve"> + </m:t>
          </m:r>
          <m:sSub>
            <m:sSubPr/>
            <m:e>
              <m:r>
                <m:rPr/>
                <m:t>u</m:t>
              </m:r>
            </m:e>
            <m:sub>
              <m:r>
                <m:rPr/>
                <m:t>i</m:t>
              </m:r>
            </m:sub>
          </m:sSub>
        </m:oMath>
      </m:oMathPara>
    </w:p>
    <w:p w14:paraId="34FBB6E5">
      <w:pPr>
        <w:spacing w:after="80" w:line="324" w:lineRule="auto"/>
        <w:ind w:firstLine="480"/>
        <w:rPr>
          <w:rFonts w:hint="eastAsia" w:ascii="Times New Roman" w:hAnsi="Times New Roman" w:eastAsia="宋体"/>
          <w:b w:val="0"/>
          <w:i w:val="0"/>
          <w:sz w:val="24"/>
          <w:highlight w:val="yellow"/>
          <w:lang w:eastAsia="zh-CN"/>
        </w:rPr>
      </w:pPr>
      <w:r>
        <w:rPr>
          <w:rFonts w:hint="eastAsia"/>
          <w:b w:val="0"/>
          <w:i w:val="0"/>
          <w:sz w:val="24"/>
          <w:highlight w:val="yellow"/>
          <w:lang w:eastAsia="zh-CN"/>
        </w:rPr>
        <w:t>【</w:t>
      </w:r>
      <w:r>
        <w:rPr>
          <w:rFonts w:hint="eastAsia"/>
          <w:b w:val="0"/>
          <w:i w:val="0"/>
          <w:sz w:val="24"/>
          <w:highlight w:val="yellow"/>
          <w:lang w:val="en-US" w:eastAsia="zh-CN"/>
        </w:rPr>
        <w:t>25个单变量回归，对角线表在附表</w:t>
      </w:r>
      <w:r>
        <w:rPr>
          <w:rFonts w:hint="eastAsia"/>
          <w:b w:val="0"/>
          <w:i w:val="0"/>
          <w:sz w:val="24"/>
          <w:highlight w:val="yellow"/>
          <w:lang w:eastAsia="zh-CN"/>
        </w:rPr>
        <w:t>】</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color="auto" w:fill="auto"/>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60" w:lineRule="auto"/>
        <w:ind w:firstLine="480"/>
        <w:rPr>
          <w:sz w:val="24"/>
          <w:szCs w:val="28"/>
        </w:rPr>
      </w:pPr>
      <w:r>
        <w:rPr>
          <w:rFonts w:ascii="Times New Roman" w:hAnsi="Times New Roman" w:eastAsia="宋体"/>
          <w:b w:val="0"/>
          <w:sz w:val="24"/>
          <w:szCs w:val="28"/>
        </w:rPr>
        <w:t>在全部 25 个候选指标中，12 个核心行为指标单变量高度显著且符合理论机制预期（见表 4 及附表 2 单变量回归矩阵对角线）：集中押注（ICI）、盈利进攻（risk_asym）、报表外调仓（ARG）、跌市防守（timing）、三项转化比率（Sharpe、Sortino、MPPM）及锚定效应（anchor_high，β=+0.09***）显著为正，其中高位持仓反映持仓贴近前期高点的右侧动量追随效应；处置效应（de）、过度自信（oc_conf）、风格漂移（ISDI）与策略偏离（SDI）显著为负。基本面特征均为负向，与规模不经济物理约束一致；个人背景标签无独立解释力。联立全模型 R² 跃升至 0.7141，ARG、timing、MPPM 与 ICI 净效应稳固，印证多维行为协同价值。</w:t>
      </w:r>
    </w:p>
    <w:p w14:paraId="1A0F08A7">
      <w:pPr>
        <w:keepNext/>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tcBorders>
              <w:top w:val="single" w:color="000000" w:sz="12" w:space="0"/>
              <w:left w:val="nil"/>
              <w:bottom w:val="single" w:color="000000" w:sz="4" w:space="0"/>
              <w:right w:val="nil"/>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il"/>
              <w:bottom w:val="single" w:color="000000" w:sz="4" w:space="0"/>
              <w:right w:val="nil"/>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il"/>
              <w:bottom w:val="single" w:color="000000" w:sz="4" w:space="0"/>
              <w:right w:val="nil"/>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il"/>
              <w:bottom w:val="nil"/>
              <w:right w:val="nil"/>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il"/>
              <w:bottom w:val="nil"/>
              <w:right w:val="nil"/>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il"/>
              <w:bottom w:val="nil"/>
              <w:right w:val="nil"/>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il"/>
              <w:bottom w:val="nil"/>
              <w:right w:val="nil"/>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il"/>
              <w:left w:val="nil"/>
              <w:bottom w:val="nil"/>
              <w:right w:val="nil"/>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il"/>
              <w:left w:val="nil"/>
              <w:bottom w:val="nil"/>
              <w:right w:val="nil"/>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il"/>
              <w:left w:val="nil"/>
              <w:bottom w:val="nil"/>
              <w:right w:val="nil"/>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il"/>
              <w:left w:val="nil"/>
              <w:bottom w:val="nil"/>
              <w:right w:val="nil"/>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il"/>
              <w:left w:val="nil"/>
              <w:bottom w:val="nil"/>
              <w:right w:val="nil"/>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il"/>
              <w:left w:val="nil"/>
              <w:bottom w:val="nil"/>
              <w:right w:val="nil"/>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il"/>
              <w:left w:val="nil"/>
              <w:bottom w:val="nil"/>
              <w:right w:val="nil"/>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il"/>
              <w:left w:val="nil"/>
              <w:bottom w:val="nil"/>
              <w:right w:val="nil"/>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il"/>
              <w:left w:val="nil"/>
              <w:bottom w:val="nil"/>
              <w:right w:val="nil"/>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il"/>
              <w:left w:val="nil"/>
              <w:bottom w:val="nil"/>
              <w:right w:val="nil"/>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il"/>
              <w:left w:val="nil"/>
              <w:bottom w:val="nil"/>
              <w:right w:val="nil"/>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11B9320">
            <w:pPr>
              <w:spacing w:before="40" w:after="40" w:line="252" w:lineRule="auto"/>
              <w:jc w:val="center"/>
            </w:pPr>
            <w:r>
              <w:rPr>
                <w:rFonts w:ascii="Times New Roman" w:hAnsi="Times New Roman" w:eastAsia="宋体"/>
                <w:b w:val="0"/>
                <w:sz w:val="18"/>
              </w:rPr>
              <w:t>L2 认知偏差层</w:t>
            </w:r>
          </w:p>
        </w:tc>
        <w:tc>
          <w:tcPr>
            <w:tcW w:w="1792" w:type="dxa"/>
            <w:tcBorders>
              <w:top w:val="nil"/>
              <w:left w:val="nil"/>
              <w:bottom w:val="nil"/>
              <w:right w:val="nil"/>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il"/>
              <w:left w:val="nil"/>
              <w:bottom w:val="nil"/>
              <w:right w:val="nil"/>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il"/>
              <w:left w:val="nil"/>
              <w:bottom w:val="nil"/>
              <w:right w:val="nil"/>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il"/>
              <w:left w:val="nil"/>
              <w:bottom w:val="nil"/>
              <w:right w:val="nil"/>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il"/>
              <w:left w:val="nil"/>
              <w:bottom w:val="nil"/>
              <w:right w:val="nil"/>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il"/>
              <w:left w:val="nil"/>
              <w:bottom w:val="nil"/>
              <w:right w:val="nil"/>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il"/>
              <w:left w:val="nil"/>
              <w:bottom w:val="nil"/>
              <w:right w:val="nil"/>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il"/>
              <w:left w:val="nil"/>
              <w:bottom w:val="nil"/>
              <w:right w:val="nil"/>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il"/>
              <w:left w:val="nil"/>
              <w:bottom w:val="nil"/>
              <w:right w:val="nil"/>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il"/>
              <w:left w:val="nil"/>
              <w:bottom w:val="nil"/>
              <w:right w:val="nil"/>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6589339C">
            <w:pPr>
              <w:spacing w:before="40" w:after="40" w:line="252" w:lineRule="auto"/>
              <w:jc w:val="center"/>
            </w:pPr>
            <w:r>
              <w:rPr>
                <w:rFonts w:ascii="Times New Roman" w:hAnsi="Times New Roman" w:eastAsia="宋体"/>
                <w:b w:val="0"/>
                <w:sz w:val="18"/>
              </w:rPr>
              <w:t>锚定效应anchor_high</w:t>
            </w:r>
          </w:p>
        </w:tc>
        <w:tc>
          <w:tcPr>
            <w:tcW w:w="1792" w:type="dxa"/>
            <w:tcBorders>
              <w:top w:val="nil"/>
              <w:left w:val="nil"/>
              <w:bottom w:val="nil"/>
              <w:right w:val="nil"/>
            </w:tcBorders>
            <w:shd w:val="clear" w:color="auto" w:fill="auto"/>
            <w:vAlign w:val="center"/>
          </w:tcPr>
          <w:p w14:paraId="0B4E0154">
            <w:pPr>
              <w:spacing w:before="40" w:after="40" w:line="252" w:lineRule="auto"/>
              <w:jc w:val="center"/>
            </w:pPr>
            <w:r>
              <w:rPr>
                <w:rFonts w:ascii="Times New Roman" w:hAnsi="Times New Roman" w:eastAsia="宋体"/>
                <w:b w:val="0"/>
                <w:sz w:val="18"/>
              </w:rPr>
              <w:t>t=+3.28***</w:t>
            </w:r>
          </w:p>
        </w:tc>
        <w:tc>
          <w:tcPr>
            <w:tcW w:w="1792" w:type="dxa"/>
            <w:tcBorders>
              <w:top w:val="nil"/>
              <w:left w:val="nil"/>
              <w:bottom w:val="nil"/>
              <w:right w:val="nil"/>
            </w:tcBorders>
            <w:shd w:val="clear" w:color="auto" w:fill="auto"/>
            <w:vAlign w:val="center"/>
          </w:tcPr>
          <w:p w14:paraId="48FF1C78">
            <w:pPr>
              <w:spacing w:before="40" w:after="40" w:line="252" w:lineRule="auto"/>
              <w:jc w:val="center"/>
            </w:pPr>
            <w:r>
              <w:rPr>
                <w:rFonts w:ascii="Times New Roman" w:hAnsi="Times New Roman" w:eastAsia="宋体"/>
                <w:b w:val="0"/>
                <w:sz w:val="18"/>
              </w:rPr>
              <w:t>t=+17.60***</w:t>
            </w:r>
          </w:p>
        </w:tc>
        <w:tc>
          <w:tcPr>
            <w:tcW w:w="1792" w:type="dxa"/>
            <w:tcBorders>
              <w:top w:val="nil"/>
              <w:left w:val="nil"/>
              <w:bottom w:val="nil"/>
              <w:right w:val="nil"/>
            </w:tcBorders>
            <w:shd w:val="clear" w:color="auto" w:fill="auto"/>
            <w:vAlign w:val="center"/>
          </w:tcPr>
          <w:p w14:paraId="35B93DE6">
            <w:pPr>
              <w:spacing w:before="40" w:after="40" w:line="252" w:lineRule="auto"/>
              <w:jc w:val="center"/>
            </w:pPr>
            <w:r>
              <w:rPr>
                <w:rFonts w:ascii="Times New Roman" w:hAnsi="Times New Roman" w:eastAsia="宋体"/>
                <w:b w:val="0"/>
                <w:sz w:val="18"/>
              </w:rPr>
              <w:t>高位持仓具动量效应</w:t>
            </w: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il"/>
              <w:left w:val="nil"/>
              <w:bottom w:val="nil"/>
              <w:right w:val="nil"/>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il"/>
              <w:left w:val="nil"/>
              <w:bottom w:val="nil"/>
              <w:right w:val="nil"/>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il"/>
              <w:left w:val="nil"/>
              <w:bottom w:val="nil"/>
              <w:right w:val="nil"/>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il"/>
              <w:left w:val="nil"/>
              <w:bottom w:val="nil"/>
              <w:right w:val="nil"/>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il"/>
              <w:left w:val="nil"/>
              <w:bottom w:val="nil"/>
              <w:right w:val="nil"/>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il"/>
              <w:left w:val="nil"/>
              <w:bottom w:val="nil"/>
              <w:right w:val="nil"/>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il"/>
              <w:left w:val="nil"/>
              <w:bottom w:val="nil"/>
              <w:right w:val="nil"/>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il"/>
              <w:left w:val="nil"/>
              <w:bottom w:val="nil"/>
              <w:right w:val="nil"/>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il"/>
              <w:left w:val="nil"/>
              <w:bottom w:val="nil"/>
              <w:right w:val="nil"/>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il"/>
              <w:left w:val="nil"/>
              <w:bottom w:val="nil"/>
              <w:right w:val="nil"/>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il"/>
              <w:left w:val="nil"/>
              <w:bottom w:val="nil"/>
              <w:right w:val="nil"/>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il"/>
              <w:left w:val="nil"/>
              <w:bottom w:val="nil"/>
              <w:right w:val="nil"/>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il"/>
              <w:left w:val="nil"/>
              <w:bottom w:val="nil"/>
              <w:right w:val="nil"/>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il"/>
              <w:left w:val="nil"/>
              <w:bottom w:val="nil"/>
              <w:right w:val="nil"/>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il"/>
              <w:left w:val="nil"/>
              <w:bottom w:val="nil"/>
              <w:right w:val="nil"/>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il"/>
              <w:left w:val="nil"/>
              <w:bottom w:val="nil"/>
              <w:right w:val="nil"/>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single" w:color="000000" w:sz="12" w:space="0"/>
              <w:right w:val="nil"/>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il"/>
              <w:left w:val="nil"/>
              <w:bottom w:val="nil"/>
              <w:right w:val="nil"/>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il"/>
              <w:left w:val="nil"/>
              <w:bottom w:val="nil"/>
              <w:right w:val="nil"/>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il"/>
              <w:left w:val="nil"/>
              <w:bottom w:val="nil"/>
              <w:right w:val="nil"/>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il"/>
              <w:left w:val="nil"/>
              <w:bottom w:val="nil"/>
              <w:right w:val="nil"/>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il"/>
              <w:left w:val="nil"/>
              <w:bottom w:val="single" w:color="000000" w:sz="12" w:space="0"/>
              <w:right w:val="nil"/>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il"/>
              <w:left w:val="nil"/>
              <w:bottom w:val="single" w:color="000000" w:sz="12" w:space="0"/>
              <w:right w:val="nil"/>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il"/>
              <w:left w:val="nil"/>
              <w:bottom w:val="single" w:color="000000" w:sz="12" w:space="0"/>
              <w:right w:val="nil"/>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il"/>
              <w:left w:val="nil"/>
              <w:bottom w:val="single" w:color="000000" w:sz="12" w:space="0"/>
              <w:right w:val="nil"/>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sz w:val="21"/>
        </w:rPr>
        <w:t>切换因变量揭示两类信息（见附表 1）：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w:t>
      </w:r>
      <w:bookmarkStart w:id="0" w:name="_GoBack"/>
      <w:bookmarkEnd w:id="0"/>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rPr>
          <w:sz w:val="24"/>
          <w:szCs w:val="28"/>
        </w:rPr>
      </w:pPr>
      <w:r>
        <w:rPr>
          <w:sz w:val="24"/>
          <w:szCs w:val="28"/>
        </w:rPr>
        <w:t>其中 sj 为定向符号（取自表 2 理论与表 5 实证方向），z(·) 为横截面标准化，nd为维度内有值成分数——缺失不填 0，“算不出 Sortino”的基金不会被数据可得性压低；维度内等权避免单成分主导，六维等权复合为综合能力分；风险应对拆为过程与转化两维，实得 2/6≈1/3 权重。锚定效应（anchor_high）按实证显著正向关系赋予正向权重并入认知维度，体现持仓贴近高点的动量延续效应与突破买入能力（George &amp; Hwang, 2004）。</w:t>
      </w:r>
    </w:p>
    <w:p w14:paraId="5757CD1A">
      <w:pPr>
        <w:spacing w:after="80" w:line="324" w:lineRule="auto"/>
        <w:ind w:firstLine="480"/>
        <w:rPr>
          <w:sz w:val="24"/>
          <w:szCs w:val="28"/>
        </w:rPr>
      </w:pPr>
      <w:r>
        <w:rPr>
          <w:sz w:val="24"/>
          <w:szCs w:val="28"/>
        </w:rP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039F50E3">
      <w:pPr>
        <w:keepNext/>
        <w:spacing w:before="60" w:after="20"/>
        <w:ind w:left="0" w:right="0" w:firstLine="0"/>
        <w:jc w:val="left"/>
        <w:rPr>
          <w:rFonts w:ascii="Times New Roman" w:hAnsi="Times New Roman" w:eastAsia="宋体"/>
          <w:b w:val="0"/>
          <w:i w:val="0"/>
          <w:sz w:val="24"/>
        </w:rPr>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172A52B">
      <w:pPr>
        <w:keepNext/>
        <w:spacing w:before="160" w:after="40"/>
        <w:ind w:left="0" w:right="0" w:firstLine="0"/>
        <w:jc w:val="center"/>
      </w:pPr>
      <w:r>
        <w:rPr>
          <w:rFonts w:ascii="Times New Roman" w:hAnsi="Times New Roman" w:eastAsia="黑体"/>
          <w:b/>
          <w:i w:val="0"/>
          <w:sz w:val="20"/>
          <w:szCs w:val="24"/>
        </w:rPr>
        <w:t>图 1  六个能力维度的两两相关系数热力图</w:t>
      </w:r>
    </w:p>
    <w:p w14:paraId="4CB1E58B">
      <w:pPr>
        <w:spacing w:before="40" w:after="160"/>
        <w:ind w:left="0" w:right="0" w:firstLine="0"/>
        <w:jc w:val="center"/>
      </w:pPr>
      <w:r>
        <w:drawing>
          <wp:inline distT="0" distB="0" distL="114300" distR="114300">
            <wp:extent cx="405638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r="14690"/>
                    <a:stretch>
                      <a:fillRect/>
                    </a:stretch>
                  </pic:blipFill>
                  <pic:spPr>
                    <a:xfrm>
                      <a:off x="0" y="0"/>
                      <a:ext cx="4056380" cy="3029079"/>
                    </a:xfrm>
                    <a:prstGeom prst="rect">
                      <a:avLst/>
                    </a:prstGeom>
                  </pic:spPr>
                </pic:pic>
              </a:graphicData>
            </a:graphic>
          </wp:inline>
        </w:drawing>
      </w:r>
    </w:p>
    <w:p w14:paraId="24C9DF09">
      <w:pPr>
        <w:keepNext/>
        <w:spacing w:before="60" w:after="20" w:line="312" w:lineRule="auto"/>
        <w:jc w:val="center"/>
      </w:pPr>
      <w:r>
        <w:rPr>
          <w:rFonts w:ascii="Times New Roman" w:hAnsi="Times New Roman" w:eastAsia="黑体"/>
          <w:b/>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single" w:color="000000" w:sz="4" w:space="0"/>
              <w:left w:val="nil"/>
              <w:bottom w:val="nil"/>
              <w:right w:val="nil"/>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il"/>
              <w:left w:val="nil"/>
              <w:bottom w:val="nil"/>
              <w:right w:val="nil"/>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il"/>
              <w:left w:val="nil"/>
              <w:bottom w:val="nil"/>
              <w:right w:val="nil"/>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il"/>
              <w:left w:val="nil"/>
              <w:bottom w:val="nil"/>
              <w:right w:val="nil"/>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il"/>
              <w:left w:val="nil"/>
              <w:bottom w:val="nil"/>
              <w:right w:val="nil"/>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il"/>
              <w:left w:val="nil"/>
              <w:bottom w:val="nil"/>
              <w:right w:val="nil"/>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il"/>
              <w:left w:val="nil"/>
              <w:bottom w:val="nil"/>
              <w:right w:val="nil"/>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il"/>
              <w:left w:val="nil"/>
              <w:bottom w:val="nil"/>
              <w:right w:val="nil"/>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il"/>
              <w:left w:val="nil"/>
              <w:bottom w:val="nil"/>
              <w:right w:val="nil"/>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il"/>
              <w:left w:val="nil"/>
              <w:bottom w:val="nil"/>
              <w:right w:val="nil"/>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il"/>
              <w:left w:val="nil"/>
              <w:bottom w:val="nil"/>
              <w:right w:val="nil"/>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il"/>
              <w:left w:val="nil"/>
              <w:bottom w:val="nil"/>
              <w:right w:val="nil"/>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il"/>
              <w:left w:val="nil"/>
              <w:bottom w:val="nil"/>
              <w:right w:val="nil"/>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il"/>
              <w:left w:val="nil"/>
              <w:bottom w:val="nil"/>
              <w:right w:val="nil"/>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il"/>
              <w:left w:val="nil"/>
              <w:bottom w:val="nil"/>
              <w:right w:val="nil"/>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il"/>
              <w:left w:val="nil"/>
              <w:bottom w:val="nil"/>
              <w:right w:val="nil"/>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il"/>
              <w:left w:val="nil"/>
              <w:bottom w:val="nil"/>
              <w:right w:val="nil"/>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il"/>
              <w:left w:val="nil"/>
              <w:bottom w:val="nil"/>
              <w:right w:val="nil"/>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il"/>
              <w:left w:val="nil"/>
              <w:bottom w:val="nil"/>
              <w:right w:val="nil"/>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il"/>
              <w:left w:val="nil"/>
              <w:bottom w:val="nil"/>
              <w:right w:val="nil"/>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il"/>
              <w:left w:val="nil"/>
              <w:bottom w:val="nil"/>
              <w:right w:val="nil"/>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30CF4D7F">
            <w:pPr>
              <w:spacing w:before="40" w:after="40" w:line="252" w:lineRule="auto"/>
              <w:jc w:val="left"/>
            </w:pPr>
            <w:r>
              <w:rPr>
                <w:rFonts w:ascii="Times New Roman" w:hAnsi="Times New Roman" w:eastAsia="宋体"/>
                <w:b w:val="0"/>
                <w:sz w:val="18"/>
              </w:rPr>
              <w:t>综合能力（单维合成）</w:t>
            </w:r>
          </w:p>
        </w:tc>
        <w:tc>
          <w:tcPr>
            <w:tcW w:w="1606" w:type="dxa"/>
            <w:tcBorders>
              <w:top w:val="nil"/>
              <w:left w:val="nil"/>
              <w:bottom w:val="nil"/>
              <w:right w:val="nil"/>
            </w:tcBorders>
            <w:tcMar>
              <w:top w:w="20" w:type="dxa"/>
              <w:left w:w="45" w:type="dxa"/>
              <w:bottom w:w="20" w:type="dxa"/>
              <w:right w:w="45" w:type="dxa"/>
            </w:tcMar>
            <w:vAlign w:val="center"/>
          </w:tcPr>
          <w:p w14:paraId="26B53D64">
            <w:pPr>
              <w:spacing w:before="40" w:after="40" w:line="252" w:lineRule="auto"/>
              <w:jc w:val="center"/>
            </w:pPr>
            <w:r>
              <w:rPr>
                <w:rFonts w:ascii="Times New Roman" w:hAnsi="Times New Roman" w:eastAsia="宋体"/>
                <w:b w:val="0"/>
                <w:sz w:val="18"/>
              </w:rPr>
              <w:t>0.0450</w:t>
            </w:r>
          </w:p>
        </w:tc>
        <w:tc>
          <w:tcPr>
            <w:tcW w:w="1606" w:type="dxa"/>
            <w:tcBorders>
              <w:top w:val="nil"/>
              <w:left w:val="nil"/>
              <w:bottom w:val="nil"/>
              <w:right w:val="nil"/>
            </w:tcBorders>
            <w:tcMar>
              <w:top w:w="20" w:type="dxa"/>
              <w:left w:w="45" w:type="dxa"/>
              <w:bottom w:w="20" w:type="dxa"/>
              <w:right w:w="45" w:type="dxa"/>
            </w:tcMar>
            <w:vAlign w:val="center"/>
          </w:tcPr>
          <w:p w14:paraId="241D66B9">
            <w:pPr>
              <w:spacing w:before="40" w:after="40" w:line="252" w:lineRule="auto"/>
              <w:jc w:val="center"/>
            </w:pPr>
            <w:r>
              <w:rPr>
                <w:rFonts w:ascii="Times New Roman" w:hAnsi="Times New Roman" w:eastAsia="宋体"/>
                <w:b w:val="0"/>
                <w:sz w:val="18"/>
              </w:rPr>
              <w:t>11.05***</w:t>
            </w:r>
          </w:p>
        </w:tc>
        <w:tc>
          <w:tcPr>
            <w:tcW w:w="1606" w:type="dxa"/>
            <w:tcBorders>
              <w:top w:val="nil"/>
              <w:left w:val="nil"/>
              <w:bottom w:val="nil"/>
              <w:right w:val="nil"/>
            </w:tcBorders>
            <w:tcMar>
              <w:top w:w="20" w:type="dxa"/>
              <w:left w:w="45" w:type="dxa"/>
              <w:bottom w:w="20" w:type="dxa"/>
              <w:right w:w="45" w:type="dxa"/>
            </w:tcMar>
            <w:vAlign w:val="center"/>
          </w:tcPr>
          <w:p w14:paraId="0BF64ADA">
            <w:pPr>
              <w:spacing w:before="40" w:after="40" w:line="252" w:lineRule="auto"/>
              <w:jc w:val="center"/>
            </w:pPr>
            <w:r>
              <w:rPr>
                <w:rFonts w:ascii="Times New Roman" w:hAnsi="Times New Roman" w:eastAsia="宋体"/>
                <w:b w:val="0"/>
                <w:sz w:val="18"/>
              </w:rPr>
              <w:t>0.4011</w:t>
            </w:r>
          </w:p>
        </w:tc>
        <w:tc>
          <w:tcPr>
            <w:tcW w:w="1606" w:type="dxa"/>
            <w:tcBorders>
              <w:top w:val="nil"/>
              <w:left w:val="nil"/>
              <w:bottom w:val="nil"/>
              <w:right w:val="nil"/>
            </w:tcBorders>
            <w:tcMar>
              <w:top w:w="20" w:type="dxa"/>
              <w:left w:w="45" w:type="dxa"/>
              <w:bottom w:w="20" w:type="dxa"/>
              <w:right w:w="45" w:type="dxa"/>
            </w:tcMar>
            <w:vAlign w:val="center"/>
          </w:tcPr>
          <w:p w14:paraId="59F5D10E">
            <w:pPr>
              <w:spacing w:before="40" w:after="40" w:line="252" w:lineRule="auto"/>
              <w:jc w:val="center"/>
            </w:pPr>
            <w:r>
              <w:rPr>
                <w:rFonts w:ascii="Times New Roman" w:hAnsi="Times New Roman" w:eastAsia="宋体"/>
                <w:b w:val="0"/>
                <w:sz w:val="18"/>
              </w:rPr>
              <w:t>—</w:t>
            </w:r>
          </w:p>
        </w:tc>
        <w:tc>
          <w:tcPr>
            <w:tcW w:w="1606" w:type="dxa"/>
            <w:tcBorders>
              <w:top w:val="nil"/>
              <w:left w:val="nil"/>
              <w:bottom w:val="nil"/>
              <w:right w:val="nil"/>
            </w:tcBorders>
            <w:tcMar>
              <w:top w:w="20" w:type="dxa"/>
              <w:left w:w="45" w:type="dxa"/>
              <w:bottom w:w="20" w:type="dxa"/>
              <w:right w:w="45" w:type="dxa"/>
            </w:tcMar>
            <w:vAlign w:val="center"/>
          </w:tcPr>
          <w:p w14:paraId="56BE067F">
            <w:pPr>
              <w:spacing w:before="40" w:after="40" w:line="252" w:lineRule="auto"/>
              <w:jc w:val="center"/>
            </w:pPr>
            <w:r>
              <w:rPr>
                <w:rFonts w:ascii="Times New Roman" w:hAnsi="Times New Roman" w:eastAsia="宋体"/>
                <w:b w:val="0"/>
                <w:sz w:val="18"/>
              </w:rPr>
              <w:t>—</w:t>
            </w:r>
          </w:p>
        </w:tc>
      </w:tr>
      <w:tr w14:paraId="5D99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single" w:color="000000" w:sz="12" w:space="0"/>
              <w:right w:val="nil"/>
            </w:tcBorders>
          </w:tcPr>
          <w:p w14:paraId="4F27E481">
            <w:pPr>
              <w:spacing w:before="40" w:after="40" w:line="252" w:lineRule="auto"/>
              <w:jc w:val="left"/>
            </w:pPr>
            <w:r>
              <w:rPr>
                <w:rFonts w:ascii="Times New Roman" w:hAnsi="Times New Roman" w:eastAsia="宋体"/>
                <w:b/>
                <w:sz w:val="18"/>
              </w:rPr>
              <w:t>六维联立全模型</w:t>
            </w:r>
          </w:p>
        </w:tc>
        <w:tc>
          <w:tcPr>
            <w:tcW w:w="1606" w:type="dxa"/>
            <w:tcBorders>
              <w:top w:val="nil"/>
              <w:left w:val="nil"/>
              <w:bottom w:val="single" w:color="000000" w:sz="12" w:space="0"/>
              <w:right w:val="nil"/>
            </w:tcBorders>
          </w:tcPr>
          <w:p w14:paraId="2060787B">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03F1F45">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AE38877">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0A0F237F">
            <w:pPr>
              <w:spacing w:before="40" w:after="40" w:line="252" w:lineRule="auto"/>
              <w:jc w:val="center"/>
            </w:pPr>
            <w:r>
              <w:rPr>
                <w:rFonts w:ascii="Times New Roman" w:hAnsi="Times New Roman" w:eastAsia="宋体"/>
                <w:b/>
                <w:sz w:val="18"/>
              </w:rPr>
              <w:t>R²=0.4617</w:t>
            </w:r>
          </w:p>
        </w:tc>
        <w:tc>
          <w:tcPr>
            <w:tcW w:w="1606" w:type="dxa"/>
            <w:tcBorders>
              <w:top w:val="nil"/>
              <w:left w:val="nil"/>
              <w:bottom w:val="single" w:color="000000" w:sz="12" w:space="0"/>
              <w:right w:val="nil"/>
            </w:tcBorders>
          </w:tcPr>
          <w:p w14:paraId="5A318851">
            <w:pPr>
              <w:spacing w:before="40" w:after="40" w:line="252" w:lineRule="auto"/>
              <w:jc w:val="center"/>
            </w:pPr>
            <w:r>
              <w:rPr>
                <w:rFonts w:ascii="Times New Roman" w:hAnsi="Times New Roman" w:eastAsia="宋体"/>
                <w:b/>
                <w:sz w:val="18"/>
              </w:rPr>
              <w:t>F=50.81***</w:t>
            </w:r>
          </w:p>
        </w:tc>
      </w:tr>
    </w:tbl>
    <w:p w14:paraId="04BFAB26">
      <w:pPr>
        <w:spacing w:before="20" w:after="60" w:line="276" w:lineRule="auto"/>
      </w:pPr>
      <w:r>
        <w:rPr>
          <w:rFonts w:ascii="Times New Roman" w:hAnsi="Times New Roman" w:eastAsia="宋体"/>
          <w:b w:val="0"/>
          <w:sz w:val="18"/>
        </w:rPr>
        <w:t>注：单维回归中基本面优势无控制变量，其余五维均控制任职年限、基金年龄与规模；HC1 稳健标准误。六维联立全模型将六个维度得分同时放入回归方程，样本量 N=362，多元联立决定系数 R²=0.4617（五维联立＋三控制变量对照口径 R²=0.4626）；表中综合能力为六维等权合成总分的单变量回归结果（R²=0.4011，t=11.05***）。风险转化三比率与因变量概念同源，其解释力宜以样本外持续性而非同期解释力解读。***、**、* 分别表示 1%、5%、10% 水平显著。</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rPr>
          <w:rFonts w:ascii="Times New Roman" w:hAnsi="Times New Roman" w:eastAsia="宋体"/>
          <w:b w:val="0"/>
          <w:sz w:val="24"/>
          <w:szCs w:val="24"/>
        </w:rPr>
      </w:pPr>
      <w:r>
        <w:rPr>
          <w:rFonts w:ascii="Times New Roman" w:hAnsi="Times New Roman" w:eastAsia="宋体"/>
          <w:b w:val="0"/>
          <w:sz w:val="24"/>
          <w:szCs w:val="24"/>
        </w:rPr>
        <w:t>能力分对收益的区分度直观显著（图 2）：按综合能力五等分，FF5 alpha 自 Q1 的 0.51% 单调攀升至 Q5 的 3.85%，头尾差达 3.34 个百分点（t=11.24）；原始季度收益总体向上（Q3 6.93% 至 Q4 6.64% 略有回撤，非严格单调，见表 8）。复合能力得分展现出对同期业绩极强的识别与区分度（未来时序预测力见下文样本外检验）。</w:t>
      </w:r>
    </w:p>
    <w:p w14:paraId="1D3FCDE3">
      <w:pPr>
        <w:keepNext/>
        <w:spacing w:before="160" w:after="40"/>
        <w:jc w:val="center"/>
        <w:rPr>
          <w:rFonts w:ascii="Times New Roman" w:hAnsi="Times New Roman" w:eastAsia="宋体"/>
          <w:b w:val="0"/>
          <w:sz w:val="21"/>
        </w:rPr>
      </w:pPr>
      <w:r>
        <w:rPr>
          <w:rFonts w:ascii="Times New Roman" w:hAnsi="Times New Roman" w:eastAsia="黑体"/>
          <w:b/>
          <w:i w:val="0"/>
          <w:sz w:val="20"/>
          <w:szCs w:val="24"/>
        </w:rPr>
        <w:t>图 2  按综合能力五等分的组合超额收益（FF5 alpha，季均）</w:t>
      </w:r>
    </w:p>
    <w:p w14:paraId="6B0513DA">
      <w:pPr>
        <w:spacing w:before="40" w:after="160"/>
        <w:jc w:val="center"/>
      </w:pPr>
      <w:r>
        <w:drawing>
          <wp:inline distT="0" distB="0" distL="114300" distR="114300">
            <wp:extent cx="4754880" cy="2675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t="7446"/>
                    <a:stretch>
                      <a:fillRect/>
                    </a:stretch>
                  </pic:blipFill>
                  <pic:spPr>
                    <a:xfrm>
                      <a:off x="0" y="0"/>
                      <a:ext cx="4754880" cy="2675890"/>
                    </a:xfrm>
                    <a:prstGeom prst="rect">
                      <a:avLst/>
                    </a:prstGeom>
                  </pic:spPr>
                </pic:pic>
              </a:graphicData>
            </a:graphic>
          </wp:inline>
        </w:drawing>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rPr>
          <w:sz w:val="24"/>
          <w:szCs w:val="28"/>
        </w:rPr>
      </w:pPr>
      <w:r>
        <w:rPr>
          <w:rFonts w:ascii="Times New Roman" w:hAnsi="Times New Roman"/>
          <w:sz w:val="24"/>
          <w:szCs w:val="28"/>
        </w:rPr>
        <w:t>按业绩（FF5 alpha，非能力分）取最好和最差各 5% 的基金（各 19 只），比较两组在六个能力维度上的差异（表 7）：六个维度全部显著分化。注意看“过程应对”——这一维两组差了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rPr>
          <w:rFonts w:ascii="Times New Roman" w:hAnsi="Times New Roman" w:eastAsia="黑体"/>
          <w:b/>
          <w:sz w:val="21"/>
        </w:rPr>
        <w:t>表 7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sz w:val="24"/>
          <w:szCs w:val="28"/>
        </w:rPr>
        <w:t>五分组背景对照（表 8）揭示两项规律：其一，规模不经济显著，最低组规模中位数（17.3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sz w:val="21"/>
        </w:rPr>
        <w:t>表 8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rPr>
          <w:sz w:val="24"/>
          <w:szCs w:val="28"/>
        </w:rPr>
      </w:pPr>
      <w:r>
        <w:rPr>
          <w:rFonts w:ascii="Times New Roman" w:hAnsi="Times New Roman" w:eastAsia="宋体"/>
          <w:b w:val="0"/>
          <w:sz w:val="24"/>
          <w:szCs w:val="28"/>
        </w:rPr>
        <w:t>我们从全样本 400 只基金里挑了 6 位经理（表 9）：①综合能力全样本第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sz w:val="21"/>
        </w:rPr>
        <w:t>表 9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rPr>
          <w:rFonts w:ascii="Times New Roman" w:hAnsi="Times New Roman" w:eastAsia="宋体"/>
          <w:b w:val="0"/>
          <w:sz w:val="24"/>
          <w:szCs w:val="28"/>
        </w:rPr>
      </w:pPr>
      <w:r>
        <w:rPr>
          <w:rFonts w:ascii="Times New Roman" w:hAnsi="Times New Roman" w:eastAsia="宋体"/>
          <w:b w:val="0"/>
          <w:sz w:val="24"/>
          <w:szCs w:val="28"/>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 9 与图 3）。行为优势是多维协同而非单兵突进。</w:t>
      </w:r>
    </w:p>
    <w:p w14:paraId="1B5C0348">
      <w:pPr>
        <w:keepNext/>
        <w:spacing w:before="160" w:after="40"/>
        <w:jc w:val="center"/>
        <w:rPr>
          <w:rFonts w:ascii="Times New Roman" w:hAnsi="Times New Roman" w:eastAsia="宋体"/>
          <w:b w:val="0"/>
          <w:sz w:val="21"/>
        </w:rPr>
      </w:pPr>
      <w:r>
        <w:rPr>
          <w:rFonts w:ascii="Times New Roman" w:hAnsi="Times New Roman" w:eastAsia="黑体"/>
          <w:b/>
          <w:i w:val="0"/>
          <w:sz w:val="20"/>
          <w:szCs w:val="24"/>
        </w:rPr>
        <w:t>图 3  五名典型经理与反例（华安策略优选·杨明）六维雷达图（数值为全样本百分位）</w:t>
      </w:r>
    </w:p>
    <w:p w14:paraId="77E34720">
      <w:pPr>
        <w:spacing w:before="40" w:after="160"/>
        <w:jc w:val="center"/>
      </w:pPr>
      <w:r>
        <w:drawing>
          <wp:inline distT="0" distB="0" distL="114300" distR="114300">
            <wp:extent cx="5303520" cy="437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t="6377"/>
                    <a:stretch>
                      <a:fillRect/>
                    </a:stretch>
                  </pic:blipFill>
                  <pic:spPr>
                    <a:xfrm>
                      <a:off x="0" y="0"/>
                      <a:ext cx="5303520" cy="4371975"/>
                    </a:xfrm>
                    <a:prstGeom prst="rect">
                      <a:avLst/>
                    </a:prstGeom>
                  </pic:spPr>
                </pic:pic>
              </a:graphicData>
            </a:graphic>
          </wp:inline>
        </w:drawing>
      </w:r>
    </w:p>
    <w:p w14:paraId="1410733D">
      <w:pPr>
        <w:keepNext/>
        <w:spacing w:before="180" w:after="80" w:line="324" w:lineRule="auto"/>
      </w:pPr>
      <w:r>
        <w:rPr>
          <w:rFonts w:ascii="Times New Roman" w:hAnsi="Times New Roman" w:eastAsia="黑体"/>
          <w:b/>
          <w:sz w:val="24"/>
        </w:rPr>
        <w:t>（三）时序样本外预测与极端行情稳健性</w:t>
      </w:r>
    </w:p>
    <w:p w14:paraId="2B248E3B">
      <w:pPr>
        <w:spacing w:after="80" w:line="324" w:lineRule="auto"/>
        <w:ind w:firstLine="480"/>
        <w:rPr>
          <w:sz w:val="24"/>
          <w:szCs w:val="28"/>
        </w:rPr>
      </w:pPr>
      <w:r>
        <w:rPr>
          <w:rFonts w:ascii="Times New Roman" w:hAnsi="Times New Roman" w:eastAsia="宋体"/>
          <w:b w:val="0"/>
          <w:sz w:val="24"/>
          <w:szCs w:val="28"/>
        </w:rPr>
        <w:t>为彻底排除横截面过拟合与数据窥视风险，本文进一步设计了严格的时序样本外盲测检验：以 2006 年三季度至 2024 年四季度（共 74 个季度，326 只合格基金）作为样本内训练集进行指标缩尾、标准化与能力打分；将 2025 年一季度至 2026 年二季度（共 6 个季度）完全隔离作为样本外盲测检验期，冻结样本内估计的五因子载荷计算异常超额收益（Abnormal Alpha）。盲测呈现出三项核心发现：第一，五分组表现严格单调递增，依据样本内得分五等分，样本外异常 Alpha 自 Q1 的 7.76% 逐级攀升至 Q5 的 19.94%，组间差达 +12.17 个百分点／季（t=+9.13***，p&lt;0.0001），原始季度收益亦自 16.60% 升至 27.05%（差值 +10.45 个百分点，t=+8.57***）；第二，纯行为维度的穿透力跨越周期，综合能力对未来异常 Alpha 预测回归显著为正（β=+0.1228，t=+9.21***，R²=17.64%），且基本面优势（t=+11.59***）、交易执行（t=+9.86***）与风险应对（t=+8.44***）在市场快速拉升阶段进攻穿透力最强；第三，风险转化比率在样本外预测回归中系数显著为负（β=−0.0317，t=−5.85***），证实比率类指标存在与同期业绩同源的机械成分，脱离同期拟合后预测力衰减。此外，针对 2026 年二季度股票市场快速大幅拉升行情的敏感性分析表明，隔离该极端季度后，全部核心行为指标在单变量与联立模型中的符号与显著性保持完全一致，报表外调仓（ARG）与风险不对称（risk_asym）的解释力度进一步强化，印证了行为画像体系跨越牛熊周期的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sz w:val="24"/>
          <w:szCs w:val="28"/>
          <w:lang w:eastAsia="zh-CN"/>
        </w:rPr>
      </w:pPr>
      <w:r>
        <w:rPr>
          <w:sz w:val="24"/>
          <w:szCs w:val="28"/>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sz w:val="24"/>
          <w:szCs w:val="28"/>
          <w:lang w:eastAsia="zh-CN"/>
        </w:rPr>
      </w:pPr>
      <w:r>
        <w:rPr>
          <w:sz w:val="24"/>
          <w:szCs w:val="28"/>
        </w:rPr>
        <w:t>第二，风险应对层是行为转化为业绩的关键枢纽。过程应对在群体画像中差距最大（Top−Bottom=1.19，t=5.16），转化效率在联立回归中系数最大（β=0.0128，t=5.28***），下行保护的单指标区分度最高（横截面回归 t=5.19***，群体分化 t=5.40***）。这意味着在市场下行阶段能够主动收缩风险暴露、并将所承担风险高效转化为收益的经理，更可能获得持续超额收益——“防守能力”应作为投资经理评价与风险监控的重要观察维度。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sz w:val="24"/>
          <w:szCs w:val="28"/>
          <w:lang w:eastAsia="zh-CN"/>
        </w:rPr>
      </w:pPr>
      <w:r>
        <w:rPr>
          <w:rFonts w:ascii="Times New Roman" w:hAnsi="Times New Roman" w:eastAsia="宋体"/>
          <w:b w:val="0"/>
          <w:sz w:val="24"/>
          <w:szCs w:val="28"/>
        </w:rPr>
        <w:t>第三，基本面特征是特征条件而非能力。任职年限、基金年龄与规模在单变量检验中显著，但同期进入联立模型后不显著（t=-0.77），样本外检验转为显著为正（t=+11.59***）——年轻、小规模基金预示后期更高的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sz w:val="24"/>
          <w:szCs w:val="28"/>
          <w:lang w:eastAsia="zh-CN"/>
        </w:rPr>
      </w:pPr>
      <w:r>
        <w:rPr>
          <w:rFonts w:ascii="Times New Roman" w:hAnsi="Times New Roman" w:eastAsia="宋体"/>
          <w:b w:val="0"/>
          <w:sz w:val="24"/>
          <w:szCs w:val="28"/>
        </w:rPr>
        <w:t>第四，行为复合得分具有筛选与自检价值。按综合能力五等分，FF5 alpha 自 Q1 的 0.51% 严格单调升至 Q5 的 3.85%（Q5−Q1=3.34 个百分点，t=11.24）；剔除与因变量同源的转化效率维度后，纯行为三维分组差仍显著（2.60 个百分点，t=+8.43）。基于行为画像的能力得分，可用于投资经理行为自检与投研团队的梯队建设。</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p w14:paraId="4DEEBF7A">
      <w:pPr>
        <w:spacing w:before="400" w:after="160"/>
      </w:pPr>
      <w:r>
        <w:rPr>
          <w:rFonts w:ascii="Times New Roman" w:hAnsi="Times New Roman" w:eastAsia="黑体"/>
          <w:b/>
          <w:sz w:val="28"/>
        </w:rPr>
        <w:t>附录：实证补充表格</w:t>
      </w:r>
    </w:p>
    <w:p w14:paraId="246F4943">
      <w:pPr>
        <w:keepNext/>
        <w:spacing w:before="200" w:after="80"/>
        <w:jc w:val="center"/>
      </w:pPr>
      <w:r>
        <w:rPr>
          <w:rFonts w:ascii="Times New Roman" w:hAnsi="Times New Roman" w:eastAsia="黑体"/>
          <w:b/>
          <w:sz w:val="21"/>
        </w:rPr>
        <w:t>附表 1  因变量口径对照：三种超额收益度量下的单变量回归</w:t>
      </w:r>
    </w:p>
    <w:tbl>
      <w:tblPr>
        <w:tblStyle w:val="32"/>
        <w:tblW w:w="0" w:type="auto"/>
        <w:jc w:val="center"/>
        <w:tblLayout w:type="autofit"/>
        <w:tblCellMar>
          <w:top w:w="0" w:type="dxa"/>
          <w:left w:w="108" w:type="dxa"/>
          <w:bottom w:w="0" w:type="dxa"/>
          <w:right w:w="108" w:type="dxa"/>
        </w:tblCellMar>
      </w:tblPr>
      <w:tblGrid>
        <w:gridCol w:w="2409"/>
        <w:gridCol w:w="2409"/>
        <w:gridCol w:w="2409"/>
        <w:gridCol w:w="2409"/>
      </w:tblGrid>
      <w:tr w14:paraId="65CF891A">
        <w:tblPrEx>
          <w:tblCellMar>
            <w:top w:w="0" w:type="dxa"/>
            <w:left w:w="108" w:type="dxa"/>
            <w:bottom w:w="0" w:type="dxa"/>
            <w:right w:w="108" w:type="dxa"/>
          </w:tblCellMar>
        </w:tblPrEx>
        <w:trPr>
          <w:jc w:val="center"/>
        </w:trPr>
        <w:tc>
          <w:tcPr>
            <w:tcW w:w="2409" w:type="dxa"/>
            <w:tcBorders>
              <w:top w:val="single" w:color="000000" w:sz="12" w:space="0"/>
              <w:left w:val="nil"/>
              <w:bottom w:val="single" w:color="000000" w:sz="4" w:space="0"/>
              <w:right w:val="nil"/>
            </w:tcBorders>
          </w:tcPr>
          <w:p w14:paraId="2D877590">
            <w:pPr>
              <w:spacing w:before="40" w:after="40" w:line="252" w:lineRule="auto"/>
              <w:jc w:val="left"/>
            </w:pPr>
            <w:r>
              <w:rPr>
                <w:rFonts w:ascii="Times New Roman" w:hAnsi="Times New Roman" w:eastAsia="宋体"/>
                <w:b/>
                <w:sz w:val="17"/>
              </w:rPr>
              <w:t>指标</w:t>
            </w:r>
          </w:p>
        </w:tc>
        <w:tc>
          <w:tcPr>
            <w:tcW w:w="2409" w:type="dxa"/>
            <w:tcBorders>
              <w:top w:val="single" w:color="000000" w:sz="12" w:space="0"/>
              <w:left w:val="nil"/>
              <w:bottom w:val="single" w:color="000000" w:sz="4" w:space="0"/>
              <w:right w:val="nil"/>
            </w:tcBorders>
          </w:tcPr>
          <w:p w14:paraId="5C4B246D">
            <w:pPr>
              <w:spacing w:before="40" w:after="40" w:line="252" w:lineRule="auto"/>
              <w:jc w:val="center"/>
            </w:pPr>
            <w:r>
              <w:rPr>
                <w:rFonts w:ascii="Times New Roman" w:hAnsi="Times New Roman" w:eastAsia="宋体"/>
                <w:b/>
                <w:sz w:val="17"/>
              </w:rPr>
              <w:t>超额收益（减rf）</w:t>
            </w:r>
          </w:p>
        </w:tc>
        <w:tc>
          <w:tcPr>
            <w:tcW w:w="2409" w:type="dxa"/>
            <w:tcBorders>
              <w:top w:val="single" w:color="000000" w:sz="12" w:space="0"/>
              <w:left w:val="nil"/>
              <w:bottom w:val="single" w:color="000000" w:sz="4" w:space="0"/>
              <w:right w:val="nil"/>
            </w:tcBorders>
          </w:tcPr>
          <w:p w14:paraId="1F38903D">
            <w:pPr>
              <w:spacing w:before="40" w:after="40" w:line="252" w:lineRule="auto"/>
              <w:jc w:val="center"/>
            </w:pPr>
            <w:r>
              <w:rPr>
                <w:rFonts w:ascii="Times New Roman" w:hAnsi="Times New Roman" w:eastAsia="宋体"/>
                <w:b/>
                <w:sz w:val="17"/>
              </w:rPr>
              <w:t>FF3 alpha</w:t>
            </w:r>
          </w:p>
        </w:tc>
        <w:tc>
          <w:tcPr>
            <w:tcW w:w="2409" w:type="dxa"/>
            <w:tcBorders>
              <w:top w:val="single" w:color="000000" w:sz="12" w:space="0"/>
              <w:left w:val="nil"/>
              <w:bottom w:val="single" w:color="000000" w:sz="4" w:space="0"/>
              <w:right w:val="nil"/>
            </w:tcBorders>
          </w:tcPr>
          <w:p w14:paraId="61BD70AC">
            <w:pPr>
              <w:spacing w:before="40" w:after="40" w:line="252" w:lineRule="auto"/>
              <w:jc w:val="center"/>
            </w:pPr>
            <w:r>
              <w:rPr>
                <w:rFonts w:ascii="Times New Roman" w:hAnsi="Times New Roman" w:eastAsia="宋体"/>
                <w:b/>
                <w:sz w:val="17"/>
              </w:rPr>
              <w:t>FF5 alpha</w:t>
            </w:r>
          </w:p>
        </w:tc>
      </w:tr>
      <w:tr w14:paraId="1E1E56F6">
        <w:tblPrEx>
          <w:tblCellMar>
            <w:top w:w="0" w:type="dxa"/>
            <w:left w:w="108" w:type="dxa"/>
            <w:bottom w:w="0" w:type="dxa"/>
            <w:right w:w="108" w:type="dxa"/>
          </w:tblCellMar>
        </w:tblPrEx>
        <w:trPr>
          <w:jc w:val="center"/>
        </w:trPr>
        <w:tc>
          <w:tcPr>
            <w:tcW w:w="2409" w:type="dxa"/>
            <w:tcBorders>
              <w:top w:val="single" w:color="000000" w:sz="4" w:space="0"/>
              <w:left w:val="nil"/>
              <w:bottom w:val="nil"/>
              <w:right w:val="nil"/>
            </w:tcBorders>
          </w:tcPr>
          <w:p w14:paraId="3743A2FF">
            <w:pPr>
              <w:spacing w:before="40" w:after="40" w:line="252" w:lineRule="auto"/>
              <w:jc w:val="left"/>
            </w:pPr>
            <w:r>
              <w:rPr>
                <w:rFonts w:ascii="Times New Roman" w:hAnsi="Times New Roman" w:eastAsia="宋体"/>
                <w:b w:val="0"/>
                <w:sz w:val="17"/>
              </w:rPr>
              <w:t>任职年限</w:t>
            </w:r>
          </w:p>
        </w:tc>
        <w:tc>
          <w:tcPr>
            <w:tcW w:w="2409" w:type="dxa"/>
            <w:tcBorders>
              <w:top w:val="single" w:color="000000" w:sz="4" w:space="0"/>
              <w:left w:val="nil"/>
              <w:bottom w:val="nil"/>
              <w:right w:val="nil"/>
            </w:tcBorders>
          </w:tcPr>
          <w:p w14:paraId="5946CA3C">
            <w:pPr>
              <w:spacing w:before="40" w:after="40" w:line="252" w:lineRule="auto"/>
              <w:jc w:val="center"/>
            </w:pPr>
            <w:r>
              <w:rPr>
                <w:rFonts w:ascii="Times New Roman" w:hAnsi="Times New Roman" w:eastAsia="宋体"/>
                <w:b w:val="0"/>
                <w:sz w:val="17"/>
              </w:rPr>
              <w:t>-7.2***</w:t>
            </w:r>
          </w:p>
        </w:tc>
        <w:tc>
          <w:tcPr>
            <w:tcW w:w="2409" w:type="dxa"/>
            <w:tcBorders>
              <w:top w:val="single" w:color="000000" w:sz="4" w:space="0"/>
              <w:left w:val="nil"/>
              <w:bottom w:val="nil"/>
              <w:right w:val="nil"/>
            </w:tcBorders>
          </w:tcPr>
          <w:p w14:paraId="58CE0C41">
            <w:pPr>
              <w:spacing w:before="40" w:after="40" w:line="252" w:lineRule="auto"/>
              <w:jc w:val="center"/>
            </w:pPr>
            <w:r>
              <w:rPr>
                <w:rFonts w:ascii="Times New Roman" w:hAnsi="Times New Roman" w:eastAsia="宋体"/>
                <w:b w:val="0"/>
                <w:sz w:val="17"/>
              </w:rPr>
              <w:t>-3.3***</w:t>
            </w:r>
          </w:p>
        </w:tc>
        <w:tc>
          <w:tcPr>
            <w:tcW w:w="2409" w:type="dxa"/>
            <w:tcBorders>
              <w:top w:val="single" w:color="000000" w:sz="4" w:space="0"/>
              <w:left w:val="nil"/>
              <w:bottom w:val="nil"/>
              <w:right w:val="nil"/>
            </w:tcBorders>
          </w:tcPr>
          <w:p w14:paraId="3E2437E8">
            <w:pPr>
              <w:spacing w:before="40" w:after="40" w:line="252" w:lineRule="auto"/>
              <w:jc w:val="center"/>
            </w:pPr>
            <w:r>
              <w:rPr>
                <w:rFonts w:ascii="Times New Roman" w:hAnsi="Times New Roman" w:eastAsia="宋体"/>
                <w:b w:val="0"/>
                <w:sz w:val="17"/>
              </w:rPr>
              <w:t>-1.8*</w:t>
            </w:r>
          </w:p>
        </w:tc>
      </w:tr>
      <w:tr w14:paraId="46710CB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B3B2D3">
            <w:pPr>
              <w:spacing w:before="40" w:after="40" w:line="252" w:lineRule="auto"/>
              <w:jc w:val="left"/>
            </w:pPr>
            <w:r>
              <w:rPr>
                <w:rFonts w:ascii="Times New Roman" w:hAnsi="Times New Roman" w:eastAsia="宋体"/>
                <w:b w:val="0"/>
                <w:sz w:val="17"/>
              </w:rPr>
              <w:t>基金年龄</w:t>
            </w:r>
          </w:p>
        </w:tc>
        <w:tc>
          <w:tcPr>
            <w:tcW w:w="2409" w:type="dxa"/>
            <w:tcBorders>
              <w:top w:val="nil"/>
              <w:left w:val="nil"/>
              <w:bottom w:val="nil"/>
              <w:right w:val="nil"/>
            </w:tcBorders>
          </w:tcPr>
          <w:p w14:paraId="51C162D5">
            <w:pPr>
              <w:spacing w:before="40" w:after="40" w:line="252" w:lineRule="auto"/>
              <w:jc w:val="center"/>
            </w:pPr>
            <w:r>
              <w:rPr>
                <w:rFonts w:ascii="Times New Roman" w:hAnsi="Times New Roman" w:eastAsia="宋体"/>
                <w:b w:val="0"/>
                <w:sz w:val="17"/>
              </w:rPr>
              <w:t>-13.0***</w:t>
            </w:r>
          </w:p>
        </w:tc>
        <w:tc>
          <w:tcPr>
            <w:tcW w:w="2409" w:type="dxa"/>
            <w:tcBorders>
              <w:top w:val="nil"/>
              <w:left w:val="nil"/>
              <w:bottom w:val="nil"/>
              <w:right w:val="nil"/>
            </w:tcBorders>
          </w:tcPr>
          <w:p w14:paraId="54D5CAF6">
            <w:pPr>
              <w:spacing w:before="40" w:after="40" w:line="252" w:lineRule="auto"/>
              <w:jc w:val="center"/>
            </w:pPr>
            <w:r>
              <w:rPr>
                <w:rFonts w:ascii="Times New Roman" w:hAnsi="Times New Roman" w:eastAsia="宋体"/>
                <w:b w:val="0"/>
                <w:sz w:val="17"/>
              </w:rPr>
              <w:t>-5.8***</w:t>
            </w:r>
          </w:p>
        </w:tc>
        <w:tc>
          <w:tcPr>
            <w:tcW w:w="2409" w:type="dxa"/>
            <w:tcBorders>
              <w:top w:val="nil"/>
              <w:left w:val="nil"/>
              <w:bottom w:val="nil"/>
              <w:right w:val="nil"/>
            </w:tcBorders>
          </w:tcPr>
          <w:p w14:paraId="29BC73A1">
            <w:pPr>
              <w:spacing w:before="40" w:after="40" w:line="252" w:lineRule="auto"/>
              <w:jc w:val="center"/>
            </w:pPr>
            <w:r>
              <w:rPr>
                <w:rFonts w:ascii="Times New Roman" w:hAnsi="Times New Roman" w:eastAsia="宋体"/>
                <w:b w:val="0"/>
                <w:sz w:val="17"/>
              </w:rPr>
              <w:t>-4.2***</w:t>
            </w:r>
          </w:p>
        </w:tc>
      </w:tr>
      <w:tr w14:paraId="579AF6D8">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ECE398">
            <w:pPr>
              <w:spacing w:before="40" w:after="40" w:line="252" w:lineRule="auto"/>
              <w:jc w:val="left"/>
            </w:pPr>
            <w:r>
              <w:rPr>
                <w:rFonts w:ascii="Times New Roman" w:hAnsi="Times New Roman" w:eastAsia="宋体"/>
                <w:b w:val="0"/>
                <w:sz w:val="17"/>
              </w:rPr>
              <w:t>基金规模</w:t>
            </w:r>
          </w:p>
        </w:tc>
        <w:tc>
          <w:tcPr>
            <w:tcW w:w="2409" w:type="dxa"/>
            <w:tcBorders>
              <w:top w:val="nil"/>
              <w:left w:val="nil"/>
              <w:bottom w:val="nil"/>
              <w:right w:val="nil"/>
            </w:tcBorders>
          </w:tcPr>
          <w:p w14:paraId="17021A13">
            <w:pPr>
              <w:spacing w:before="40" w:after="40" w:line="252" w:lineRule="auto"/>
              <w:jc w:val="center"/>
            </w:pPr>
            <w:r>
              <w:rPr>
                <w:rFonts w:ascii="Times New Roman" w:hAnsi="Times New Roman" w:eastAsia="宋体"/>
                <w:b w:val="0"/>
                <w:sz w:val="17"/>
              </w:rPr>
              <w:t>-4.5***</w:t>
            </w:r>
          </w:p>
        </w:tc>
        <w:tc>
          <w:tcPr>
            <w:tcW w:w="2409" w:type="dxa"/>
            <w:tcBorders>
              <w:top w:val="nil"/>
              <w:left w:val="nil"/>
              <w:bottom w:val="nil"/>
              <w:right w:val="nil"/>
            </w:tcBorders>
          </w:tcPr>
          <w:p w14:paraId="02D35097">
            <w:pPr>
              <w:spacing w:before="40" w:after="40" w:line="252" w:lineRule="auto"/>
              <w:jc w:val="center"/>
            </w:pPr>
            <w:r>
              <w:rPr>
                <w:rFonts w:ascii="Times New Roman" w:hAnsi="Times New Roman" w:eastAsia="宋体"/>
                <w:b w:val="0"/>
                <w:sz w:val="17"/>
              </w:rPr>
              <w:t>-2.3**</w:t>
            </w:r>
          </w:p>
        </w:tc>
        <w:tc>
          <w:tcPr>
            <w:tcW w:w="2409" w:type="dxa"/>
            <w:tcBorders>
              <w:top w:val="nil"/>
              <w:left w:val="nil"/>
              <w:bottom w:val="nil"/>
              <w:right w:val="nil"/>
            </w:tcBorders>
          </w:tcPr>
          <w:p w14:paraId="6DF9F8CF">
            <w:pPr>
              <w:spacing w:before="40" w:after="40" w:line="252" w:lineRule="auto"/>
              <w:jc w:val="center"/>
            </w:pPr>
            <w:r>
              <w:rPr>
                <w:rFonts w:ascii="Times New Roman" w:hAnsi="Times New Roman" w:eastAsia="宋体"/>
                <w:b w:val="0"/>
                <w:sz w:val="17"/>
              </w:rPr>
              <w:t>-1.1</w:t>
            </w:r>
          </w:p>
        </w:tc>
      </w:tr>
      <w:tr w14:paraId="3BE5EBF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07779C">
            <w:pPr>
              <w:spacing w:before="40" w:after="40" w:line="252" w:lineRule="auto"/>
              <w:jc w:val="left"/>
            </w:pPr>
            <w:r>
              <w:rPr>
                <w:rFonts w:ascii="Times New Roman" w:hAnsi="Times New Roman" w:eastAsia="宋体"/>
                <w:b w:val="0"/>
                <w:sz w:val="17"/>
              </w:rPr>
              <w:t>性别（男=1）</w:t>
            </w:r>
          </w:p>
        </w:tc>
        <w:tc>
          <w:tcPr>
            <w:tcW w:w="2409" w:type="dxa"/>
            <w:tcBorders>
              <w:top w:val="nil"/>
              <w:left w:val="nil"/>
              <w:bottom w:val="nil"/>
              <w:right w:val="nil"/>
            </w:tcBorders>
          </w:tcPr>
          <w:p w14:paraId="32B83645">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3CF7335E">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4581498F">
            <w:pPr>
              <w:spacing w:before="40" w:after="40" w:line="252" w:lineRule="auto"/>
              <w:jc w:val="center"/>
            </w:pPr>
            <w:r>
              <w:rPr>
                <w:rFonts w:ascii="Times New Roman" w:hAnsi="Times New Roman" w:eastAsia="宋体"/>
                <w:b w:val="0"/>
                <w:sz w:val="17"/>
              </w:rPr>
              <w:t>+1.2</w:t>
            </w:r>
          </w:p>
        </w:tc>
      </w:tr>
      <w:tr w14:paraId="239E223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3229ED">
            <w:pPr>
              <w:spacing w:before="40" w:after="40" w:line="252" w:lineRule="auto"/>
              <w:jc w:val="left"/>
            </w:pPr>
            <w:r>
              <w:rPr>
                <w:rFonts w:ascii="Times New Roman" w:hAnsi="Times New Roman" w:eastAsia="宋体"/>
                <w:b w:val="0"/>
                <w:sz w:val="17"/>
              </w:rPr>
              <w:t>CFA 持证</w:t>
            </w:r>
          </w:p>
        </w:tc>
        <w:tc>
          <w:tcPr>
            <w:tcW w:w="2409" w:type="dxa"/>
            <w:tcBorders>
              <w:top w:val="nil"/>
              <w:left w:val="nil"/>
              <w:bottom w:val="nil"/>
              <w:right w:val="nil"/>
            </w:tcBorders>
          </w:tcPr>
          <w:p w14:paraId="44B9FB51">
            <w:pPr>
              <w:spacing w:before="40" w:after="40" w:line="252" w:lineRule="auto"/>
              <w:jc w:val="center"/>
            </w:pPr>
            <w:r>
              <w:rPr>
                <w:rFonts w:ascii="Times New Roman" w:hAnsi="Times New Roman" w:eastAsia="宋体"/>
                <w:b w:val="0"/>
                <w:sz w:val="17"/>
              </w:rPr>
              <w:t>+0.9</w:t>
            </w:r>
          </w:p>
        </w:tc>
        <w:tc>
          <w:tcPr>
            <w:tcW w:w="2409" w:type="dxa"/>
            <w:tcBorders>
              <w:top w:val="nil"/>
              <w:left w:val="nil"/>
              <w:bottom w:val="nil"/>
              <w:right w:val="nil"/>
            </w:tcBorders>
          </w:tcPr>
          <w:p w14:paraId="0E2FF348">
            <w:pPr>
              <w:spacing w:before="40" w:after="40" w:line="252" w:lineRule="auto"/>
              <w:jc w:val="center"/>
            </w:pPr>
            <w:r>
              <w:rPr>
                <w:rFonts w:ascii="Times New Roman" w:hAnsi="Times New Roman" w:eastAsia="宋体"/>
                <w:b w:val="0"/>
                <w:sz w:val="17"/>
              </w:rPr>
              <w:t>-1.3</w:t>
            </w:r>
          </w:p>
        </w:tc>
        <w:tc>
          <w:tcPr>
            <w:tcW w:w="2409" w:type="dxa"/>
            <w:tcBorders>
              <w:top w:val="nil"/>
              <w:left w:val="nil"/>
              <w:bottom w:val="nil"/>
              <w:right w:val="nil"/>
            </w:tcBorders>
          </w:tcPr>
          <w:p w14:paraId="13F557F0">
            <w:pPr>
              <w:spacing w:before="40" w:after="40" w:line="252" w:lineRule="auto"/>
              <w:jc w:val="center"/>
            </w:pPr>
            <w:r>
              <w:rPr>
                <w:rFonts w:ascii="Times New Roman" w:hAnsi="Times New Roman" w:eastAsia="宋体"/>
                <w:b w:val="0"/>
                <w:sz w:val="17"/>
              </w:rPr>
              <w:t>-6.7***</w:t>
            </w:r>
          </w:p>
        </w:tc>
      </w:tr>
      <w:tr w14:paraId="0AE85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5293131">
            <w:pPr>
              <w:spacing w:before="40" w:after="40" w:line="252" w:lineRule="auto"/>
              <w:jc w:val="left"/>
            </w:pPr>
            <w:r>
              <w:rPr>
                <w:rFonts w:ascii="Times New Roman" w:hAnsi="Times New Roman" w:eastAsia="宋体"/>
                <w:b w:val="0"/>
                <w:sz w:val="17"/>
              </w:rPr>
              <w:t>硕士及以上</w:t>
            </w:r>
          </w:p>
        </w:tc>
        <w:tc>
          <w:tcPr>
            <w:tcW w:w="2409" w:type="dxa"/>
            <w:tcBorders>
              <w:top w:val="nil"/>
              <w:left w:val="nil"/>
              <w:bottom w:val="nil"/>
              <w:right w:val="nil"/>
            </w:tcBorders>
          </w:tcPr>
          <w:p w14:paraId="0DA42E25">
            <w:pPr>
              <w:spacing w:before="40" w:after="40" w:line="252" w:lineRule="auto"/>
              <w:jc w:val="center"/>
            </w:pPr>
            <w:r>
              <w:rPr>
                <w:rFonts w:ascii="Times New Roman" w:hAnsi="Times New Roman" w:eastAsia="宋体"/>
                <w:b w:val="0"/>
                <w:sz w:val="17"/>
              </w:rPr>
              <w:t>+7.1***</w:t>
            </w:r>
          </w:p>
        </w:tc>
        <w:tc>
          <w:tcPr>
            <w:tcW w:w="2409" w:type="dxa"/>
            <w:tcBorders>
              <w:top w:val="nil"/>
              <w:left w:val="nil"/>
              <w:bottom w:val="nil"/>
              <w:right w:val="nil"/>
            </w:tcBorders>
          </w:tcPr>
          <w:p w14:paraId="3451DF24">
            <w:pPr>
              <w:spacing w:before="40" w:after="40" w:line="252" w:lineRule="auto"/>
              <w:jc w:val="center"/>
            </w:pPr>
            <w:r>
              <w:rPr>
                <w:rFonts w:ascii="Times New Roman" w:hAnsi="Times New Roman" w:eastAsia="宋体"/>
                <w:b w:val="0"/>
                <w:sz w:val="17"/>
              </w:rPr>
              <w:t>+4.2***</w:t>
            </w:r>
          </w:p>
        </w:tc>
        <w:tc>
          <w:tcPr>
            <w:tcW w:w="2409" w:type="dxa"/>
            <w:tcBorders>
              <w:top w:val="nil"/>
              <w:left w:val="nil"/>
              <w:bottom w:val="nil"/>
              <w:right w:val="nil"/>
            </w:tcBorders>
          </w:tcPr>
          <w:p w14:paraId="27206CF8">
            <w:pPr>
              <w:spacing w:before="40" w:after="40" w:line="252" w:lineRule="auto"/>
              <w:jc w:val="center"/>
            </w:pPr>
            <w:r>
              <w:rPr>
                <w:rFonts w:ascii="Times New Roman" w:hAnsi="Times New Roman" w:eastAsia="宋体"/>
                <w:b w:val="0"/>
                <w:sz w:val="17"/>
              </w:rPr>
              <w:t>+0.9</w:t>
            </w:r>
          </w:p>
        </w:tc>
      </w:tr>
      <w:tr w14:paraId="5D6A8B9F">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005E5691">
            <w:pPr>
              <w:spacing w:before="40" w:after="40" w:line="252" w:lineRule="auto"/>
              <w:jc w:val="left"/>
            </w:pPr>
            <w:r>
              <w:rPr>
                <w:rFonts w:ascii="Times New Roman" w:hAnsi="Times New Roman" w:eastAsia="宋体"/>
                <w:b w:val="0"/>
                <w:sz w:val="17"/>
              </w:rPr>
              <w:t>名校毕业</w:t>
            </w:r>
          </w:p>
        </w:tc>
        <w:tc>
          <w:tcPr>
            <w:tcW w:w="2409" w:type="dxa"/>
            <w:tcBorders>
              <w:top w:val="nil"/>
              <w:left w:val="nil"/>
              <w:bottom w:val="nil"/>
              <w:right w:val="nil"/>
            </w:tcBorders>
          </w:tcPr>
          <w:p w14:paraId="43579851">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0024A7FA">
            <w:pPr>
              <w:spacing w:before="40" w:after="40" w:line="252" w:lineRule="auto"/>
              <w:jc w:val="center"/>
            </w:pPr>
            <w:r>
              <w:rPr>
                <w:rFonts w:ascii="Times New Roman" w:hAnsi="Times New Roman" w:eastAsia="宋体"/>
                <w:b w:val="0"/>
                <w:sz w:val="17"/>
              </w:rPr>
              <w:t>+1.0</w:t>
            </w:r>
          </w:p>
        </w:tc>
        <w:tc>
          <w:tcPr>
            <w:tcW w:w="2409" w:type="dxa"/>
            <w:tcBorders>
              <w:top w:val="nil"/>
              <w:left w:val="nil"/>
              <w:bottom w:val="nil"/>
              <w:right w:val="nil"/>
            </w:tcBorders>
          </w:tcPr>
          <w:p w14:paraId="6E03653A">
            <w:pPr>
              <w:spacing w:before="40" w:after="40" w:line="252" w:lineRule="auto"/>
              <w:jc w:val="center"/>
            </w:pPr>
            <w:r>
              <w:rPr>
                <w:rFonts w:ascii="Times New Roman" w:hAnsi="Times New Roman" w:eastAsia="宋体"/>
                <w:b w:val="0"/>
                <w:sz w:val="17"/>
              </w:rPr>
              <w:t>+0.8</w:t>
            </w:r>
          </w:p>
        </w:tc>
      </w:tr>
      <w:tr w14:paraId="62505BB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753D2A9">
            <w:pPr>
              <w:spacing w:before="40" w:after="40" w:line="252" w:lineRule="auto"/>
              <w:jc w:val="left"/>
            </w:pPr>
            <w:r>
              <w:rPr>
                <w:rFonts w:ascii="Times New Roman" w:hAnsi="Times New Roman" w:eastAsia="宋体"/>
                <w:b w:val="0"/>
                <w:sz w:val="17"/>
              </w:rPr>
              <w:t>风险偏好不对称性</w:t>
            </w:r>
          </w:p>
        </w:tc>
        <w:tc>
          <w:tcPr>
            <w:tcW w:w="2409" w:type="dxa"/>
            <w:tcBorders>
              <w:top w:val="nil"/>
              <w:left w:val="nil"/>
              <w:bottom w:val="nil"/>
              <w:right w:val="nil"/>
            </w:tcBorders>
          </w:tcPr>
          <w:p w14:paraId="2264669D">
            <w:pPr>
              <w:spacing w:before="40" w:after="40" w:line="252" w:lineRule="auto"/>
              <w:jc w:val="center"/>
            </w:pPr>
            <w:r>
              <w:rPr>
                <w:rFonts w:ascii="Times New Roman" w:hAnsi="Times New Roman" w:eastAsia="宋体"/>
                <w:b w:val="0"/>
                <w:sz w:val="17"/>
              </w:rPr>
              <w:t>+12.7***</w:t>
            </w:r>
          </w:p>
        </w:tc>
        <w:tc>
          <w:tcPr>
            <w:tcW w:w="2409" w:type="dxa"/>
            <w:tcBorders>
              <w:top w:val="nil"/>
              <w:left w:val="nil"/>
              <w:bottom w:val="nil"/>
              <w:right w:val="nil"/>
            </w:tcBorders>
          </w:tcPr>
          <w:p w14:paraId="4E8A9764">
            <w:pPr>
              <w:spacing w:before="40" w:after="40" w:line="252" w:lineRule="auto"/>
              <w:jc w:val="center"/>
            </w:pPr>
            <w:r>
              <w:rPr>
                <w:rFonts w:ascii="Times New Roman" w:hAnsi="Times New Roman" w:eastAsia="宋体"/>
                <w:b w:val="0"/>
                <w:sz w:val="17"/>
              </w:rPr>
              <w:t>+5.5***</w:t>
            </w:r>
          </w:p>
        </w:tc>
        <w:tc>
          <w:tcPr>
            <w:tcW w:w="2409" w:type="dxa"/>
            <w:tcBorders>
              <w:top w:val="nil"/>
              <w:left w:val="nil"/>
              <w:bottom w:val="nil"/>
              <w:right w:val="nil"/>
            </w:tcBorders>
          </w:tcPr>
          <w:p w14:paraId="7F6EA261">
            <w:pPr>
              <w:spacing w:before="40" w:after="40" w:line="252" w:lineRule="auto"/>
              <w:jc w:val="center"/>
            </w:pPr>
            <w:r>
              <w:rPr>
                <w:rFonts w:ascii="Times New Roman" w:hAnsi="Times New Roman" w:eastAsia="宋体"/>
                <w:b w:val="0"/>
                <w:sz w:val="17"/>
              </w:rPr>
              <w:t>+4.0***</w:t>
            </w:r>
          </w:p>
        </w:tc>
      </w:tr>
      <w:tr w14:paraId="72646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745B678">
            <w:pPr>
              <w:spacing w:before="40" w:after="40" w:line="252" w:lineRule="auto"/>
              <w:jc w:val="left"/>
            </w:pPr>
            <w:r>
              <w:rPr>
                <w:rFonts w:ascii="Times New Roman" w:hAnsi="Times New Roman" w:eastAsia="宋体"/>
                <w:b w:val="0"/>
                <w:sz w:val="17"/>
              </w:rPr>
              <w:t>处置效应</w:t>
            </w:r>
          </w:p>
        </w:tc>
        <w:tc>
          <w:tcPr>
            <w:tcW w:w="2409" w:type="dxa"/>
            <w:tcBorders>
              <w:top w:val="nil"/>
              <w:left w:val="nil"/>
              <w:bottom w:val="nil"/>
              <w:right w:val="nil"/>
            </w:tcBorders>
          </w:tcPr>
          <w:p w14:paraId="2C575996">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B898D52">
            <w:pPr>
              <w:spacing w:before="40" w:after="40" w:line="252" w:lineRule="auto"/>
              <w:jc w:val="center"/>
            </w:pPr>
            <w:r>
              <w:rPr>
                <w:rFonts w:ascii="Times New Roman" w:hAnsi="Times New Roman" w:eastAsia="宋体"/>
                <w:b w:val="0"/>
                <w:sz w:val="17"/>
              </w:rPr>
              <w:t>-4.0***</w:t>
            </w:r>
          </w:p>
        </w:tc>
        <w:tc>
          <w:tcPr>
            <w:tcW w:w="2409" w:type="dxa"/>
            <w:tcBorders>
              <w:top w:val="nil"/>
              <w:left w:val="nil"/>
              <w:bottom w:val="nil"/>
              <w:right w:val="nil"/>
            </w:tcBorders>
          </w:tcPr>
          <w:p w14:paraId="52AE2AFB">
            <w:pPr>
              <w:spacing w:before="40" w:after="40" w:line="252" w:lineRule="auto"/>
              <w:jc w:val="center"/>
            </w:pPr>
            <w:r>
              <w:rPr>
                <w:rFonts w:ascii="Times New Roman" w:hAnsi="Times New Roman" w:eastAsia="宋体"/>
                <w:b w:val="0"/>
                <w:sz w:val="17"/>
              </w:rPr>
              <w:t>-4.4***</w:t>
            </w:r>
          </w:p>
        </w:tc>
      </w:tr>
      <w:tr w14:paraId="3D582D3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ECAD975">
            <w:pPr>
              <w:spacing w:before="40" w:after="40" w:line="252" w:lineRule="auto"/>
              <w:jc w:val="left"/>
            </w:pPr>
            <w:r>
              <w:rPr>
                <w:rFonts w:ascii="Times New Roman" w:hAnsi="Times New Roman" w:eastAsia="宋体"/>
                <w:b w:val="0"/>
                <w:sz w:val="17"/>
              </w:rPr>
              <w:t>过度自信（换手×过度交易）</w:t>
            </w:r>
          </w:p>
        </w:tc>
        <w:tc>
          <w:tcPr>
            <w:tcW w:w="2409" w:type="dxa"/>
            <w:tcBorders>
              <w:top w:val="nil"/>
              <w:left w:val="nil"/>
              <w:bottom w:val="nil"/>
              <w:right w:val="nil"/>
            </w:tcBorders>
          </w:tcPr>
          <w:p w14:paraId="3EB496D7">
            <w:pPr>
              <w:spacing w:before="40" w:after="40" w:line="252" w:lineRule="auto"/>
              <w:jc w:val="center"/>
            </w:pPr>
            <w:r>
              <w:rPr>
                <w:rFonts w:ascii="Times New Roman" w:hAnsi="Times New Roman" w:eastAsia="宋体"/>
                <w:b w:val="0"/>
                <w:sz w:val="17"/>
              </w:rPr>
              <w:t>+1.4</w:t>
            </w:r>
          </w:p>
        </w:tc>
        <w:tc>
          <w:tcPr>
            <w:tcW w:w="2409" w:type="dxa"/>
            <w:tcBorders>
              <w:top w:val="nil"/>
              <w:left w:val="nil"/>
              <w:bottom w:val="nil"/>
              <w:right w:val="nil"/>
            </w:tcBorders>
          </w:tcPr>
          <w:p w14:paraId="648CA20B">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2DC6C3A1">
            <w:pPr>
              <w:spacing w:before="40" w:after="40" w:line="252" w:lineRule="auto"/>
              <w:jc w:val="center"/>
            </w:pPr>
            <w:r>
              <w:rPr>
                <w:rFonts w:ascii="Times New Roman" w:hAnsi="Times New Roman" w:eastAsia="宋体"/>
                <w:b w:val="0"/>
                <w:sz w:val="17"/>
              </w:rPr>
              <w:t>-3.8***</w:t>
            </w:r>
          </w:p>
        </w:tc>
      </w:tr>
      <w:tr w14:paraId="00616DDE">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1046E63">
            <w:pPr>
              <w:spacing w:before="40" w:after="40" w:line="252" w:lineRule="auto"/>
              <w:jc w:val="left"/>
            </w:pPr>
            <w:r>
              <w:rPr>
                <w:rFonts w:ascii="Times New Roman" w:hAnsi="Times New Roman" w:eastAsia="宋体"/>
                <w:b w:val="0"/>
                <w:sz w:val="17"/>
              </w:rPr>
              <w:t>追涨杀跌</w:t>
            </w:r>
          </w:p>
        </w:tc>
        <w:tc>
          <w:tcPr>
            <w:tcW w:w="2409" w:type="dxa"/>
            <w:tcBorders>
              <w:top w:val="nil"/>
              <w:left w:val="nil"/>
              <w:bottom w:val="nil"/>
              <w:right w:val="nil"/>
            </w:tcBorders>
          </w:tcPr>
          <w:p w14:paraId="7E7EDCC1">
            <w:pPr>
              <w:spacing w:before="40" w:after="40" w:line="252" w:lineRule="auto"/>
              <w:jc w:val="center"/>
            </w:pPr>
            <w:r>
              <w:rPr>
                <w:rFonts w:ascii="Times New Roman" w:hAnsi="Times New Roman" w:eastAsia="宋体"/>
                <w:b w:val="0"/>
                <w:sz w:val="17"/>
              </w:rPr>
              <w:t>-2.1**</w:t>
            </w:r>
          </w:p>
        </w:tc>
        <w:tc>
          <w:tcPr>
            <w:tcW w:w="2409" w:type="dxa"/>
            <w:tcBorders>
              <w:top w:val="nil"/>
              <w:left w:val="nil"/>
              <w:bottom w:val="nil"/>
              <w:right w:val="nil"/>
            </w:tcBorders>
          </w:tcPr>
          <w:p w14:paraId="1A365FBE">
            <w:pPr>
              <w:spacing w:before="40" w:after="40" w:line="252" w:lineRule="auto"/>
              <w:jc w:val="center"/>
            </w:pPr>
            <w:r>
              <w:rPr>
                <w:rFonts w:ascii="Times New Roman" w:hAnsi="Times New Roman" w:eastAsia="宋体"/>
                <w:b w:val="0"/>
                <w:sz w:val="17"/>
              </w:rPr>
              <w:t>-3.4***</w:t>
            </w:r>
          </w:p>
        </w:tc>
        <w:tc>
          <w:tcPr>
            <w:tcW w:w="2409" w:type="dxa"/>
            <w:tcBorders>
              <w:top w:val="nil"/>
              <w:left w:val="nil"/>
              <w:bottom w:val="nil"/>
              <w:right w:val="nil"/>
            </w:tcBorders>
          </w:tcPr>
          <w:p w14:paraId="79D697D6">
            <w:pPr>
              <w:spacing w:before="40" w:after="40" w:line="252" w:lineRule="auto"/>
              <w:jc w:val="center"/>
            </w:pPr>
            <w:r>
              <w:rPr>
                <w:rFonts w:ascii="Times New Roman" w:hAnsi="Times New Roman" w:eastAsia="宋体"/>
                <w:b w:val="0"/>
                <w:sz w:val="17"/>
              </w:rPr>
              <w:t>-1.6</w:t>
            </w:r>
          </w:p>
        </w:tc>
      </w:tr>
      <w:tr w14:paraId="4ECACE2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01BCC9D">
            <w:pPr>
              <w:spacing w:before="40" w:after="40" w:line="252" w:lineRule="auto"/>
              <w:jc w:val="left"/>
            </w:pPr>
            <w:r>
              <w:rPr>
                <w:rFonts w:ascii="Times New Roman" w:hAnsi="Times New Roman" w:eastAsia="宋体"/>
                <w:b w:val="0"/>
                <w:sz w:val="17"/>
              </w:rPr>
              <w:t>锚定效应</w:t>
            </w:r>
          </w:p>
        </w:tc>
        <w:tc>
          <w:tcPr>
            <w:tcW w:w="2409" w:type="dxa"/>
            <w:tcBorders>
              <w:top w:val="nil"/>
              <w:left w:val="nil"/>
              <w:bottom w:val="nil"/>
              <w:right w:val="nil"/>
            </w:tcBorders>
          </w:tcPr>
          <w:p w14:paraId="25A7771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2E763346">
            <w:pPr>
              <w:spacing w:before="40" w:after="40" w:line="252" w:lineRule="auto"/>
              <w:jc w:val="center"/>
            </w:pPr>
            <w:r>
              <w:rPr>
                <w:rFonts w:ascii="Times New Roman" w:hAnsi="Times New Roman" w:eastAsia="宋体"/>
                <w:b w:val="0"/>
                <w:sz w:val="17"/>
              </w:rPr>
              <w:t>+5.7***</w:t>
            </w:r>
          </w:p>
        </w:tc>
        <w:tc>
          <w:tcPr>
            <w:tcW w:w="2409" w:type="dxa"/>
            <w:tcBorders>
              <w:top w:val="nil"/>
              <w:left w:val="nil"/>
              <w:bottom w:val="nil"/>
              <w:right w:val="nil"/>
            </w:tcBorders>
          </w:tcPr>
          <w:p w14:paraId="08028134">
            <w:pPr>
              <w:spacing w:before="40" w:after="40" w:line="252" w:lineRule="auto"/>
              <w:jc w:val="center"/>
            </w:pPr>
            <w:r>
              <w:rPr>
                <w:rFonts w:ascii="Times New Roman" w:hAnsi="Times New Roman" w:eastAsia="宋体"/>
                <w:b w:val="0"/>
                <w:sz w:val="17"/>
              </w:rPr>
              <w:t>+3.1***</w:t>
            </w:r>
          </w:p>
        </w:tc>
      </w:tr>
      <w:tr w14:paraId="0C2B20C0">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3E3EC59">
            <w:pPr>
              <w:spacing w:before="40" w:after="40" w:line="252" w:lineRule="auto"/>
              <w:jc w:val="left"/>
            </w:pPr>
            <w:r>
              <w:rPr>
                <w:rFonts w:ascii="Times New Roman" w:hAnsi="Times New Roman" w:eastAsia="宋体"/>
                <w:b w:val="0"/>
                <w:sz w:val="17"/>
              </w:rPr>
              <w:t>行业集中度</w:t>
            </w:r>
          </w:p>
        </w:tc>
        <w:tc>
          <w:tcPr>
            <w:tcW w:w="2409" w:type="dxa"/>
            <w:tcBorders>
              <w:top w:val="nil"/>
              <w:left w:val="nil"/>
              <w:bottom w:val="nil"/>
              <w:right w:val="nil"/>
            </w:tcBorders>
          </w:tcPr>
          <w:p w14:paraId="28F33F95">
            <w:pPr>
              <w:spacing w:before="40" w:after="40" w:line="252" w:lineRule="auto"/>
              <w:jc w:val="center"/>
            </w:pPr>
            <w:r>
              <w:rPr>
                <w:rFonts w:ascii="Times New Roman" w:hAnsi="Times New Roman" w:eastAsia="宋体"/>
                <w:b w:val="0"/>
                <w:sz w:val="17"/>
              </w:rPr>
              <w:t>+10.9***</w:t>
            </w:r>
          </w:p>
        </w:tc>
        <w:tc>
          <w:tcPr>
            <w:tcW w:w="2409" w:type="dxa"/>
            <w:tcBorders>
              <w:top w:val="nil"/>
              <w:left w:val="nil"/>
              <w:bottom w:val="nil"/>
              <w:right w:val="nil"/>
            </w:tcBorders>
          </w:tcPr>
          <w:p w14:paraId="0600D5E0">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4E417A3">
            <w:pPr>
              <w:spacing w:before="40" w:after="40" w:line="252" w:lineRule="auto"/>
              <w:jc w:val="center"/>
            </w:pPr>
            <w:r>
              <w:rPr>
                <w:rFonts w:ascii="Times New Roman" w:hAnsi="Times New Roman" w:eastAsia="宋体"/>
                <w:b w:val="0"/>
                <w:sz w:val="17"/>
              </w:rPr>
              <w:t>+5.8***</w:t>
            </w:r>
          </w:p>
        </w:tc>
      </w:tr>
      <w:tr w14:paraId="1ECFB76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89405FD">
            <w:pPr>
              <w:spacing w:before="40" w:after="40" w:line="252" w:lineRule="auto"/>
              <w:jc w:val="left"/>
            </w:pPr>
            <w:r>
              <w:rPr>
                <w:rFonts w:ascii="Times New Roman" w:hAnsi="Times New Roman" w:eastAsia="宋体"/>
                <w:b w:val="0"/>
                <w:sz w:val="17"/>
              </w:rPr>
              <w:t>行业风格漂移指数</w:t>
            </w:r>
          </w:p>
        </w:tc>
        <w:tc>
          <w:tcPr>
            <w:tcW w:w="2409" w:type="dxa"/>
            <w:tcBorders>
              <w:top w:val="nil"/>
              <w:left w:val="nil"/>
              <w:bottom w:val="nil"/>
              <w:right w:val="nil"/>
            </w:tcBorders>
          </w:tcPr>
          <w:p w14:paraId="07DD579A">
            <w:pPr>
              <w:spacing w:before="40" w:after="40" w:line="252" w:lineRule="auto"/>
              <w:jc w:val="center"/>
            </w:pPr>
            <w:r>
              <w:rPr>
                <w:rFonts w:ascii="Times New Roman" w:hAnsi="Times New Roman" w:eastAsia="宋体"/>
                <w:b w:val="0"/>
                <w:sz w:val="17"/>
              </w:rPr>
              <w:t>-9.2***</w:t>
            </w:r>
          </w:p>
        </w:tc>
        <w:tc>
          <w:tcPr>
            <w:tcW w:w="2409" w:type="dxa"/>
            <w:tcBorders>
              <w:top w:val="nil"/>
              <w:left w:val="nil"/>
              <w:bottom w:val="nil"/>
              <w:right w:val="nil"/>
            </w:tcBorders>
          </w:tcPr>
          <w:p w14:paraId="7D94B3FC">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1AD6493C">
            <w:pPr>
              <w:spacing w:before="40" w:after="40" w:line="252" w:lineRule="auto"/>
              <w:jc w:val="center"/>
            </w:pPr>
            <w:r>
              <w:rPr>
                <w:rFonts w:ascii="Times New Roman" w:hAnsi="Times New Roman" w:eastAsia="宋体"/>
                <w:b w:val="0"/>
                <w:sz w:val="17"/>
              </w:rPr>
              <w:t>-4.4***</w:t>
            </w:r>
          </w:p>
        </w:tc>
      </w:tr>
      <w:tr w14:paraId="5363A1F1">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A06D523">
            <w:pPr>
              <w:spacing w:before="40" w:after="40" w:line="252" w:lineRule="auto"/>
              <w:jc w:val="left"/>
            </w:pPr>
            <w:r>
              <w:rPr>
                <w:rFonts w:ascii="Times New Roman" w:hAnsi="Times New Roman" w:eastAsia="宋体"/>
                <w:b w:val="0"/>
                <w:sz w:val="17"/>
              </w:rPr>
              <w:t>改进主动份额</w:t>
            </w:r>
          </w:p>
        </w:tc>
        <w:tc>
          <w:tcPr>
            <w:tcW w:w="2409" w:type="dxa"/>
            <w:tcBorders>
              <w:top w:val="nil"/>
              <w:left w:val="nil"/>
              <w:bottom w:val="nil"/>
              <w:right w:val="nil"/>
            </w:tcBorders>
          </w:tcPr>
          <w:p w14:paraId="5B41FF13">
            <w:pPr>
              <w:spacing w:before="40" w:after="40" w:line="252" w:lineRule="auto"/>
              <w:jc w:val="center"/>
            </w:pPr>
            <w:r>
              <w:rPr>
                <w:rFonts w:ascii="Times New Roman" w:hAnsi="Times New Roman" w:eastAsia="宋体"/>
                <w:b w:val="0"/>
                <w:sz w:val="17"/>
              </w:rPr>
              <w:t>+3.2***</w:t>
            </w:r>
          </w:p>
        </w:tc>
        <w:tc>
          <w:tcPr>
            <w:tcW w:w="2409" w:type="dxa"/>
            <w:tcBorders>
              <w:top w:val="nil"/>
              <w:left w:val="nil"/>
              <w:bottom w:val="nil"/>
              <w:right w:val="nil"/>
            </w:tcBorders>
          </w:tcPr>
          <w:p w14:paraId="46C3DA29">
            <w:pPr>
              <w:spacing w:before="40" w:after="40" w:line="252" w:lineRule="auto"/>
              <w:jc w:val="center"/>
            </w:pPr>
            <w:r>
              <w:rPr>
                <w:rFonts w:ascii="Times New Roman" w:hAnsi="Times New Roman" w:eastAsia="宋体"/>
                <w:b w:val="0"/>
                <w:sz w:val="17"/>
              </w:rPr>
              <w:t>+2.7***</w:t>
            </w:r>
          </w:p>
        </w:tc>
        <w:tc>
          <w:tcPr>
            <w:tcW w:w="2409" w:type="dxa"/>
            <w:tcBorders>
              <w:top w:val="nil"/>
              <w:left w:val="nil"/>
              <w:bottom w:val="nil"/>
              <w:right w:val="nil"/>
            </w:tcBorders>
          </w:tcPr>
          <w:p w14:paraId="014D8F59">
            <w:pPr>
              <w:spacing w:before="40" w:after="40" w:line="252" w:lineRule="auto"/>
              <w:jc w:val="center"/>
            </w:pPr>
            <w:r>
              <w:rPr>
                <w:rFonts w:ascii="Times New Roman" w:hAnsi="Times New Roman" w:eastAsia="宋体"/>
                <w:b w:val="0"/>
                <w:sz w:val="17"/>
              </w:rPr>
              <w:t>-0.3</w:t>
            </w:r>
          </w:p>
        </w:tc>
      </w:tr>
      <w:tr w14:paraId="6899D01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805BACB">
            <w:pPr>
              <w:spacing w:before="40" w:after="40" w:line="252" w:lineRule="auto"/>
              <w:jc w:val="left"/>
            </w:pPr>
            <w:r>
              <w:rPr>
                <w:rFonts w:ascii="Times New Roman" w:hAnsi="Times New Roman" w:eastAsia="宋体"/>
                <w:b w:val="0"/>
                <w:sz w:val="17"/>
              </w:rPr>
              <w:t>调仓幅度</w:t>
            </w:r>
          </w:p>
        </w:tc>
        <w:tc>
          <w:tcPr>
            <w:tcW w:w="2409" w:type="dxa"/>
            <w:tcBorders>
              <w:top w:val="nil"/>
              <w:left w:val="nil"/>
              <w:bottom w:val="nil"/>
              <w:right w:val="nil"/>
            </w:tcBorders>
          </w:tcPr>
          <w:p w14:paraId="3DF5A566">
            <w:pPr>
              <w:spacing w:before="40" w:after="40" w:line="252" w:lineRule="auto"/>
              <w:jc w:val="center"/>
            </w:pPr>
            <w:r>
              <w:rPr>
                <w:rFonts w:ascii="Times New Roman" w:hAnsi="Times New Roman" w:eastAsia="宋体"/>
                <w:b w:val="0"/>
                <w:sz w:val="17"/>
              </w:rPr>
              <w:t>+14.6***</w:t>
            </w:r>
          </w:p>
        </w:tc>
        <w:tc>
          <w:tcPr>
            <w:tcW w:w="2409" w:type="dxa"/>
            <w:tcBorders>
              <w:top w:val="nil"/>
              <w:left w:val="nil"/>
              <w:bottom w:val="nil"/>
              <w:right w:val="nil"/>
            </w:tcBorders>
          </w:tcPr>
          <w:p w14:paraId="02CCEAFF">
            <w:pPr>
              <w:spacing w:before="40" w:after="40" w:line="252" w:lineRule="auto"/>
              <w:jc w:val="center"/>
            </w:pPr>
            <w:r>
              <w:rPr>
                <w:rFonts w:ascii="Times New Roman" w:hAnsi="Times New Roman" w:eastAsia="宋体"/>
                <w:b w:val="0"/>
                <w:sz w:val="17"/>
              </w:rPr>
              <w:t>+6.2***</w:t>
            </w:r>
          </w:p>
        </w:tc>
        <w:tc>
          <w:tcPr>
            <w:tcW w:w="2409" w:type="dxa"/>
            <w:tcBorders>
              <w:top w:val="nil"/>
              <w:left w:val="nil"/>
              <w:bottom w:val="nil"/>
              <w:right w:val="nil"/>
            </w:tcBorders>
          </w:tcPr>
          <w:p w14:paraId="1EB91987">
            <w:pPr>
              <w:spacing w:before="40" w:after="40" w:line="252" w:lineRule="auto"/>
              <w:jc w:val="center"/>
            </w:pPr>
            <w:r>
              <w:rPr>
                <w:rFonts w:ascii="Times New Roman" w:hAnsi="Times New Roman" w:eastAsia="宋体"/>
                <w:b w:val="0"/>
                <w:sz w:val="17"/>
              </w:rPr>
              <w:t>+5.0***</w:t>
            </w:r>
          </w:p>
        </w:tc>
      </w:tr>
      <w:tr w14:paraId="0A81058D">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1D4A728">
            <w:pPr>
              <w:spacing w:before="40" w:after="40" w:line="252" w:lineRule="auto"/>
              <w:jc w:val="left"/>
            </w:pPr>
            <w:r>
              <w:rPr>
                <w:rFonts w:ascii="Times New Roman" w:hAnsi="Times New Roman" w:eastAsia="宋体"/>
                <w:b w:val="0"/>
                <w:sz w:val="17"/>
              </w:rPr>
              <w:t>下行保护系数（−HM γ）</w:t>
            </w:r>
          </w:p>
        </w:tc>
        <w:tc>
          <w:tcPr>
            <w:tcW w:w="2409" w:type="dxa"/>
            <w:tcBorders>
              <w:top w:val="nil"/>
              <w:left w:val="nil"/>
              <w:bottom w:val="nil"/>
              <w:right w:val="nil"/>
            </w:tcBorders>
          </w:tcPr>
          <w:p w14:paraId="2F5C0FD1">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C9E9C5">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8DDC41">
            <w:pPr>
              <w:spacing w:before="40" w:after="40" w:line="252" w:lineRule="auto"/>
              <w:jc w:val="center"/>
            </w:pPr>
            <w:r>
              <w:rPr>
                <w:rFonts w:ascii="Times New Roman" w:hAnsi="Times New Roman" w:eastAsia="宋体"/>
                <w:b w:val="0"/>
                <w:sz w:val="17"/>
              </w:rPr>
              <w:t>+4.9***</w:t>
            </w:r>
          </w:p>
        </w:tc>
      </w:tr>
      <w:tr w14:paraId="27FDC78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67FF843">
            <w:pPr>
              <w:spacing w:before="40" w:after="40" w:line="252" w:lineRule="auto"/>
              <w:jc w:val="left"/>
            </w:pPr>
            <w:r>
              <w:rPr>
                <w:rFonts w:ascii="Times New Roman" w:hAnsi="Times New Roman" w:eastAsia="宋体"/>
                <w:b w:val="0"/>
                <w:sz w:val="17"/>
              </w:rPr>
              <w:t>收益波动率</w:t>
            </w:r>
          </w:p>
        </w:tc>
        <w:tc>
          <w:tcPr>
            <w:tcW w:w="2409" w:type="dxa"/>
            <w:tcBorders>
              <w:top w:val="nil"/>
              <w:left w:val="nil"/>
              <w:bottom w:val="nil"/>
              <w:right w:val="nil"/>
            </w:tcBorders>
          </w:tcPr>
          <w:p w14:paraId="43426E3A">
            <w:pPr>
              <w:spacing w:before="40" w:after="40" w:line="252" w:lineRule="auto"/>
              <w:jc w:val="center"/>
            </w:pPr>
            <w:r>
              <w:rPr>
                <w:rFonts w:ascii="Times New Roman" w:hAnsi="Times New Roman" w:eastAsia="宋体"/>
                <w:b w:val="0"/>
                <w:sz w:val="17"/>
              </w:rPr>
              <w:t>+18.0***</w:t>
            </w:r>
          </w:p>
        </w:tc>
        <w:tc>
          <w:tcPr>
            <w:tcW w:w="2409" w:type="dxa"/>
            <w:tcBorders>
              <w:top w:val="nil"/>
              <w:left w:val="nil"/>
              <w:bottom w:val="nil"/>
              <w:right w:val="nil"/>
            </w:tcBorders>
          </w:tcPr>
          <w:p w14:paraId="49E3145E">
            <w:pPr>
              <w:spacing w:before="40" w:after="40" w:line="252" w:lineRule="auto"/>
              <w:jc w:val="center"/>
            </w:pPr>
            <w:r>
              <w:rPr>
                <w:rFonts w:ascii="Times New Roman" w:hAnsi="Times New Roman" w:eastAsia="宋体"/>
                <w:b w:val="0"/>
                <w:sz w:val="17"/>
              </w:rPr>
              <w:t>+7.2***</w:t>
            </w:r>
          </w:p>
        </w:tc>
        <w:tc>
          <w:tcPr>
            <w:tcW w:w="2409" w:type="dxa"/>
            <w:tcBorders>
              <w:top w:val="nil"/>
              <w:left w:val="nil"/>
              <w:bottom w:val="nil"/>
              <w:right w:val="nil"/>
            </w:tcBorders>
          </w:tcPr>
          <w:p w14:paraId="7A433C9C">
            <w:pPr>
              <w:spacing w:before="40" w:after="40" w:line="252" w:lineRule="auto"/>
              <w:jc w:val="center"/>
            </w:pPr>
            <w:r>
              <w:rPr>
                <w:rFonts w:ascii="Times New Roman" w:hAnsi="Times New Roman" w:eastAsia="宋体"/>
                <w:b w:val="0"/>
                <w:sz w:val="17"/>
              </w:rPr>
              <w:t>+4.4***</w:t>
            </w:r>
          </w:p>
        </w:tc>
      </w:tr>
      <w:tr w14:paraId="0528718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2451388">
            <w:pPr>
              <w:spacing w:before="40" w:after="40" w:line="252" w:lineRule="auto"/>
              <w:jc w:val="left"/>
            </w:pPr>
            <w:r>
              <w:rPr>
                <w:rFonts w:ascii="Times New Roman" w:hAnsi="Times New Roman" w:eastAsia="宋体"/>
                <w:b w:val="0"/>
                <w:sz w:val="17"/>
              </w:rPr>
              <w:t>风险稳定性</w:t>
            </w:r>
          </w:p>
        </w:tc>
        <w:tc>
          <w:tcPr>
            <w:tcW w:w="2409" w:type="dxa"/>
            <w:tcBorders>
              <w:top w:val="nil"/>
              <w:left w:val="nil"/>
              <w:bottom w:val="nil"/>
              <w:right w:val="nil"/>
            </w:tcBorders>
          </w:tcPr>
          <w:p w14:paraId="021193DE">
            <w:pPr>
              <w:spacing w:before="40" w:after="40" w:line="252" w:lineRule="auto"/>
              <w:jc w:val="center"/>
            </w:pPr>
            <w:r>
              <w:rPr>
                <w:rFonts w:ascii="Times New Roman" w:hAnsi="Times New Roman" w:eastAsia="宋体"/>
                <w:b w:val="0"/>
                <w:sz w:val="17"/>
              </w:rPr>
              <w:t>-13.8***</w:t>
            </w:r>
          </w:p>
        </w:tc>
        <w:tc>
          <w:tcPr>
            <w:tcW w:w="2409" w:type="dxa"/>
            <w:tcBorders>
              <w:top w:val="nil"/>
              <w:left w:val="nil"/>
              <w:bottom w:val="nil"/>
              <w:right w:val="nil"/>
            </w:tcBorders>
          </w:tcPr>
          <w:p w14:paraId="509B5E93">
            <w:pPr>
              <w:spacing w:before="40" w:after="40" w:line="252" w:lineRule="auto"/>
              <w:jc w:val="center"/>
            </w:pPr>
            <w:r>
              <w:rPr>
                <w:rFonts w:ascii="Times New Roman" w:hAnsi="Times New Roman" w:eastAsia="宋体"/>
                <w:b w:val="0"/>
                <w:sz w:val="17"/>
              </w:rPr>
              <w:t>-12.2***</w:t>
            </w:r>
          </w:p>
        </w:tc>
        <w:tc>
          <w:tcPr>
            <w:tcW w:w="2409" w:type="dxa"/>
            <w:tcBorders>
              <w:top w:val="nil"/>
              <w:left w:val="nil"/>
              <w:bottom w:val="nil"/>
              <w:right w:val="nil"/>
            </w:tcBorders>
          </w:tcPr>
          <w:p w14:paraId="6FE05A6D">
            <w:pPr>
              <w:spacing w:before="40" w:after="40" w:line="252" w:lineRule="auto"/>
              <w:jc w:val="center"/>
            </w:pPr>
            <w:r>
              <w:rPr>
                <w:rFonts w:ascii="Times New Roman" w:hAnsi="Times New Roman" w:eastAsia="宋体"/>
                <w:b w:val="0"/>
                <w:sz w:val="17"/>
              </w:rPr>
              <w:t>-6.0***</w:t>
            </w:r>
          </w:p>
        </w:tc>
      </w:tr>
      <w:tr w14:paraId="03150C0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B00EA15">
            <w:pPr>
              <w:spacing w:before="40" w:after="40" w:line="252" w:lineRule="auto"/>
              <w:jc w:val="left"/>
            </w:pPr>
            <w:r>
              <w:rPr>
                <w:rFonts w:ascii="Times New Roman" w:hAnsi="Times New Roman" w:eastAsia="宋体"/>
                <w:b w:val="0"/>
                <w:sz w:val="17"/>
              </w:rPr>
              <w:t>Sharpe比率</w:t>
            </w:r>
          </w:p>
        </w:tc>
        <w:tc>
          <w:tcPr>
            <w:tcW w:w="2409" w:type="dxa"/>
            <w:tcBorders>
              <w:top w:val="nil"/>
              <w:left w:val="nil"/>
              <w:bottom w:val="nil"/>
              <w:right w:val="nil"/>
            </w:tcBorders>
          </w:tcPr>
          <w:p w14:paraId="675DC375">
            <w:pPr>
              <w:spacing w:before="40" w:after="40" w:line="252" w:lineRule="auto"/>
              <w:jc w:val="center"/>
            </w:pPr>
            <w:r>
              <w:rPr>
                <w:rFonts w:ascii="Times New Roman" w:hAnsi="Times New Roman" w:eastAsia="宋体"/>
                <w:b w:val="0"/>
                <w:sz w:val="17"/>
              </w:rPr>
              <w:t>+6.1***</w:t>
            </w:r>
          </w:p>
        </w:tc>
        <w:tc>
          <w:tcPr>
            <w:tcW w:w="2409" w:type="dxa"/>
            <w:tcBorders>
              <w:top w:val="nil"/>
              <w:left w:val="nil"/>
              <w:bottom w:val="nil"/>
              <w:right w:val="nil"/>
            </w:tcBorders>
          </w:tcPr>
          <w:p w14:paraId="06E5A7F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1CE215">
            <w:pPr>
              <w:spacing w:before="40" w:after="40" w:line="252" w:lineRule="auto"/>
              <w:jc w:val="center"/>
            </w:pPr>
            <w:r>
              <w:rPr>
                <w:rFonts w:ascii="Times New Roman" w:hAnsi="Times New Roman" w:eastAsia="宋体"/>
                <w:b w:val="0"/>
                <w:sz w:val="17"/>
              </w:rPr>
              <w:t>+6.7***</w:t>
            </w:r>
          </w:p>
        </w:tc>
      </w:tr>
      <w:tr w14:paraId="1CCFE0B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4FDBF4">
            <w:pPr>
              <w:spacing w:before="40" w:after="40" w:line="252" w:lineRule="auto"/>
              <w:jc w:val="left"/>
            </w:pPr>
            <w:r>
              <w:rPr>
                <w:rFonts w:ascii="Times New Roman" w:hAnsi="Times New Roman" w:eastAsia="宋体"/>
                <w:b w:val="0"/>
                <w:sz w:val="17"/>
              </w:rPr>
              <w:t>Sortino比率</w:t>
            </w:r>
          </w:p>
        </w:tc>
        <w:tc>
          <w:tcPr>
            <w:tcW w:w="2409" w:type="dxa"/>
            <w:tcBorders>
              <w:top w:val="nil"/>
              <w:left w:val="nil"/>
              <w:bottom w:val="nil"/>
              <w:right w:val="nil"/>
            </w:tcBorders>
          </w:tcPr>
          <w:p w14:paraId="0647EBDA">
            <w:pPr>
              <w:spacing w:before="40" w:after="40" w:line="252" w:lineRule="auto"/>
              <w:jc w:val="center"/>
            </w:pPr>
            <w:r>
              <w:rPr>
                <w:rFonts w:ascii="Times New Roman" w:hAnsi="Times New Roman" w:eastAsia="宋体"/>
                <w:b w:val="0"/>
                <w:sz w:val="17"/>
              </w:rPr>
              <w:t>+10.3***</w:t>
            </w:r>
          </w:p>
        </w:tc>
        <w:tc>
          <w:tcPr>
            <w:tcW w:w="2409" w:type="dxa"/>
            <w:tcBorders>
              <w:top w:val="nil"/>
              <w:left w:val="nil"/>
              <w:bottom w:val="nil"/>
              <w:right w:val="nil"/>
            </w:tcBorders>
          </w:tcPr>
          <w:p w14:paraId="7AD75620">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BBB894">
            <w:pPr>
              <w:spacing w:before="40" w:after="40" w:line="252" w:lineRule="auto"/>
              <w:jc w:val="center"/>
            </w:pPr>
            <w:r>
              <w:rPr>
                <w:rFonts w:ascii="Times New Roman" w:hAnsi="Times New Roman" w:eastAsia="宋体"/>
                <w:b w:val="0"/>
                <w:sz w:val="17"/>
              </w:rPr>
              <w:t>+6.0***</w:t>
            </w:r>
          </w:p>
        </w:tc>
      </w:tr>
      <w:tr w14:paraId="18A63C2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0520159">
            <w:pPr>
              <w:spacing w:before="40" w:after="40" w:line="252" w:lineRule="auto"/>
              <w:jc w:val="left"/>
            </w:pPr>
            <w:r>
              <w:rPr>
                <w:rFonts w:ascii="Times New Roman" w:hAnsi="Times New Roman" w:eastAsia="宋体"/>
                <w:b w:val="0"/>
                <w:sz w:val="17"/>
              </w:rPr>
              <w:t>操纵稳健业绩测度MPPM</w:t>
            </w:r>
          </w:p>
        </w:tc>
        <w:tc>
          <w:tcPr>
            <w:tcW w:w="2409" w:type="dxa"/>
            <w:tcBorders>
              <w:top w:val="nil"/>
              <w:left w:val="nil"/>
              <w:bottom w:val="nil"/>
              <w:right w:val="nil"/>
            </w:tcBorders>
          </w:tcPr>
          <w:p w14:paraId="150374D1">
            <w:pPr>
              <w:spacing w:before="40" w:after="40" w:line="252" w:lineRule="auto"/>
              <w:jc w:val="center"/>
            </w:pPr>
            <w:r>
              <w:rPr>
                <w:rFonts w:ascii="Times New Roman" w:hAnsi="Times New Roman" w:eastAsia="宋体"/>
                <w:b w:val="0"/>
                <w:sz w:val="17"/>
              </w:rPr>
              <w:t>+11.7***</w:t>
            </w:r>
          </w:p>
        </w:tc>
        <w:tc>
          <w:tcPr>
            <w:tcW w:w="2409" w:type="dxa"/>
            <w:tcBorders>
              <w:top w:val="nil"/>
              <w:left w:val="nil"/>
              <w:bottom w:val="nil"/>
              <w:right w:val="nil"/>
            </w:tcBorders>
          </w:tcPr>
          <w:p w14:paraId="2BE3ADE8">
            <w:pPr>
              <w:spacing w:before="40" w:after="40" w:line="252" w:lineRule="auto"/>
              <w:jc w:val="center"/>
            </w:pPr>
            <w:r>
              <w:rPr>
                <w:rFonts w:ascii="Times New Roman" w:hAnsi="Times New Roman" w:eastAsia="宋体"/>
                <w:b w:val="0"/>
                <w:sz w:val="17"/>
              </w:rPr>
              <w:t>+12.3***</w:t>
            </w:r>
          </w:p>
        </w:tc>
        <w:tc>
          <w:tcPr>
            <w:tcW w:w="2409" w:type="dxa"/>
            <w:tcBorders>
              <w:top w:val="nil"/>
              <w:left w:val="nil"/>
              <w:bottom w:val="nil"/>
              <w:right w:val="nil"/>
            </w:tcBorders>
          </w:tcPr>
          <w:p w14:paraId="2C542E08">
            <w:pPr>
              <w:spacing w:before="40" w:after="40" w:line="252" w:lineRule="auto"/>
              <w:jc w:val="center"/>
            </w:pPr>
            <w:r>
              <w:rPr>
                <w:rFonts w:ascii="Times New Roman" w:hAnsi="Times New Roman" w:eastAsia="宋体"/>
                <w:b w:val="0"/>
                <w:sz w:val="17"/>
              </w:rPr>
              <w:t>+9.5***</w:t>
            </w:r>
          </w:p>
        </w:tc>
      </w:tr>
      <w:tr w14:paraId="0DC3E6C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9D83734">
            <w:pPr>
              <w:spacing w:before="40" w:after="40" w:line="252" w:lineRule="auto"/>
              <w:jc w:val="left"/>
            </w:pPr>
            <w:r>
              <w:rPr>
                <w:rFonts w:ascii="Times New Roman" w:hAnsi="Times New Roman" w:eastAsia="宋体"/>
                <w:b w:val="0"/>
                <w:sz w:val="17"/>
              </w:rPr>
              <w:t>策略偏离指数</w:t>
            </w:r>
          </w:p>
        </w:tc>
        <w:tc>
          <w:tcPr>
            <w:tcW w:w="2409" w:type="dxa"/>
            <w:tcBorders>
              <w:top w:val="nil"/>
              <w:left w:val="nil"/>
              <w:bottom w:val="nil"/>
              <w:right w:val="nil"/>
            </w:tcBorders>
          </w:tcPr>
          <w:p w14:paraId="50D911E0">
            <w:pPr>
              <w:spacing w:before="40" w:after="40" w:line="252" w:lineRule="auto"/>
              <w:jc w:val="center"/>
            </w:pPr>
            <w:r>
              <w:rPr>
                <w:rFonts w:ascii="Times New Roman" w:hAnsi="Times New Roman" w:eastAsia="宋体"/>
                <w:b w:val="0"/>
                <w:sz w:val="17"/>
              </w:rPr>
              <w:t>-9.4***</w:t>
            </w:r>
          </w:p>
        </w:tc>
        <w:tc>
          <w:tcPr>
            <w:tcW w:w="2409" w:type="dxa"/>
            <w:tcBorders>
              <w:top w:val="nil"/>
              <w:left w:val="nil"/>
              <w:bottom w:val="nil"/>
              <w:right w:val="nil"/>
            </w:tcBorders>
          </w:tcPr>
          <w:p w14:paraId="492DCDFE">
            <w:pPr>
              <w:spacing w:before="40" w:after="40" w:line="252" w:lineRule="auto"/>
              <w:jc w:val="center"/>
            </w:pPr>
            <w:r>
              <w:rPr>
                <w:rFonts w:ascii="Times New Roman" w:hAnsi="Times New Roman" w:eastAsia="宋体"/>
                <w:b w:val="0"/>
                <w:sz w:val="17"/>
              </w:rPr>
              <w:t>-3.5***</w:t>
            </w:r>
          </w:p>
        </w:tc>
        <w:tc>
          <w:tcPr>
            <w:tcW w:w="2409" w:type="dxa"/>
            <w:tcBorders>
              <w:top w:val="nil"/>
              <w:left w:val="nil"/>
              <w:bottom w:val="nil"/>
              <w:right w:val="nil"/>
            </w:tcBorders>
          </w:tcPr>
          <w:p w14:paraId="7208F6EB">
            <w:pPr>
              <w:spacing w:before="40" w:after="40" w:line="252" w:lineRule="auto"/>
              <w:jc w:val="center"/>
            </w:pPr>
            <w:r>
              <w:rPr>
                <w:rFonts w:ascii="Times New Roman" w:hAnsi="Times New Roman" w:eastAsia="宋体"/>
                <w:b w:val="0"/>
                <w:sz w:val="17"/>
              </w:rPr>
              <w:t>-4.7***</w:t>
            </w:r>
          </w:p>
        </w:tc>
      </w:tr>
      <w:tr w14:paraId="5C3E58E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8DA448">
            <w:pPr>
              <w:spacing w:before="40" w:after="40" w:line="252" w:lineRule="auto"/>
              <w:jc w:val="left"/>
            </w:pPr>
            <w:r>
              <w:rPr>
                <w:rFonts w:ascii="Times New Roman" w:hAnsi="Times New Roman" w:eastAsia="宋体"/>
                <w:b w:val="0"/>
                <w:sz w:val="17"/>
              </w:rPr>
              <w:t>交易趋同度LSV</w:t>
            </w:r>
          </w:p>
        </w:tc>
        <w:tc>
          <w:tcPr>
            <w:tcW w:w="2409" w:type="dxa"/>
            <w:tcBorders>
              <w:top w:val="nil"/>
              <w:left w:val="nil"/>
              <w:bottom w:val="nil"/>
              <w:right w:val="nil"/>
            </w:tcBorders>
          </w:tcPr>
          <w:p w14:paraId="0D03C663">
            <w:pPr>
              <w:spacing w:before="40" w:after="40" w:line="252" w:lineRule="auto"/>
              <w:jc w:val="center"/>
            </w:pPr>
            <w:r>
              <w:rPr>
                <w:rFonts w:ascii="Times New Roman" w:hAnsi="Times New Roman" w:eastAsia="宋体"/>
                <w:b w:val="0"/>
                <w:sz w:val="17"/>
              </w:rPr>
              <w:t>+7.0***</w:t>
            </w:r>
          </w:p>
        </w:tc>
        <w:tc>
          <w:tcPr>
            <w:tcW w:w="2409" w:type="dxa"/>
            <w:tcBorders>
              <w:top w:val="nil"/>
              <w:left w:val="nil"/>
              <w:bottom w:val="nil"/>
              <w:right w:val="nil"/>
            </w:tcBorders>
          </w:tcPr>
          <w:p w14:paraId="487785C5">
            <w:pPr>
              <w:spacing w:before="40" w:after="40" w:line="252" w:lineRule="auto"/>
              <w:jc w:val="center"/>
            </w:pPr>
            <w:r>
              <w:rPr>
                <w:rFonts w:ascii="Times New Roman" w:hAnsi="Times New Roman" w:eastAsia="宋体"/>
                <w:b w:val="0"/>
                <w:sz w:val="17"/>
              </w:rPr>
              <w:t>+4.3***</w:t>
            </w:r>
          </w:p>
        </w:tc>
        <w:tc>
          <w:tcPr>
            <w:tcW w:w="2409" w:type="dxa"/>
            <w:tcBorders>
              <w:top w:val="nil"/>
              <w:left w:val="nil"/>
              <w:bottom w:val="nil"/>
              <w:right w:val="nil"/>
            </w:tcBorders>
          </w:tcPr>
          <w:p w14:paraId="3F2735F4">
            <w:pPr>
              <w:spacing w:before="40" w:after="40" w:line="252" w:lineRule="auto"/>
              <w:jc w:val="center"/>
            </w:pPr>
            <w:r>
              <w:rPr>
                <w:rFonts w:ascii="Times New Roman" w:hAnsi="Times New Roman" w:eastAsia="宋体"/>
                <w:b w:val="0"/>
                <w:sz w:val="17"/>
              </w:rPr>
              <w:t>+3.9***</w:t>
            </w:r>
          </w:p>
        </w:tc>
      </w:tr>
      <w:tr w14:paraId="51FFD107">
        <w:tblPrEx>
          <w:tblCellMar>
            <w:top w:w="0" w:type="dxa"/>
            <w:left w:w="108" w:type="dxa"/>
            <w:bottom w:w="0" w:type="dxa"/>
            <w:right w:w="108" w:type="dxa"/>
          </w:tblCellMar>
        </w:tblPrEx>
        <w:trPr>
          <w:jc w:val="center"/>
        </w:trPr>
        <w:tc>
          <w:tcPr>
            <w:tcW w:w="2409" w:type="dxa"/>
            <w:tcBorders>
              <w:top w:val="nil"/>
              <w:left w:val="nil"/>
              <w:bottom w:val="single" w:color="000000" w:sz="12" w:space="0"/>
              <w:right w:val="nil"/>
            </w:tcBorders>
          </w:tcPr>
          <w:p w14:paraId="46E4646A">
            <w:pPr>
              <w:spacing w:before="40" w:after="40" w:line="252" w:lineRule="auto"/>
              <w:jc w:val="left"/>
            </w:pPr>
            <w:r>
              <w:rPr>
                <w:rFonts w:ascii="Times New Roman" w:hAnsi="Times New Roman" w:eastAsia="宋体"/>
                <w:b w:val="0"/>
                <w:sz w:val="17"/>
              </w:rPr>
              <w:t>换手率</w:t>
            </w:r>
          </w:p>
        </w:tc>
        <w:tc>
          <w:tcPr>
            <w:tcW w:w="2409" w:type="dxa"/>
            <w:tcBorders>
              <w:top w:val="nil"/>
              <w:left w:val="nil"/>
              <w:bottom w:val="single" w:color="000000" w:sz="12" w:space="0"/>
              <w:right w:val="nil"/>
            </w:tcBorders>
          </w:tcPr>
          <w:p w14:paraId="4F2096B0">
            <w:pPr>
              <w:spacing w:before="40" w:after="40" w:line="252" w:lineRule="auto"/>
              <w:jc w:val="center"/>
            </w:pPr>
            <w:r>
              <w:rPr>
                <w:rFonts w:ascii="Times New Roman" w:hAnsi="Times New Roman" w:eastAsia="宋体"/>
                <w:b w:val="0"/>
                <w:sz w:val="17"/>
              </w:rPr>
              <w:t>+3.2***</w:t>
            </w:r>
          </w:p>
        </w:tc>
        <w:tc>
          <w:tcPr>
            <w:tcW w:w="2409" w:type="dxa"/>
            <w:tcBorders>
              <w:top w:val="nil"/>
              <w:left w:val="nil"/>
              <w:bottom w:val="single" w:color="000000" w:sz="12" w:space="0"/>
              <w:right w:val="nil"/>
            </w:tcBorders>
          </w:tcPr>
          <w:p w14:paraId="2F0B6401">
            <w:pPr>
              <w:spacing w:before="40" w:after="40" w:line="252" w:lineRule="auto"/>
              <w:jc w:val="center"/>
            </w:pPr>
            <w:r>
              <w:rPr>
                <w:rFonts w:ascii="Times New Roman" w:hAnsi="Times New Roman" w:eastAsia="宋体"/>
                <w:b w:val="0"/>
                <w:sz w:val="17"/>
              </w:rPr>
              <w:t>+3.3***</w:t>
            </w:r>
          </w:p>
        </w:tc>
        <w:tc>
          <w:tcPr>
            <w:tcW w:w="2409" w:type="dxa"/>
            <w:tcBorders>
              <w:top w:val="nil"/>
              <w:left w:val="nil"/>
              <w:bottom w:val="single" w:color="000000" w:sz="12" w:space="0"/>
              <w:right w:val="nil"/>
            </w:tcBorders>
          </w:tcPr>
          <w:p w14:paraId="3D25D9DD">
            <w:pPr>
              <w:spacing w:before="40" w:after="40" w:line="252" w:lineRule="auto"/>
              <w:jc w:val="center"/>
            </w:pPr>
            <w:r>
              <w:rPr>
                <w:rFonts w:ascii="Times New Roman" w:hAnsi="Times New Roman" w:eastAsia="宋体"/>
                <w:b w:val="0"/>
                <w:sz w:val="17"/>
              </w:rPr>
              <w:t>+1.1</w:t>
            </w:r>
          </w:p>
        </w:tc>
      </w:tr>
    </w:tbl>
    <w:p w14:paraId="018FFCB7">
      <w:pPr>
        <w:spacing w:before="80" w:after="240"/>
      </w:pPr>
      <w:r>
        <w:rPr>
          <w:rFonts w:ascii="Times New Roman" w:hAnsi="Times New Roman" w:eastAsia="宋体"/>
          <w:b w:val="0"/>
          <w:sz w:val="18"/>
        </w:rPr>
        <w:t>注：单元格为基金层横截面 OLS 的 t 值与显著性；三列回归样本随因变量覆盖率微调（N≈352–362）。第一列为减季度无风险利率的超额收益（非沪深300超额）；简单超额不剔因子、风格暴露留在残差，仅作参照。***、**、* 分别表示 1%、5%、10% 显著性水平。</w:t>
      </w:r>
    </w:p>
    <w:p w14:paraId="5D5C0999">
      <w:pPr>
        <w:sectPr>
          <w:pgSz w:w="11906" w:h="16838"/>
          <w:pgMar w:top="1361" w:right="1134" w:bottom="1361" w:left="1134" w:header="720" w:footer="720" w:gutter="0"/>
          <w:cols w:space="720" w:num="1"/>
          <w:docGrid w:linePitch="360" w:charSpace="0"/>
        </w:sectPr>
      </w:pPr>
    </w:p>
    <w:p w14:paraId="383C30A6">
      <w:pPr>
        <w:keepNext/>
        <w:spacing w:before="80" w:after="40"/>
        <w:jc w:val="center"/>
      </w:pPr>
      <w:r>
        <w:rPr>
          <w:rFonts w:ascii="Times New Roman" w:hAnsi="Times New Roman" w:eastAsia="黑体"/>
          <w:b/>
          <w:sz w:val="22"/>
        </w:rPr>
        <w:t>附表 2  全部 25 个候选指标的单变量回归矩阵与联立回归结果（因变量＝FF5 alpha）</w:t>
      </w:r>
    </w:p>
    <w:tbl>
      <w:tblPr>
        <w:tblStyle w:val="32"/>
        <w:tblW w:w="0" w:type="auto"/>
        <w:jc w:val="center"/>
        <w:tblLayout w:type="autofit"/>
        <w:tblCellMar>
          <w:top w:w="0" w:type="dxa"/>
          <w:left w:w="108" w:type="dxa"/>
          <w:bottom w:w="0" w:type="dxa"/>
          <w:right w:w="108" w:type="dxa"/>
        </w:tblCellMar>
      </w:tblPr>
      <w:tblGrid>
        <w:gridCol w:w="869"/>
        <w:gridCol w:w="760"/>
        <w:gridCol w:w="1276"/>
        <w:gridCol w:w="401"/>
        <w:gridCol w:w="463"/>
        <w:gridCol w:w="375"/>
        <w:gridCol w:w="406"/>
        <w:gridCol w:w="463"/>
        <w:gridCol w:w="378"/>
        <w:gridCol w:w="406"/>
        <w:gridCol w:w="537"/>
        <w:gridCol w:w="463"/>
        <w:gridCol w:w="528"/>
        <w:gridCol w:w="375"/>
        <w:gridCol w:w="537"/>
        <w:gridCol w:w="537"/>
        <w:gridCol w:w="463"/>
        <w:gridCol w:w="375"/>
        <w:gridCol w:w="537"/>
        <w:gridCol w:w="537"/>
        <w:gridCol w:w="537"/>
        <w:gridCol w:w="463"/>
        <w:gridCol w:w="537"/>
        <w:gridCol w:w="537"/>
        <w:gridCol w:w="537"/>
        <w:gridCol w:w="463"/>
        <w:gridCol w:w="537"/>
        <w:gridCol w:w="406"/>
        <w:gridCol w:w="924"/>
      </w:tblGrid>
      <w:tr w14:paraId="361570DF">
        <w:tblPrEx>
          <w:tblCellMar>
            <w:top w:w="0" w:type="dxa"/>
            <w:left w:w="108" w:type="dxa"/>
            <w:bottom w:w="0" w:type="dxa"/>
            <w:right w:w="108" w:type="dxa"/>
          </w:tblCellMar>
        </w:tblPrEx>
        <w:trPr>
          <w:trHeight w:val="190" w:hRule="atLeast"/>
          <w:jc w:val="center"/>
        </w:trPr>
        <w:tc>
          <w:tcPr>
            <w:tcW w:w="1325"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154DAEC">
            <w:pPr>
              <w:spacing w:before="24" w:after="24" w:line="240" w:lineRule="auto"/>
              <w:jc w:val="center"/>
            </w:pPr>
            <w:r>
              <w:rPr>
                <w:rFonts w:ascii="Times New Roman" w:hAnsi="Times New Roman" w:eastAsia="宋体"/>
                <w:b/>
                <w:sz w:val="13"/>
              </w:rPr>
              <w:t>层级</w:t>
            </w:r>
          </w:p>
        </w:tc>
        <w:tc>
          <w:tcPr>
            <w:tcW w:w="1152"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03CFFCA">
            <w:pPr>
              <w:spacing w:before="24" w:after="24" w:line="240" w:lineRule="auto"/>
              <w:jc w:val="center"/>
            </w:pPr>
            <w:r>
              <w:rPr>
                <w:rFonts w:ascii="Times New Roman" w:hAnsi="Times New Roman" w:eastAsia="宋体"/>
                <w:b/>
                <w:sz w:val="13"/>
              </w:rPr>
              <w:t>细分维度</w:t>
            </w:r>
          </w:p>
        </w:tc>
        <w:tc>
          <w:tcPr>
            <w:tcW w:w="184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62673F5">
            <w:pPr>
              <w:spacing w:before="24" w:after="24" w:line="240" w:lineRule="auto"/>
              <w:jc w:val="center"/>
            </w:pPr>
            <w:r>
              <w:rPr>
                <w:rFonts w:ascii="Times New Roman" w:hAnsi="Times New Roman" w:eastAsia="宋体"/>
                <w:b/>
                <w:sz w:val="13"/>
              </w:rPr>
              <w:t>指标代码与名称</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12240F2">
            <w:pPr>
              <w:spacing w:before="24" w:after="24" w:line="240" w:lineRule="auto"/>
              <w:jc w:val="center"/>
            </w:pPr>
            <w:r>
              <w:rPr>
                <w:rFonts w:ascii="Times New Roman" w:hAnsi="Times New Roman" w:eastAsia="宋体"/>
                <w:b/>
                <w:sz w:val="13"/>
              </w:rPr>
              <w:t>(1)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40C5242">
            <w:pPr>
              <w:spacing w:before="24" w:after="24" w:line="240" w:lineRule="auto"/>
              <w:jc w:val="center"/>
            </w:pPr>
            <w:r>
              <w:rPr>
                <w:rFonts w:ascii="Times New Roman" w:hAnsi="Times New Roman" w:eastAsia="宋体"/>
                <w:b/>
                <w:sz w:val="13"/>
              </w:rPr>
              <w:t>(2)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DBB3C36">
            <w:pPr>
              <w:spacing w:before="24" w:after="24" w:line="240" w:lineRule="auto"/>
              <w:jc w:val="center"/>
            </w:pPr>
            <w:r>
              <w:rPr>
                <w:rFonts w:ascii="Times New Roman" w:hAnsi="Times New Roman" w:eastAsia="宋体"/>
                <w:b/>
                <w:sz w:val="13"/>
              </w:rPr>
              <w:t>(3)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139B4A3">
            <w:pPr>
              <w:spacing w:before="24" w:after="24" w:line="240" w:lineRule="auto"/>
              <w:jc w:val="center"/>
            </w:pPr>
            <w:r>
              <w:rPr>
                <w:rFonts w:ascii="Times New Roman" w:hAnsi="Times New Roman" w:eastAsia="宋体"/>
                <w:b/>
                <w:sz w:val="13"/>
              </w:rPr>
              <w:t>(4)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3E1A6E4">
            <w:pPr>
              <w:spacing w:before="24" w:after="24" w:line="240" w:lineRule="auto"/>
              <w:jc w:val="center"/>
            </w:pPr>
            <w:r>
              <w:rPr>
                <w:rFonts w:ascii="Times New Roman" w:hAnsi="Times New Roman" w:eastAsia="宋体"/>
                <w:b/>
                <w:sz w:val="13"/>
              </w:rPr>
              <w:t>(5)</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84C8259">
            <w:pPr>
              <w:spacing w:before="24" w:after="24" w:line="240" w:lineRule="auto"/>
              <w:jc w:val="center"/>
            </w:pPr>
            <w:r>
              <w:rPr>
                <w:rFonts w:ascii="Times New Roman" w:hAnsi="Times New Roman" w:eastAsia="宋体"/>
                <w:b/>
                <w:sz w:val="13"/>
              </w:rPr>
              <w:t>(6)</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2BB32D5">
            <w:pPr>
              <w:spacing w:before="24" w:after="24" w:line="240" w:lineRule="auto"/>
              <w:jc w:val="center"/>
            </w:pPr>
            <w:r>
              <w:rPr>
                <w:rFonts w:ascii="Times New Roman" w:hAnsi="Times New Roman" w:eastAsia="宋体"/>
                <w:b/>
                <w:sz w:val="13"/>
              </w:rPr>
              <w:t>(7)</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D58B6AE">
            <w:pPr>
              <w:spacing w:before="24" w:after="24" w:line="240" w:lineRule="auto"/>
              <w:jc w:val="center"/>
            </w:pPr>
            <w:r>
              <w:rPr>
                <w:rFonts w:ascii="Times New Roman" w:hAnsi="Times New Roman" w:eastAsia="宋体"/>
                <w:b/>
                <w:sz w:val="13"/>
              </w:rPr>
              <w:t>(8)</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1A44563">
            <w:pPr>
              <w:spacing w:before="24" w:after="24" w:line="240" w:lineRule="auto"/>
              <w:jc w:val="center"/>
            </w:pPr>
            <w:r>
              <w:rPr>
                <w:rFonts w:ascii="Times New Roman" w:hAnsi="Times New Roman" w:eastAsia="宋体"/>
                <w:b/>
                <w:sz w:val="13"/>
              </w:rPr>
              <w:t>(9)</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8725620">
            <w:pPr>
              <w:spacing w:before="24" w:after="24" w:line="240" w:lineRule="auto"/>
              <w:jc w:val="center"/>
            </w:pPr>
            <w:r>
              <w:rPr>
                <w:rFonts w:ascii="Times New Roman" w:hAnsi="Times New Roman" w:eastAsia="宋体"/>
                <w:b/>
                <w:sz w:val="13"/>
              </w:rPr>
              <w:t>(10)</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4BBAF82">
            <w:pPr>
              <w:spacing w:before="24" w:after="24" w:line="240" w:lineRule="auto"/>
              <w:jc w:val="center"/>
            </w:pPr>
            <w:r>
              <w:rPr>
                <w:rFonts w:ascii="Times New Roman" w:hAnsi="Times New Roman" w:eastAsia="宋体"/>
                <w:b/>
                <w:sz w:val="13"/>
              </w:rPr>
              <w:t>(11)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2D8B2C1">
            <w:pPr>
              <w:spacing w:before="24" w:after="24" w:line="240" w:lineRule="auto"/>
              <w:jc w:val="center"/>
            </w:pPr>
            <w:r>
              <w:rPr>
                <w:rFonts w:ascii="Times New Roman" w:hAnsi="Times New Roman" w:eastAsia="宋体"/>
                <w:b/>
                <w:sz w:val="13"/>
              </w:rPr>
              <w:t>(12)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80A1202">
            <w:pPr>
              <w:spacing w:before="24" w:after="24" w:line="240" w:lineRule="auto"/>
              <w:jc w:val="center"/>
            </w:pPr>
            <w:r>
              <w:rPr>
                <w:rFonts w:ascii="Times New Roman" w:hAnsi="Times New Roman" w:eastAsia="宋体"/>
                <w:b/>
                <w:sz w:val="13"/>
              </w:rPr>
              <w:t>(13)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3988BEE">
            <w:pPr>
              <w:spacing w:before="24" w:after="24" w:line="240" w:lineRule="auto"/>
              <w:jc w:val="center"/>
            </w:pPr>
            <w:r>
              <w:rPr>
                <w:rFonts w:ascii="Times New Roman" w:hAnsi="Times New Roman" w:eastAsia="宋体"/>
                <w:b/>
                <w:sz w:val="13"/>
              </w:rPr>
              <w:t>(14)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6C07F13">
            <w:pPr>
              <w:spacing w:before="24" w:after="24" w:line="240" w:lineRule="auto"/>
              <w:jc w:val="center"/>
            </w:pPr>
            <w:r>
              <w:rPr>
                <w:rFonts w:ascii="Times New Roman" w:hAnsi="Times New Roman" w:eastAsia="宋体"/>
                <w:b/>
                <w:sz w:val="13"/>
              </w:rPr>
              <w:t>(15)</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85061E0">
            <w:pPr>
              <w:spacing w:before="24" w:after="24" w:line="240" w:lineRule="auto"/>
              <w:jc w:val="center"/>
            </w:pPr>
            <w:r>
              <w:rPr>
                <w:rFonts w:ascii="Times New Roman" w:hAnsi="Times New Roman" w:eastAsia="宋体"/>
                <w:b/>
                <w:sz w:val="13"/>
              </w:rPr>
              <w:t>(16)</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00A5E31">
            <w:pPr>
              <w:spacing w:before="24" w:after="24" w:line="240" w:lineRule="auto"/>
              <w:jc w:val="center"/>
            </w:pPr>
            <w:r>
              <w:rPr>
                <w:rFonts w:ascii="Times New Roman" w:hAnsi="Times New Roman" w:eastAsia="宋体"/>
                <w:b/>
                <w:sz w:val="13"/>
              </w:rPr>
              <w:t>(17)</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416B29D">
            <w:pPr>
              <w:spacing w:before="24" w:after="24" w:line="240" w:lineRule="auto"/>
              <w:jc w:val="center"/>
            </w:pPr>
            <w:r>
              <w:rPr>
                <w:rFonts w:ascii="Times New Roman" w:hAnsi="Times New Roman" w:eastAsia="宋体"/>
                <w:b/>
                <w:sz w:val="13"/>
              </w:rPr>
              <w:t>(18)</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D629BBF">
            <w:pPr>
              <w:spacing w:before="24" w:after="24" w:line="240" w:lineRule="auto"/>
              <w:jc w:val="center"/>
            </w:pPr>
            <w:r>
              <w:rPr>
                <w:rFonts w:ascii="Times New Roman" w:hAnsi="Times New Roman" w:eastAsia="宋体"/>
                <w:b/>
                <w:sz w:val="13"/>
              </w:rPr>
              <w:t>(19)</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485680ED">
            <w:pPr>
              <w:spacing w:before="24" w:after="24" w:line="240" w:lineRule="auto"/>
              <w:jc w:val="center"/>
            </w:pPr>
            <w:r>
              <w:rPr>
                <w:rFonts w:ascii="Times New Roman" w:hAnsi="Times New Roman" w:eastAsia="宋体"/>
                <w:b/>
                <w:sz w:val="13"/>
              </w:rPr>
              <w:t>(20)</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E0E7100">
            <w:pPr>
              <w:spacing w:before="24" w:after="24" w:line="240" w:lineRule="auto"/>
              <w:jc w:val="center"/>
            </w:pPr>
            <w:r>
              <w:rPr>
                <w:rFonts w:ascii="Times New Roman" w:hAnsi="Times New Roman" w:eastAsia="宋体"/>
                <w:b/>
                <w:sz w:val="13"/>
              </w:rPr>
              <w:t>(21)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6A838DB">
            <w:pPr>
              <w:spacing w:before="24" w:after="24" w:line="240" w:lineRule="auto"/>
              <w:jc w:val="center"/>
            </w:pPr>
            <w:r>
              <w:rPr>
                <w:rFonts w:ascii="Times New Roman" w:hAnsi="Times New Roman" w:eastAsia="宋体"/>
                <w:b/>
                <w:sz w:val="13"/>
              </w:rPr>
              <w:t>(22)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9EE3F77">
            <w:pPr>
              <w:spacing w:before="24" w:after="24" w:line="240" w:lineRule="auto"/>
              <w:jc w:val="center"/>
            </w:pPr>
            <w:r>
              <w:rPr>
                <w:rFonts w:ascii="Times New Roman" w:hAnsi="Times New Roman" w:eastAsia="宋体"/>
                <w:b/>
                <w:sz w:val="13"/>
              </w:rPr>
              <w:t>(23)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738DAEE3">
            <w:pPr>
              <w:spacing w:before="24" w:after="24" w:line="240" w:lineRule="auto"/>
              <w:jc w:val="center"/>
            </w:pPr>
            <w:r>
              <w:rPr>
                <w:rFonts w:ascii="Times New Roman" w:hAnsi="Times New Roman" w:eastAsia="宋体"/>
                <w:b/>
                <w:sz w:val="13"/>
              </w:rPr>
              <w:t>(24)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C3902C0">
            <w:pPr>
              <w:spacing w:before="24" w:after="24" w:line="240" w:lineRule="auto"/>
              <w:jc w:val="center"/>
            </w:pPr>
            <w:r>
              <w:rPr>
                <w:rFonts w:ascii="Times New Roman" w:hAnsi="Times New Roman" w:eastAsia="宋体"/>
                <w:b/>
                <w:sz w:val="13"/>
              </w:rPr>
              <w:t>(25)</w:t>
            </w:r>
          </w:p>
        </w:tc>
        <w:tc>
          <w:tcPr>
            <w:tcW w:w="1224"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2045C38">
            <w:pPr>
              <w:spacing w:before="24" w:after="24" w:line="240" w:lineRule="auto"/>
              <w:jc w:val="center"/>
            </w:pPr>
            <w:r>
              <w:rPr>
                <w:rFonts w:ascii="Times New Roman" w:hAnsi="Times New Roman" w:eastAsia="宋体"/>
                <w:b/>
                <w:sz w:val="13"/>
              </w:rPr>
              <w:t>联立全模型</w:t>
            </w:r>
          </w:p>
        </w:tc>
      </w:tr>
      <w:tr w14:paraId="7BD1C66A">
        <w:tblPrEx>
          <w:tblCellMar>
            <w:top w:w="0" w:type="dxa"/>
            <w:left w:w="108" w:type="dxa"/>
            <w:bottom w:w="0" w:type="dxa"/>
            <w:right w:w="108" w:type="dxa"/>
          </w:tblCellMar>
        </w:tblPrEx>
        <w:trPr>
          <w:trHeight w:val="190" w:hRule="atLeast"/>
          <w:jc w:val="center"/>
        </w:trPr>
        <w:tc>
          <w:tcPr>
            <w:tcW w:w="1325" w:type="dxa"/>
            <w:tcBorders>
              <w:top w:val="single" w:color="000000" w:sz="4" w:space="0"/>
              <w:left w:val="nil"/>
              <w:bottom w:val="nil"/>
              <w:right w:val="nil"/>
            </w:tcBorders>
            <w:tcMar>
              <w:top w:w="8" w:type="dxa"/>
              <w:left w:w="20" w:type="dxa"/>
              <w:bottom w:w="8" w:type="dxa"/>
              <w:right w:w="20" w:type="dxa"/>
            </w:tcMar>
            <w:vAlign w:val="center"/>
          </w:tcPr>
          <w:p w14:paraId="19C8F732">
            <w:pPr>
              <w:spacing w:before="24" w:after="24" w:line="240" w:lineRule="auto"/>
              <w:jc w:val="center"/>
            </w:pPr>
            <w:r>
              <w:rPr>
                <w:rFonts w:ascii="Times New Roman" w:hAnsi="Times New Roman" w:eastAsia="宋体"/>
                <w:b w:val="0"/>
                <w:sz w:val="13"/>
              </w:rPr>
              <w:t>L1 基本面层</w:t>
            </w:r>
          </w:p>
        </w:tc>
        <w:tc>
          <w:tcPr>
            <w:tcW w:w="1152" w:type="dxa"/>
            <w:tcBorders>
              <w:top w:val="single" w:color="000000" w:sz="4" w:space="0"/>
              <w:left w:val="nil"/>
              <w:bottom w:val="nil"/>
              <w:right w:val="nil"/>
            </w:tcBorders>
            <w:tcMar>
              <w:top w:w="8" w:type="dxa"/>
              <w:left w:w="20" w:type="dxa"/>
              <w:bottom w:w="8" w:type="dxa"/>
              <w:right w:w="20" w:type="dxa"/>
            </w:tcMar>
            <w:vAlign w:val="center"/>
          </w:tcPr>
          <w:p w14:paraId="1D4126F4">
            <w:pPr>
              <w:spacing w:before="24" w:after="24" w:line="240" w:lineRule="auto"/>
              <w:jc w:val="center"/>
            </w:pPr>
            <w:r>
              <w:rPr>
                <w:rFonts w:ascii="Times New Roman" w:hAnsi="Times New Roman" w:eastAsia="宋体"/>
                <w:b w:val="0"/>
                <w:sz w:val="13"/>
              </w:rPr>
              <w:t>基本面边界</w:t>
            </w:r>
          </w:p>
        </w:tc>
        <w:tc>
          <w:tcPr>
            <w:tcW w:w="1843" w:type="dxa"/>
            <w:tcBorders>
              <w:top w:val="single" w:color="000000" w:sz="4" w:space="0"/>
              <w:left w:val="nil"/>
              <w:bottom w:val="nil"/>
              <w:right w:val="nil"/>
            </w:tcBorders>
            <w:tcMar>
              <w:top w:w="8" w:type="dxa"/>
              <w:left w:w="20" w:type="dxa"/>
              <w:bottom w:w="8" w:type="dxa"/>
              <w:right w:w="20" w:type="dxa"/>
            </w:tcMar>
            <w:vAlign w:val="center"/>
          </w:tcPr>
          <w:p w14:paraId="5F8409A6">
            <w:pPr>
              <w:spacing w:before="24" w:after="24" w:line="240" w:lineRule="auto"/>
              <w:jc w:val="center"/>
            </w:pPr>
            <w:r>
              <w:rPr>
                <w:rFonts w:ascii="Times New Roman" w:hAnsi="Times New Roman" w:eastAsia="宋体"/>
                <w:b w:val="0"/>
                <w:sz w:val="13"/>
              </w:rPr>
              <w:t>(1) 任职年限</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ABF6D1E">
            <w:pPr>
              <w:spacing w:before="24" w:after="24" w:line="240" w:lineRule="auto"/>
              <w:jc w:val="center"/>
            </w:pPr>
            <w:r>
              <w:rPr>
                <w:rFonts w:ascii="Times New Roman" w:hAnsi="Times New Roman" w:eastAsia="宋体"/>
                <w:b w:val="0"/>
                <w:sz w:val="13"/>
              </w:rPr>
              <w:t>-0.000*</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89803B7">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212B36E">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8C4195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FA7A86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ED49F5B">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2D5F67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69CFA2A">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F462A4D">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036E94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300BF9A">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60F3290">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90279B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7E2EF6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FEAB5C1">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9BB38F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BA75FCE">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6D50D2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259DF68">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132B518">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7C9D429">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2FD0B1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96D9B74">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2045E60">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696F9DD">
            <w:pPr>
              <w:spacing w:before="24" w:after="24" w:line="240" w:lineRule="auto"/>
              <w:jc w:val="center"/>
            </w:pPr>
          </w:p>
        </w:tc>
        <w:tc>
          <w:tcPr>
            <w:tcW w:w="1224" w:type="dxa"/>
            <w:tcBorders>
              <w:top w:val="single" w:color="000000" w:sz="4" w:space="0"/>
              <w:left w:val="nil"/>
              <w:bottom w:val="nil"/>
              <w:right w:val="nil"/>
            </w:tcBorders>
            <w:tcMar>
              <w:top w:w="8" w:type="dxa"/>
              <w:left w:w="20" w:type="dxa"/>
              <w:bottom w:w="8" w:type="dxa"/>
              <w:right w:w="20" w:type="dxa"/>
            </w:tcMar>
            <w:vAlign w:val="center"/>
          </w:tcPr>
          <w:p w14:paraId="6E413C13">
            <w:pPr>
              <w:spacing w:before="24" w:after="24" w:line="240" w:lineRule="auto"/>
              <w:jc w:val="center"/>
            </w:pPr>
            <w:r>
              <w:rPr>
                <w:rFonts w:ascii="Times New Roman" w:hAnsi="Times New Roman" w:eastAsia="宋体"/>
                <w:b/>
                <w:sz w:val="13"/>
              </w:rPr>
              <w:t>-2.3**</w:t>
            </w:r>
          </w:p>
        </w:tc>
      </w:tr>
      <w:tr w14:paraId="4C0C08C5">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055E39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53443F77">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8" w:type="dxa"/>
              <w:left w:w="20" w:type="dxa"/>
              <w:bottom w:w="8" w:type="dxa"/>
              <w:right w:w="20" w:type="dxa"/>
            </w:tcMar>
            <w:vAlign w:val="center"/>
          </w:tcPr>
          <w:p w14:paraId="3172F218">
            <w:pPr>
              <w:spacing w:before="24" w:after="24" w:line="240" w:lineRule="auto"/>
              <w:jc w:val="center"/>
            </w:pPr>
            <w:r>
              <w:rPr>
                <w:rFonts w:ascii="Times New Roman" w:hAnsi="Times New Roman" w:eastAsia="宋体"/>
                <w:b w:val="0"/>
                <w:sz w:val="13"/>
              </w:rPr>
              <w:t>(2) 基金年龄</w:t>
            </w:r>
          </w:p>
        </w:tc>
        <w:tc>
          <w:tcPr>
            <w:tcW w:w="403" w:type="dxa"/>
            <w:tcBorders>
              <w:top w:val="nil"/>
              <w:left w:val="nil"/>
              <w:bottom w:val="nil"/>
              <w:right w:val="nil"/>
            </w:tcBorders>
            <w:tcMar>
              <w:top w:w="8" w:type="dxa"/>
              <w:left w:w="20" w:type="dxa"/>
              <w:bottom w:w="8" w:type="dxa"/>
              <w:right w:w="20" w:type="dxa"/>
            </w:tcMar>
            <w:vAlign w:val="center"/>
          </w:tcPr>
          <w:p w14:paraId="2F1275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A2B330">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6B52114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DFCE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69DE2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1CB8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6E2E0E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4021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4E6F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F43C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ADA9D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392A9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37CD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27A8B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D36A4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F970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910F4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C6AA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D94A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FFB7C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81C36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CE93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F068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98633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CD2A5C">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A5F6C5B">
            <w:pPr>
              <w:spacing w:before="24" w:after="24" w:line="240" w:lineRule="auto"/>
              <w:jc w:val="center"/>
            </w:pPr>
            <w:r>
              <w:rPr>
                <w:rFonts w:ascii="Times New Roman" w:hAnsi="Times New Roman" w:eastAsia="宋体"/>
                <w:b w:val="0"/>
                <w:sz w:val="13"/>
              </w:rPr>
              <w:t>+1.1</w:t>
            </w:r>
          </w:p>
        </w:tc>
      </w:tr>
      <w:tr w14:paraId="0069688D">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ECF55E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737A85CE">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8" w:type="dxa"/>
              <w:left w:w="20" w:type="dxa"/>
              <w:bottom w:w="8" w:type="dxa"/>
              <w:right w:w="20" w:type="dxa"/>
            </w:tcMar>
            <w:vAlign w:val="center"/>
          </w:tcPr>
          <w:p w14:paraId="45CAA10D">
            <w:pPr>
              <w:spacing w:before="24" w:after="24" w:line="240" w:lineRule="auto"/>
              <w:jc w:val="center"/>
            </w:pPr>
            <w:r>
              <w:rPr>
                <w:rFonts w:ascii="Times New Roman" w:hAnsi="Times New Roman" w:eastAsia="宋体"/>
                <w:b w:val="0"/>
                <w:sz w:val="13"/>
              </w:rPr>
              <w:t>(3) 基金规模</w:t>
            </w:r>
          </w:p>
        </w:tc>
        <w:tc>
          <w:tcPr>
            <w:tcW w:w="403" w:type="dxa"/>
            <w:tcBorders>
              <w:top w:val="nil"/>
              <w:left w:val="nil"/>
              <w:bottom w:val="nil"/>
              <w:right w:val="nil"/>
            </w:tcBorders>
            <w:tcMar>
              <w:top w:w="8" w:type="dxa"/>
              <w:left w:w="20" w:type="dxa"/>
              <w:bottom w:w="8" w:type="dxa"/>
              <w:right w:w="20" w:type="dxa"/>
            </w:tcMar>
            <w:vAlign w:val="center"/>
          </w:tcPr>
          <w:p w14:paraId="069956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F77F3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FCA0C3">
            <w:pPr>
              <w:spacing w:before="24" w:after="24" w:line="240" w:lineRule="auto"/>
              <w:jc w:val="center"/>
            </w:pPr>
            <w:r>
              <w:rPr>
                <w:rFonts w:ascii="Times New Roman" w:hAnsi="Times New Roman" w:eastAsia="宋体"/>
                <w:b w:val="0"/>
                <w:sz w:val="13"/>
              </w:rPr>
              <w:t>-0.001</w:t>
            </w:r>
          </w:p>
        </w:tc>
        <w:tc>
          <w:tcPr>
            <w:tcW w:w="403" w:type="dxa"/>
            <w:tcBorders>
              <w:top w:val="nil"/>
              <w:left w:val="nil"/>
              <w:bottom w:val="nil"/>
              <w:right w:val="nil"/>
            </w:tcBorders>
            <w:tcMar>
              <w:top w:w="8" w:type="dxa"/>
              <w:left w:w="20" w:type="dxa"/>
              <w:bottom w:w="8" w:type="dxa"/>
              <w:right w:w="20" w:type="dxa"/>
            </w:tcMar>
            <w:vAlign w:val="center"/>
          </w:tcPr>
          <w:p w14:paraId="0917B5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6107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1A0C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C1FD4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3D0C2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8E9B7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D8644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ECA4A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D72CB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17AE4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550D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28F4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49CF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C37077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BA9DB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9FC58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9C8C9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8F37A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E1CD6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9FD8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89E54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153CFE">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6AB9F5C7">
            <w:pPr>
              <w:spacing w:before="24" w:after="24" w:line="240" w:lineRule="auto"/>
              <w:jc w:val="center"/>
            </w:pPr>
            <w:r>
              <w:rPr>
                <w:rFonts w:ascii="Times New Roman" w:hAnsi="Times New Roman" w:eastAsia="宋体"/>
                <w:b w:val="0"/>
                <w:sz w:val="13"/>
              </w:rPr>
              <w:t>+1.4</w:t>
            </w:r>
          </w:p>
        </w:tc>
      </w:tr>
      <w:tr w14:paraId="20F1363D">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A9E8CBF">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47E0D3E7">
            <w:pPr>
              <w:spacing w:before="24" w:after="24" w:line="240" w:lineRule="auto"/>
              <w:jc w:val="center"/>
            </w:pPr>
            <w:r>
              <w:rPr>
                <w:rFonts w:ascii="Times New Roman" w:hAnsi="Times New Roman" w:eastAsia="宋体"/>
                <w:b w:val="0"/>
                <w:sz w:val="13"/>
              </w:rPr>
              <w:t>个人背景</w:t>
            </w:r>
          </w:p>
        </w:tc>
        <w:tc>
          <w:tcPr>
            <w:tcW w:w="1843" w:type="dxa"/>
            <w:tcBorders>
              <w:top w:val="nil"/>
              <w:left w:val="nil"/>
              <w:bottom w:val="nil"/>
              <w:right w:val="nil"/>
            </w:tcBorders>
            <w:tcMar>
              <w:top w:w="8" w:type="dxa"/>
              <w:left w:w="20" w:type="dxa"/>
              <w:bottom w:w="8" w:type="dxa"/>
              <w:right w:w="20" w:type="dxa"/>
            </w:tcMar>
            <w:vAlign w:val="center"/>
          </w:tcPr>
          <w:p w14:paraId="6517A3D7">
            <w:pPr>
              <w:spacing w:before="24" w:after="24" w:line="240" w:lineRule="auto"/>
              <w:jc w:val="center"/>
            </w:pPr>
            <w:r>
              <w:rPr>
                <w:rFonts w:ascii="Times New Roman" w:hAnsi="Times New Roman" w:eastAsia="宋体"/>
                <w:b w:val="0"/>
                <w:sz w:val="13"/>
              </w:rPr>
              <w:t>(4) 性别（男=1）</w:t>
            </w:r>
          </w:p>
        </w:tc>
        <w:tc>
          <w:tcPr>
            <w:tcW w:w="403" w:type="dxa"/>
            <w:tcBorders>
              <w:top w:val="nil"/>
              <w:left w:val="nil"/>
              <w:bottom w:val="nil"/>
              <w:right w:val="nil"/>
            </w:tcBorders>
            <w:tcMar>
              <w:top w:w="8" w:type="dxa"/>
              <w:left w:w="20" w:type="dxa"/>
              <w:bottom w:w="8" w:type="dxa"/>
              <w:right w:w="20" w:type="dxa"/>
            </w:tcMar>
            <w:vAlign w:val="center"/>
          </w:tcPr>
          <w:p w14:paraId="4A0032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0383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33156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6F0936">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8" w:type="dxa"/>
              <w:left w:w="20" w:type="dxa"/>
              <w:bottom w:w="8" w:type="dxa"/>
              <w:right w:w="20" w:type="dxa"/>
            </w:tcMar>
            <w:vAlign w:val="center"/>
          </w:tcPr>
          <w:p w14:paraId="50C58E2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12E4A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58FC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ACC46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88C6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CD34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D284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71187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9A2E5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17BB0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0633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62CB1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2F4F8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1A67A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32AF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21BA3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BD849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69F4F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5F5C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86F8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11B331">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1E1F790F">
            <w:pPr>
              <w:spacing w:before="24" w:after="24" w:line="240" w:lineRule="auto"/>
              <w:jc w:val="center"/>
            </w:pPr>
            <w:r>
              <w:rPr>
                <w:rFonts w:ascii="Times New Roman" w:hAnsi="Times New Roman" w:eastAsia="宋体"/>
                <w:b w:val="0"/>
                <w:sz w:val="13"/>
              </w:rPr>
              <w:t>—</w:t>
            </w:r>
          </w:p>
        </w:tc>
      </w:tr>
      <w:tr w14:paraId="1FA1A3F1">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BC157E0">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24E5A315">
            <w:pPr>
              <w:spacing w:before="24" w:after="24" w:line="240" w:lineRule="auto"/>
              <w:jc w:val="center"/>
            </w:pPr>
            <w:r>
              <w:rPr>
                <w:rFonts w:ascii="Times New Roman" w:hAnsi="Times New Roman" w:eastAsia="宋体"/>
                <w:b w:val="0"/>
                <w:sz w:val="13"/>
              </w:rPr>
              <w:t>专业资质</w:t>
            </w:r>
          </w:p>
        </w:tc>
        <w:tc>
          <w:tcPr>
            <w:tcW w:w="1843" w:type="dxa"/>
            <w:tcBorders>
              <w:top w:val="nil"/>
              <w:left w:val="nil"/>
              <w:bottom w:val="nil"/>
              <w:right w:val="nil"/>
            </w:tcBorders>
            <w:tcMar>
              <w:top w:w="8" w:type="dxa"/>
              <w:left w:w="20" w:type="dxa"/>
              <w:bottom w:w="8" w:type="dxa"/>
              <w:right w:w="20" w:type="dxa"/>
            </w:tcMar>
            <w:vAlign w:val="center"/>
          </w:tcPr>
          <w:p w14:paraId="736E72D2">
            <w:pPr>
              <w:spacing w:before="24" w:after="24" w:line="240" w:lineRule="auto"/>
              <w:jc w:val="center"/>
            </w:pPr>
            <w:r>
              <w:rPr>
                <w:rFonts w:ascii="Times New Roman" w:hAnsi="Times New Roman" w:eastAsia="宋体"/>
                <w:b w:val="0"/>
                <w:sz w:val="13"/>
              </w:rPr>
              <w:t>(5) CFA持证</w:t>
            </w:r>
          </w:p>
        </w:tc>
        <w:tc>
          <w:tcPr>
            <w:tcW w:w="403" w:type="dxa"/>
            <w:tcBorders>
              <w:top w:val="nil"/>
              <w:left w:val="nil"/>
              <w:bottom w:val="nil"/>
              <w:right w:val="nil"/>
            </w:tcBorders>
            <w:tcMar>
              <w:top w:w="8" w:type="dxa"/>
              <w:left w:w="20" w:type="dxa"/>
              <w:bottom w:w="8" w:type="dxa"/>
              <w:right w:w="20" w:type="dxa"/>
            </w:tcMar>
            <w:vAlign w:val="center"/>
          </w:tcPr>
          <w:p w14:paraId="773A67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9457F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7488B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E8C3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813DD1">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8" w:type="dxa"/>
              <w:left w:w="20" w:type="dxa"/>
              <w:bottom w:w="8" w:type="dxa"/>
              <w:right w:w="20" w:type="dxa"/>
            </w:tcMar>
            <w:vAlign w:val="center"/>
          </w:tcPr>
          <w:p w14:paraId="6574946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90C5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376D1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FD5D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A81D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F9F1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C54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4F51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14AF7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C7D8B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F5028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1B6FB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8C15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2FB12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3118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43D7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D844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3EF1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529C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157150">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09B589E">
            <w:pPr>
              <w:spacing w:before="24" w:after="24" w:line="240" w:lineRule="auto"/>
              <w:jc w:val="center"/>
            </w:pPr>
            <w:r>
              <w:rPr>
                <w:rFonts w:ascii="Times New Roman" w:hAnsi="Times New Roman" w:eastAsia="宋体"/>
                <w:b w:val="0"/>
                <w:sz w:val="13"/>
              </w:rPr>
              <w:t>—</w:t>
            </w:r>
          </w:p>
        </w:tc>
      </w:tr>
      <w:tr w14:paraId="3C84A8E0">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7C6E3B1C">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01C7D5DB">
            <w:pPr>
              <w:spacing w:before="24" w:after="24" w:line="240" w:lineRule="auto"/>
              <w:jc w:val="center"/>
            </w:pPr>
            <w:r>
              <w:rPr>
                <w:rFonts w:ascii="Times New Roman" w:hAnsi="Times New Roman" w:eastAsia="宋体"/>
                <w:b w:val="0"/>
                <w:sz w:val="13"/>
              </w:rPr>
              <w:t>学历背景</w:t>
            </w:r>
          </w:p>
        </w:tc>
        <w:tc>
          <w:tcPr>
            <w:tcW w:w="1843" w:type="dxa"/>
            <w:tcBorders>
              <w:top w:val="nil"/>
              <w:left w:val="nil"/>
              <w:bottom w:val="nil"/>
              <w:right w:val="nil"/>
            </w:tcBorders>
            <w:tcMar>
              <w:top w:w="8" w:type="dxa"/>
              <w:left w:w="20" w:type="dxa"/>
              <w:bottom w:w="8" w:type="dxa"/>
              <w:right w:w="20" w:type="dxa"/>
            </w:tcMar>
            <w:vAlign w:val="center"/>
          </w:tcPr>
          <w:p w14:paraId="50D71645">
            <w:pPr>
              <w:spacing w:before="24" w:after="24" w:line="240" w:lineRule="auto"/>
              <w:jc w:val="center"/>
            </w:pPr>
            <w:r>
              <w:rPr>
                <w:rFonts w:ascii="Times New Roman" w:hAnsi="Times New Roman" w:eastAsia="宋体"/>
                <w:b w:val="0"/>
                <w:sz w:val="13"/>
              </w:rPr>
              <w:t>(6) 硕士及以上</w:t>
            </w:r>
          </w:p>
        </w:tc>
        <w:tc>
          <w:tcPr>
            <w:tcW w:w="403" w:type="dxa"/>
            <w:tcBorders>
              <w:top w:val="nil"/>
              <w:left w:val="nil"/>
              <w:bottom w:val="nil"/>
              <w:right w:val="nil"/>
            </w:tcBorders>
            <w:tcMar>
              <w:top w:w="8" w:type="dxa"/>
              <w:left w:w="20" w:type="dxa"/>
              <w:bottom w:w="8" w:type="dxa"/>
              <w:right w:w="20" w:type="dxa"/>
            </w:tcMar>
            <w:vAlign w:val="center"/>
          </w:tcPr>
          <w:p w14:paraId="3B6AD8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CE64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1FB32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C0D0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219B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9E51A1">
            <w:pPr>
              <w:spacing w:before="24" w:after="24" w:line="240" w:lineRule="auto"/>
              <w:jc w:val="center"/>
            </w:pPr>
            <w:r>
              <w:rPr>
                <w:rFonts w:ascii="Times New Roman" w:hAnsi="Times New Roman" w:eastAsia="宋体"/>
                <w:b w:val="0"/>
                <w:sz w:val="13"/>
              </w:rPr>
              <w:t>+0.01</w:t>
            </w:r>
          </w:p>
        </w:tc>
        <w:tc>
          <w:tcPr>
            <w:tcW w:w="403" w:type="dxa"/>
            <w:tcBorders>
              <w:top w:val="nil"/>
              <w:left w:val="nil"/>
              <w:bottom w:val="nil"/>
              <w:right w:val="nil"/>
            </w:tcBorders>
            <w:tcMar>
              <w:top w:w="8" w:type="dxa"/>
              <w:left w:w="20" w:type="dxa"/>
              <w:bottom w:w="8" w:type="dxa"/>
              <w:right w:w="20" w:type="dxa"/>
            </w:tcMar>
            <w:vAlign w:val="center"/>
          </w:tcPr>
          <w:p w14:paraId="582D86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F5F0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EB3DDB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9AB7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1F8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0DD47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90F7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CAAA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9B45C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287F6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C6ED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8B7D9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38982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A6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22543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52228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519C1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617B0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0D1632">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4B5537C">
            <w:pPr>
              <w:spacing w:before="24" w:after="24" w:line="240" w:lineRule="auto"/>
              <w:jc w:val="center"/>
            </w:pPr>
            <w:r>
              <w:rPr>
                <w:rFonts w:ascii="Times New Roman" w:hAnsi="Times New Roman" w:eastAsia="宋体"/>
                <w:b w:val="0"/>
                <w:sz w:val="13"/>
              </w:rPr>
              <w:t>—</w:t>
            </w:r>
          </w:p>
        </w:tc>
      </w:tr>
      <w:tr w14:paraId="6B3752D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2C7020E">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7F3018E1">
            <w:pPr>
              <w:spacing w:before="24" w:after="24" w:line="240" w:lineRule="auto"/>
              <w:jc w:val="center"/>
            </w:pPr>
            <w:r>
              <w:rPr>
                <w:rFonts w:ascii="Times New Roman" w:hAnsi="Times New Roman" w:eastAsia="宋体"/>
                <w:b w:val="0"/>
                <w:sz w:val="13"/>
              </w:rPr>
              <w:t>院校背景</w:t>
            </w:r>
          </w:p>
        </w:tc>
        <w:tc>
          <w:tcPr>
            <w:tcW w:w="1843" w:type="dxa"/>
            <w:tcBorders>
              <w:top w:val="nil"/>
              <w:left w:val="nil"/>
              <w:bottom w:val="nil"/>
              <w:right w:val="nil"/>
            </w:tcBorders>
            <w:tcMar>
              <w:top w:w="8" w:type="dxa"/>
              <w:left w:w="20" w:type="dxa"/>
              <w:bottom w:w="8" w:type="dxa"/>
              <w:right w:w="20" w:type="dxa"/>
            </w:tcMar>
            <w:vAlign w:val="center"/>
          </w:tcPr>
          <w:p w14:paraId="6DD022AA">
            <w:pPr>
              <w:spacing w:before="24" w:after="24" w:line="240" w:lineRule="auto"/>
              <w:jc w:val="center"/>
            </w:pPr>
            <w:r>
              <w:rPr>
                <w:rFonts w:ascii="Times New Roman" w:hAnsi="Times New Roman" w:eastAsia="宋体"/>
                <w:b w:val="0"/>
                <w:sz w:val="13"/>
              </w:rPr>
              <w:t>(7) 名校毕业</w:t>
            </w:r>
          </w:p>
        </w:tc>
        <w:tc>
          <w:tcPr>
            <w:tcW w:w="403" w:type="dxa"/>
            <w:tcBorders>
              <w:top w:val="nil"/>
              <w:left w:val="nil"/>
              <w:bottom w:val="nil"/>
              <w:right w:val="nil"/>
            </w:tcBorders>
            <w:tcMar>
              <w:top w:w="8" w:type="dxa"/>
              <w:left w:w="20" w:type="dxa"/>
              <w:bottom w:w="8" w:type="dxa"/>
              <w:right w:w="20" w:type="dxa"/>
            </w:tcMar>
            <w:vAlign w:val="center"/>
          </w:tcPr>
          <w:p w14:paraId="2A5819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E34D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2AB7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BB93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83F9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B31B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96DC1C">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8" w:type="dxa"/>
              <w:left w:w="20" w:type="dxa"/>
              <w:bottom w:w="8" w:type="dxa"/>
              <w:right w:w="20" w:type="dxa"/>
            </w:tcMar>
            <w:vAlign w:val="center"/>
          </w:tcPr>
          <w:p w14:paraId="4A2CCF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D73D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E153A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C618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418F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8870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B3AA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3D8A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7628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DEA8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536F4D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2B6B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13C12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B4C2B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35E8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DE962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F017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F954678">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87E9663">
            <w:pPr>
              <w:spacing w:before="24" w:after="24" w:line="240" w:lineRule="auto"/>
              <w:jc w:val="center"/>
            </w:pPr>
            <w:r>
              <w:rPr>
                <w:rFonts w:ascii="Times New Roman" w:hAnsi="Times New Roman" w:eastAsia="宋体"/>
                <w:b w:val="0"/>
                <w:sz w:val="13"/>
              </w:rPr>
              <w:t>—</w:t>
            </w:r>
          </w:p>
        </w:tc>
      </w:tr>
      <w:tr w14:paraId="311D37A3">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23133ADE">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1EC5013C">
            <w:pPr>
              <w:spacing w:before="24" w:after="24" w:line="240" w:lineRule="auto"/>
              <w:jc w:val="center"/>
            </w:pPr>
            <w:r>
              <w:rPr>
                <w:rFonts w:ascii="Times New Roman" w:hAnsi="Times New Roman" w:eastAsia="宋体"/>
                <w:b w:val="0"/>
                <w:sz w:val="13"/>
              </w:rPr>
              <w:t>风险态度</w:t>
            </w:r>
          </w:p>
        </w:tc>
        <w:tc>
          <w:tcPr>
            <w:tcW w:w="1843" w:type="dxa"/>
            <w:tcBorders>
              <w:top w:val="nil"/>
              <w:left w:val="nil"/>
              <w:bottom w:val="nil"/>
              <w:right w:val="nil"/>
            </w:tcBorders>
            <w:tcMar>
              <w:top w:w="8" w:type="dxa"/>
              <w:left w:w="20" w:type="dxa"/>
              <w:bottom w:w="8" w:type="dxa"/>
              <w:right w:w="20" w:type="dxa"/>
            </w:tcMar>
            <w:vAlign w:val="center"/>
          </w:tcPr>
          <w:p w14:paraId="1EB79578">
            <w:pPr>
              <w:spacing w:before="24" w:after="24" w:line="240" w:lineRule="auto"/>
              <w:jc w:val="center"/>
            </w:pPr>
            <w:r>
              <w:rPr>
                <w:rFonts w:ascii="Times New Roman" w:hAnsi="Times New Roman" w:eastAsia="宋体"/>
                <w:b w:val="0"/>
                <w:sz w:val="13"/>
              </w:rPr>
              <w:t>(8) 风险偏好不对称性</w:t>
            </w:r>
          </w:p>
        </w:tc>
        <w:tc>
          <w:tcPr>
            <w:tcW w:w="403" w:type="dxa"/>
            <w:tcBorders>
              <w:top w:val="nil"/>
              <w:left w:val="nil"/>
              <w:bottom w:val="nil"/>
              <w:right w:val="nil"/>
            </w:tcBorders>
            <w:tcMar>
              <w:top w:w="8" w:type="dxa"/>
              <w:left w:w="20" w:type="dxa"/>
              <w:bottom w:w="8" w:type="dxa"/>
              <w:right w:w="20" w:type="dxa"/>
            </w:tcMar>
            <w:vAlign w:val="center"/>
          </w:tcPr>
          <w:p w14:paraId="0F8814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5157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9A8E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9E06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06E3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86C8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679A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A6C955">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8" w:type="dxa"/>
              <w:left w:w="20" w:type="dxa"/>
              <w:bottom w:w="8" w:type="dxa"/>
              <w:right w:w="20" w:type="dxa"/>
            </w:tcMar>
            <w:vAlign w:val="center"/>
          </w:tcPr>
          <w:p w14:paraId="5F35CA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CE8E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5A18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0B47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F6D31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BE1C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053F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8ED8D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73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C8843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FDE43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DA202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F4FC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BF795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89093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BE03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6149FD">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1C7291F">
            <w:pPr>
              <w:spacing w:before="24" w:after="24" w:line="240" w:lineRule="auto"/>
              <w:jc w:val="center"/>
            </w:pPr>
            <w:r>
              <w:rPr>
                <w:rFonts w:ascii="Times New Roman" w:hAnsi="Times New Roman" w:eastAsia="宋体"/>
                <w:b/>
                <w:sz w:val="13"/>
              </w:rPr>
              <w:t>+2.9***</w:t>
            </w:r>
          </w:p>
        </w:tc>
      </w:tr>
      <w:tr w14:paraId="4EBB7629">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FCC3C76">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7DC8E3B2">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8" w:type="dxa"/>
              <w:left w:w="20" w:type="dxa"/>
              <w:bottom w:w="8" w:type="dxa"/>
              <w:right w:w="20" w:type="dxa"/>
            </w:tcMar>
            <w:vAlign w:val="center"/>
          </w:tcPr>
          <w:p w14:paraId="6FEEDF8C">
            <w:pPr>
              <w:spacing w:before="24" w:after="24" w:line="240" w:lineRule="auto"/>
              <w:jc w:val="center"/>
            </w:pPr>
            <w:r>
              <w:rPr>
                <w:rFonts w:ascii="Times New Roman" w:hAnsi="Times New Roman" w:eastAsia="宋体"/>
                <w:b w:val="0"/>
                <w:sz w:val="13"/>
              </w:rPr>
              <w:t>(9) 处置效应</w:t>
            </w:r>
          </w:p>
        </w:tc>
        <w:tc>
          <w:tcPr>
            <w:tcW w:w="403" w:type="dxa"/>
            <w:tcBorders>
              <w:top w:val="nil"/>
              <w:left w:val="nil"/>
              <w:bottom w:val="nil"/>
              <w:right w:val="nil"/>
            </w:tcBorders>
            <w:tcMar>
              <w:top w:w="8" w:type="dxa"/>
              <w:left w:w="20" w:type="dxa"/>
              <w:bottom w:w="8" w:type="dxa"/>
              <w:right w:w="20" w:type="dxa"/>
            </w:tcMar>
            <w:vAlign w:val="center"/>
          </w:tcPr>
          <w:p w14:paraId="0AED3E3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C455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5D25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337A5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C0EAE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D05B8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7DEF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8AA9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0DF228">
            <w:pPr>
              <w:spacing w:before="24" w:after="24" w:line="240" w:lineRule="auto"/>
              <w:jc w:val="center"/>
            </w:pPr>
            <w:r>
              <w:rPr>
                <w:rFonts w:ascii="Times New Roman" w:hAnsi="Times New Roman" w:eastAsia="宋体"/>
                <w:b/>
                <w:sz w:val="13"/>
              </w:rPr>
              <w:t>-0.07***</w:t>
            </w:r>
          </w:p>
        </w:tc>
        <w:tc>
          <w:tcPr>
            <w:tcW w:w="403" w:type="dxa"/>
            <w:tcBorders>
              <w:top w:val="nil"/>
              <w:left w:val="nil"/>
              <w:bottom w:val="nil"/>
              <w:right w:val="nil"/>
            </w:tcBorders>
            <w:tcMar>
              <w:top w:w="8" w:type="dxa"/>
              <w:left w:w="20" w:type="dxa"/>
              <w:bottom w:w="8" w:type="dxa"/>
              <w:right w:w="20" w:type="dxa"/>
            </w:tcMar>
            <w:vAlign w:val="center"/>
          </w:tcPr>
          <w:p w14:paraId="3D0F67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042D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085B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76D6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E110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20768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CF348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9D45E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25C5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80FA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DC5FB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6F75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6CF8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476BC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7446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B3ADF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236E2A9F">
            <w:pPr>
              <w:spacing w:before="24" w:after="24" w:line="240" w:lineRule="auto"/>
              <w:jc w:val="center"/>
            </w:pPr>
            <w:r>
              <w:rPr>
                <w:rFonts w:ascii="Times New Roman" w:hAnsi="Times New Roman" w:eastAsia="宋体"/>
                <w:b/>
                <w:sz w:val="13"/>
              </w:rPr>
              <w:t>-2.3**</w:t>
            </w:r>
          </w:p>
        </w:tc>
      </w:tr>
      <w:tr w14:paraId="7D5E4905">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755B39A">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1FA0D336">
            <w:pPr>
              <w:spacing w:before="24" w:after="24" w:line="240" w:lineRule="auto"/>
              <w:jc w:val="center"/>
            </w:pPr>
            <w:r>
              <w:rPr>
                <w:rFonts w:ascii="Times New Roman" w:hAnsi="Times New Roman" w:eastAsia="宋体"/>
                <w:b w:val="0"/>
                <w:sz w:val="13"/>
              </w:rPr>
              <w:t>过度自信</w:t>
            </w:r>
          </w:p>
        </w:tc>
        <w:tc>
          <w:tcPr>
            <w:tcW w:w="1843" w:type="dxa"/>
            <w:tcBorders>
              <w:top w:val="nil"/>
              <w:left w:val="nil"/>
              <w:bottom w:val="nil"/>
              <w:right w:val="nil"/>
            </w:tcBorders>
            <w:tcMar>
              <w:top w:w="8" w:type="dxa"/>
              <w:left w:w="20" w:type="dxa"/>
              <w:bottom w:w="8" w:type="dxa"/>
              <w:right w:w="20" w:type="dxa"/>
            </w:tcMar>
            <w:vAlign w:val="center"/>
          </w:tcPr>
          <w:p w14:paraId="0066B820">
            <w:pPr>
              <w:spacing w:before="24" w:after="24" w:line="240" w:lineRule="auto"/>
              <w:jc w:val="center"/>
            </w:pPr>
            <w:r>
              <w:rPr>
                <w:rFonts w:ascii="Times New Roman" w:hAnsi="Times New Roman" w:eastAsia="宋体"/>
                <w:b w:val="0"/>
                <w:sz w:val="13"/>
              </w:rPr>
              <w:t>(10) 过度自信</w:t>
            </w:r>
          </w:p>
        </w:tc>
        <w:tc>
          <w:tcPr>
            <w:tcW w:w="403" w:type="dxa"/>
            <w:tcBorders>
              <w:top w:val="nil"/>
              <w:left w:val="nil"/>
              <w:bottom w:val="nil"/>
              <w:right w:val="nil"/>
            </w:tcBorders>
            <w:tcMar>
              <w:top w:w="8" w:type="dxa"/>
              <w:left w:w="20" w:type="dxa"/>
              <w:bottom w:w="8" w:type="dxa"/>
              <w:right w:w="20" w:type="dxa"/>
            </w:tcMar>
            <w:vAlign w:val="center"/>
          </w:tcPr>
          <w:p w14:paraId="69B38C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826C6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DDA0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69E8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B5E7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417B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3F11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DC87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791F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AE8A9F">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8" w:type="dxa"/>
              <w:left w:w="20" w:type="dxa"/>
              <w:bottom w:w="8" w:type="dxa"/>
              <w:right w:w="20" w:type="dxa"/>
            </w:tcMar>
            <w:vAlign w:val="center"/>
          </w:tcPr>
          <w:p w14:paraId="360D0C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F7E5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C0A94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79FE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4524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2614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A93D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C4B38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4E19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653FD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F6A1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F0E1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5C8C3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0F514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5ABDB0">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18453F53">
            <w:pPr>
              <w:spacing w:before="24" w:after="24" w:line="240" w:lineRule="auto"/>
              <w:jc w:val="center"/>
            </w:pPr>
            <w:r>
              <w:rPr>
                <w:rFonts w:ascii="Times New Roman" w:hAnsi="Times New Roman" w:eastAsia="宋体"/>
                <w:b w:val="0"/>
                <w:sz w:val="13"/>
              </w:rPr>
              <w:t>-0.7</w:t>
            </w:r>
          </w:p>
        </w:tc>
      </w:tr>
      <w:tr w14:paraId="19F6000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F0F275B">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6B4B8EFA">
            <w:pPr>
              <w:spacing w:before="24" w:after="24" w:line="240" w:lineRule="auto"/>
              <w:jc w:val="center"/>
            </w:pPr>
            <w:r>
              <w:rPr>
                <w:rFonts w:ascii="Times New Roman" w:hAnsi="Times New Roman" w:eastAsia="宋体"/>
                <w:b w:val="0"/>
                <w:sz w:val="13"/>
              </w:rPr>
              <w:t>趋势外推</w:t>
            </w:r>
          </w:p>
        </w:tc>
        <w:tc>
          <w:tcPr>
            <w:tcW w:w="1843" w:type="dxa"/>
            <w:tcBorders>
              <w:top w:val="nil"/>
              <w:left w:val="nil"/>
              <w:bottom w:val="nil"/>
              <w:right w:val="nil"/>
            </w:tcBorders>
            <w:tcMar>
              <w:top w:w="8" w:type="dxa"/>
              <w:left w:w="20" w:type="dxa"/>
              <w:bottom w:w="8" w:type="dxa"/>
              <w:right w:w="20" w:type="dxa"/>
            </w:tcMar>
            <w:vAlign w:val="center"/>
          </w:tcPr>
          <w:p w14:paraId="57AEEA8A">
            <w:pPr>
              <w:spacing w:before="24" w:after="24" w:line="240" w:lineRule="auto"/>
              <w:jc w:val="center"/>
            </w:pPr>
            <w:r>
              <w:rPr>
                <w:rFonts w:ascii="Times New Roman" w:hAnsi="Times New Roman" w:eastAsia="宋体"/>
                <w:b w:val="0"/>
                <w:sz w:val="13"/>
              </w:rPr>
              <w:t>(11) 追涨杀跌</w:t>
            </w:r>
          </w:p>
        </w:tc>
        <w:tc>
          <w:tcPr>
            <w:tcW w:w="403" w:type="dxa"/>
            <w:tcBorders>
              <w:top w:val="nil"/>
              <w:left w:val="nil"/>
              <w:bottom w:val="nil"/>
              <w:right w:val="nil"/>
            </w:tcBorders>
            <w:tcMar>
              <w:top w:w="8" w:type="dxa"/>
              <w:left w:w="20" w:type="dxa"/>
              <w:bottom w:w="8" w:type="dxa"/>
              <w:right w:w="20" w:type="dxa"/>
            </w:tcMar>
            <w:vAlign w:val="center"/>
          </w:tcPr>
          <w:p w14:paraId="4108016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C6E9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24E74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C9AD4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B5B4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34CD0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D5CC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B5B60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EA9A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96FD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7282F4">
            <w:pPr>
              <w:spacing w:before="24" w:after="24" w:line="240" w:lineRule="auto"/>
              <w:jc w:val="center"/>
            </w:pPr>
            <w:r>
              <w:rPr>
                <w:rFonts w:ascii="Times New Roman" w:hAnsi="Times New Roman" w:eastAsia="宋体"/>
                <w:b w:val="0"/>
                <w:sz w:val="13"/>
              </w:rPr>
              <w:t>-0.02</w:t>
            </w:r>
          </w:p>
        </w:tc>
        <w:tc>
          <w:tcPr>
            <w:tcW w:w="403" w:type="dxa"/>
            <w:tcBorders>
              <w:top w:val="nil"/>
              <w:left w:val="nil"/>
              <w:bottom w:val="nil"/>
              <w:right w:val="nil"/>
            </w:tcBorders>
            <w:tcMar>
              <w:top w:w="8" w:type="dxa"/>
              <w:left w:w="20" w:type="dxa"/>
              <w:bottom w:w="8" w:type="dxa"/>
              <w:right w:w="20" w:type="dxa"/>
            </w:tcMar>
            <w:vAlign w:val="center"/>
          </w:tcPr>
          <w:p w14:paraId="1D04268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9C2C3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1B6E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BF06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90E3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1883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231DA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5A6F9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2D87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30434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525D4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F778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4EC0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DA62A3">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90661A5">
            <w:pPr>
              <w:spacing w:before="24" w:after="24" w:line="240" w:lineRule="auto"/>
              <w:jc w:val="center"/>
            </w:pPr>
            <w:r>
              <w:rPr>
                <w:rFonts w:ascii="Times New Roman" w:hAnsi="Times New Roman" w:eastAsia="宋体"/>
                <w:b/>
                <w:sz w:val="13"/>
              </w:rPr>
              <w:t>+2.6***</w:t>
            </w:r>
          </w:p>
        </w:tc>
      </w:tr>
      <w:tr w14:paraId="25352E6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71EBAD2">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0D5BDC64">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8" w:type="dxa"/>
              <w:left w:w="20" w:type="dxa"/>
              <w:bottom w:w="8" w:type="dxa"/>
              <w:right w:w="20" w:type="dxa"/>
            </w:tcMar>
            <w:vAlign w:val="center"/>
          </w:tcPr>
          <w:p w14:paraId="66AD5BCE">
            <w:pPr>
              <w:spacing w:before="24" w:after="24" w:line="240" w:lineRule="auto"/>
              <w:jc w:val="center"/>
            </w:pPr>
            <w:r>
              <w:rPr>
                <w:rFonts w:ascii="Times New Roman" w:hAnsi="Times New Roman" w:eastAsia="宋体"/>
                <w:b w:val="0"/>
                <w:sz w:val="13"/>
              </w:rPr>
              <w:t>(12) 锚定效应</w:t>
            </w:r>
          </w:p>
        </w:tc>
        <w:tc>
          <w:tcPr>
            <w:tcW w:w="403" w:type="dxa"/>
            <w:tcBorders>
              <w:top w:val="nil"/>
              <w:left w:val="nil"/>
              <w:bottom w:val="nil"/>
              <w:right w:val="nil"/>
            </w:tcBorders>
            <w:tcMar>
              <w:top w:w="8" w:type="dxa"/>
              <w:left w:w="20" w:type="dxa"/>
              <w:bottom w:w="8" w:type="dxa"/>
              <w:right w:w="20" w:type="dxa"/>
            </w:tcMar>
            <w:vAlign w:val="center"/>
          </w:tcPr>
          <w:p w14:paraId="58D910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0C30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EFCAA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FBE28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055B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62612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95956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4E33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4C224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E126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D142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E35ADE">
            <w:pPr>
              <w:spacing w:before="24" w:after="24" w:line="240" w:lineRule="auto"/>
              <w:jc w:val="center"/>
            </w:pPr>
            <w:r>
              <w:rPr>
                <w:rFonts w:ascii="Times New Roman" w:hAnsi="Times New Roman" w:eastAsia="宋体"/>
                <w:b/>
                <w:sz w:val="13"/>
              </w:rPr>
              <w:t>+0.09***</w:t>
            </w:r>
          </w:p>
        </w:tc>
        <w:tc>
          <w:tcPr>
            <w:tcW w:w="403" w:type="dxa"/>
            <w:tcBorders>
              <w:top w:val="nil"/>
              <w:left w:val="nil"/>
              <w:bottom w:val="nil"/>
              <w:right w:val="nil"/>
            </w:tcBorders>
            <w:tcMar>
              <w:top w:w="8" w:type="dxa"/>
              <w:left w:w="20" w:type="dxa"/>
              <w:bottom w:w="8" w:type="dxa"/>
              <w:right w:w="20" w:type="dxa"/>
            </w:tcMar>
            <w:vAlign w:val="center"/>
          </w:tcPr>
          <w:p w14:paraId="72AB37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03438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3314D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3467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34AC3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0833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F947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EB35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E8BFC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FC45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B849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B085C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A34A71">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90482ED">
            <w:pPr>
              <w:spacing w:before="24" w:after="24" w:line="240" w:lineRule="auto"/>
              <w:jc w:val="center"/>
            </w:pPr>
            <w:r>
              <w:rPr>
                <w:rFonts w:ascii="Times New Roman" w:hAnsi="Times New Roman" w:eastAsia="宋体"/>
                <w:b w:val="0"/>
                <w:sz w:val="13"/>
              </w:rPr>
              <w:t>+1.3</w:t>
            </w:r>
          </w:p>
        </w:tc>
      </w:tr>
      <w:tr w14:paraId="459CA908">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B6457DC">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15454C79">
            <w:pPr>
              <w:spacing w:before="24" w:after="24" w:line="240" w:lineRule="auto"/>
              <w:jc w:val="center"/>
            </w:pPr>
            <w:r>
              <w:rPr>
                <w:rFonts w:ascii="Times New Roman" w:hAnsi="Times New Roman" w:eastAsia="宋体"/>
                <w:b w:val="0"/>
                <w:sz w:val="13"/>
              </w:rPr>
              <w:t>行业配置</w:t>
            </w:r>
          </w:p>
        </w:tc>
        <w:tc>
          <w:tcPr>
            <w:tcW w:w="1843" w:type="dxa"/>
            <w:tcBorders>
              <w:top w:val="nil"/>
              <w:left w:val="nil"/>
              <w:bottom w:val="nil"/>
              <w:right w:val="nil"/>
            </w:tcBorders>
            <w:tcMar>
              <w:top w:w="8" w:type="dxa"/>
              <w:left w:w="20" w:type="dxa"/>
              <w:bottom w:w="8" w:type="dxa"/>
              <w:right w:w="20" w:type="dxa"/>
            </w:tcMar>
            <w:vAlign w:val="center"/>
          </w:tcPr>
          <w:p w14:paraId="7F0B4EC4">
            <w:pPr>
              <w:spacing w:before="24" w:after="24" w:line="240" w:lineRule="auto"/>
              <w:jc w:val="center"/>
            </w:pPr>
            <w:r>
              <w:rPr>
                <w:rFonts w:ascii="Times New Roman" w:hAnsi="Times New Roman" w:eastAsia="宋体"/>
                <w:b w:val="0"/>
                <w:sz w:val="13"/>
              </w:rPr>
              <w:t>(13) 行业集中度</w:t>
            </w:r>
          </w:p>
        </w:tc>
        <w:tc>
          <w:tcPr>
            <w:tcW w:w="403" w:type="dxa"/>
            <w:tcBorders>
              <w:top w:val="nil"/>
              <w:left w:val="nil"/>
              <w:bottom w:val="nil"/>
              <w:right w:val="nil"/>
            </w:tcBorders>
            <w:tcMar>
              <w:top w:w="8" w:type="dxa"/>
              <w:left w:w="20" w:type="dxa"/>
              <w:bottom w:w="8" w:type="dxa"/>
              <w:right w:w="20" w:type="dxa"/>
            </w:tcMar>
            <w:vAlign w:val="center"/>
          </w:tcPr>
          <w:p w14:paraId="352776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A9BE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23940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CE16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0E3E7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71801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A0AA7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3A2A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3759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D9BEC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B274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E303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786D1A">
            <w:pPr>
              <w:spacing w:before="24" w:after="24" w:line="240" w:lineRule="auto"/>
              <w:jc w:val="center"/>
            </w:pPr>
            <w:r>
              <w:rPr>
                <w:rFonts w:ascii="Times New Roman" w:hAnsi="Times New Roman" w:eastAsia="宋体"/>
                <w:b/>
                <w:sz w:val="13"/>
              </w:rPr>
              <w:t>+0.05***</w:t>
            </w:r>
          </w:p>
        </w:tc>
        <w:tc>
          <w:tcPr>
            <w:tcW w:w="403" w:type="dxa"/>
            <w:tcBorders>
              <w:top w:val="nil"/>
              <w:left w:val="nil"/>
              <w:bottom w:val="nil"/>
              <w:right w:val="nil"/>
            </w:tcBorders>
            <w:tcMar>
              <w:top w:w="8" w:type="dxa"/>
              <w:left w:w="20" w:type="dxa"/>
              <w:bottom w:w="8" w:type="dxa"/>
              <w:right w:w="20" w:type="dxa"/>
            </w:tcMar>
            <w:vAlign w:val="center"/>
          </w:tcPr>
          <w:p w14:paraId="7FA3C1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FA1B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0978A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84F30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B73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12024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1B13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97DA2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4A42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74C9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959F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A2B54A">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B96C255">
            <w:pPr>
              <w:spacing w:before="24" w:after="24" w:line="240" w:lineRule="auto"/>
              <w:jc w:val="center"/>
            </w:pPr>
            <w:r>
              <w:rPr>
                <w:rFonts w:ascii="Times New Roman" w:hAnsi="Times New Roman" w:eastAsia="宋体"/>
                <w:b/>
                <w:sz w:val="13"/>
              </w:rPr>
              <w:t>+4.3***</w:t>
            </w:r>
          </w:p>
        </w:tc>
      </w:tr>
      <w:tr w14:paraId="12BE2068">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DD18027">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073957B9">
            <w:pPr>
              <w:spacing w:before="24" w:after="24" w:line="240" w:lineRule="auto"/>
              <w:jc w:val="center"/>
            </w:pPr>
            <w:r>
              <w:rPr>
                <w:rFonts w:ascii="Times New Roman" w:hAnsi="Times New Roman" w:eastAsia="宋体"/>
                <w:b w:val="0"/>
                <w:sz w:val="13"/>
              </w:rPr>
              <w:t>风格稳定性</w:t>
            </w:r>
          </w:p>
        </w:tc>
        <w:tc>
          <w:tcPr>
            <w:tcW w:w="1843" w:type="dxa"/>
            <w:tcBorders>
              <w:top w:val="nil"/>
              <w:left w:val="nil"/>
              <w:bottom w:val="nil"/>
              <w:right w:val="nil"/>
            </w:tcBorders>
            <w:tcMar>
              <w:top w:w="8" w:type="dxa"/>
              <w:left w:w="20" w:type="dxa"/>
              <w:bottom w:w="8" w:type="dxa"/>
              <w:right w:w="20" w:type="dxa"/>
            </w:tcMar>
            <w:vAlign w:val="center"/>
          </w:tcPr>
          <w:p w14:paraId="53AEF0E9">
            <w:pPr>
              <w:spacing w:before="24" w:after="24" w:line="240" w:lineRule="auto"/>
              <w:jc w:val="center"/>
            </w:pPr>
            <w:r>
              <w:rPr>
                <w:rFonts w:ascii="Times New Roman" w:hAnsi="Times New Roman" w:eastAsia="宋体"/>
                <w:b w:val="0"/>
                <w:sz w:val="13"/>
              </w:rPr>
              <w:t>(14) 行业风格漂移指数</w:t>
            </w:r>
          </w:p>
        </w:tc>
        <w:tc>
          <w:tcPr>
            <w:tcW w:w="403" w:type="dxa"/>
            <w:tcBorders>
              <w:top w:val="nil"/>
              <w:left w:val="nil"/>
              <w:bottom w:val="nil"/>
              <w:right w:val="nil"/>
            </w:tcBorders>
            <w:tcMar>
              <w:top w:w="8" w:type="dxa"/>
              <w:left w:w="20" w:type="dxa"/>
              <w:bottom w:w="8" w:type="dxa"/>
              <w:right w:w="20" w:type="dxa"/>
            </w:tcMar>
            <w:vAlign w:val="center"/>
          </w:tcPr>
          <w:p w14:paraId="7D80728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019AE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4E664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F600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E6132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2B1A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9A8C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D3FC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46F11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AAF20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84B6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4A19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26E24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F4590E">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8" w:type="dxa"/>
              <w:left w:w="20" w:type="dxa"/>
              <w:bottom w:w="8" w:type="dxa"/>
              <w:right w:w="20" w:type="dxa"/>
            </w:tcMar>
            <w:vAlign w:val="center"/>
          </w:tcPr>
          <w:p w14:paraId="5CA405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1764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8F82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0AF5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23E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C9DA8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90B9F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A9A02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185F6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7F0CD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AA8109">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49C890C">
            <w:pPr>
              <w:spacing w:before="24" w:after="24" w:line="240" w:lineRule="auto"/>
              <w:jc w:val="center"/>
            </w:pPr>
            <w:r>
              <w:rPr>
                <w:rFonts w:ascii="Times New Roman" w:hAnsi="Times New Roman" w:eastAsia="宋体"/>
                <w:b w:val="0"/>
                <w:sz w:val="13"/>
              </w:rPr>
              <w:t>-0.7</w:t>
            </w:r>
          </w:p>
        </w:tc>
      </w:tr>
      <w:tr w14:paraId="3FEF2CD0">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DE51270">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2B7EA77A">
            <w:pPr>
              <w:spacing w:before="24" w:after="24" w:line="240" w:lineRule="auto"/>
              <w:jc w:val="center"/>
            </w:pPr>
            <w:r>
              <w:rPr>
                <w:rFonts w:ascii="Times New Roman" w:hAnsi="Times New Roman" w:eastAsia="宋体"/>
                <w:b w:val="0"/>
                <w:sz w:val="13"/>
              </w:rPr>
              <w:t>主动管理度</w:t>
            </w:r>
          </w:p>
        </w:tc>
        <w:tc>
          <w:tcPr>
            <w:tcW w:w="1843" w:type="dxa"/>
            <w:tcBorders>
              <w:top w:val="nil"/>
              <w:left w:val="nil"/>
              <w:bottom w:val="nil"/>
              <w:right w:val="nil"/>
            </w:tcBorders>
            <w:tcMar>
              <w:top w:w="8" w:type="dxa"/>
              <w:left w:w="20" w:type="dxa"/>
              <w:bottom w:w="8" w:type="dxa"/>
              <w:right w:w="20" w:type="dxa"/>
            </w:tcMar>
            <w:vAlign w:val="center"/>
          </w:tcPr>
          <w:p w14:paraId="7842589F">
            <w:pPr>
              <w:spacing w:before="24" w:after="24" w:line="240" w:lineRule="auto"/>
              <w:jc w:val="center"/>
            </w:pPr>
            <w:r>
              <w:rPr>
                <w:rFonts w:ascii="Times New Roman" w:hAnsi="Times New Roman" w:eastAsia="宋体"/>
                <w:b w:val="0"/>
                <w:sz w:val="13"/>
              </w:rPr>
              <w:t>(15) 改进主动份额</w:t>
            </w:r>
          </w:p>
        </w:tc>
        <w:tc>
          <w:tcPr>
            <w:tcW w:w="403" w:type="dxa"/>
            <w:tcBorders>
              <w:top w:val="nil"/>
              <w:left w:val="nil"/>
              <w:bottom w:val="nil"/>
              <w:right w:val="nil"/>
            </w:tcBorders>
            <w:tcMar>
              <w:top w:w="8" w:type="dxa"/>
              <w:left w:w="20" w:type="dxa"/>
              <w:bottom w:w="8" w:type="dxa"/>
              <w:right w:w="20" w:type="dxa"/>
            </w:tcMar>
            <w:vAlign w:val="center"/>
          </w:tcPr>
          <w:p w14:paraId="5DFF4AF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01EC6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4867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EBE66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4E7A3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3CA7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C0F7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13E18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3599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6FD0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B6FF0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6853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08E4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8641C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8AF68D">
            <w:pPr>
              <w:spacing w:before="24" w:after="24" w:line="240" w:lineRule="auto"/>
              <w:jc w:val="center"/>
            </w:pPr>
            <w:r>
              <w:rPr>
                <w:rFonts w:ascii="Times New Roman" w:hAnsi="Times New Roman" w:eastAsia="宋体"/>
                <w:b w:val="0"/>
                <w:sz w:val="13"/>
              </w:rPr>
              <w:t>-0.004</w:t>
            </w:r>
          </w:p>
        </w:tc>
        <w:tc>
          <w:tcPr>
            <w:tcW w:w="403" w:type="dxa"/>
            <w:tcBorders>
              <w:top w:val="nil"/>
              <w:left w:val="nil"/>
              <w:bottom w:val="nil"/>
              <w:right w:val="nil"/>
            </w:tcBorders>
            <w:tcMar>
              <w:top w:w="8" w:type="dxa"/>
              <w:left w:w="20" w:type="dxa"/>
              <w:bottom w:w="8" w:type="dxa"/>
              <w:right w:w="20" w:type="dxa"/>
            </w:tcMar>
            <w:vAlign w:val="center"/>
          </w:tcPr>
          <w:p w14:paraId="7F3767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60488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EDA2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52D4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FD670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6138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AB6C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83A6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1F134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78D66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381210DD">
            <w:pPr>
              <w:spacing w:before="24" w:after="24" w:line="240" w:lineRule="auto"/>
              <w:jc w:val="center"/>
            </w:pPr>
            <w:r>
              <w:rPr>
                <w:rFonts w:ascii="Times New Roman" w:hAnsi="Times New Roman" w:eastAsia="宋体"/>
                <w:b/>
                <w:sz w:val="13"/>
              </w:rPr>
              <w:t>-3.8***</w:t>
            </w:r>
          </w:p>
        </w:tc>
      </w:tr>
      <w:tr w14:paraId="56CD39A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6FE5E33">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036A9068">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8" w:type="dxa"/>
              <w:left w:w="20" w:type="dxa"/>
              <w:bottom w:w="8" w:type="dxa"/>
              <w:right w:w="20" w:type="dxa"/>
            </w:tcMar>
            <w:vAlign w:val="center"/>
          </w:tcPr>
          <w:p w14:paraId="03A64A6C">
            <w:pPr>
              <w:spacing w:before="24" w:after="24" w:line="240" w:lineRule="auto"/>
              <w:jc w:val="center"/>
            </w:pPr>
            <w:r>
              <w:rPr>
                <w:rFonts w:ascii="Times New Roman" w:hAnsi="Times New Roman" w:eastAsia="宋体"/>
                <w:b w:val="0"/>
                <w:sz w:val="13"/>
              </w:rPr>
              <w:t>(16) 调仓幅度</w:t>
            </w:r>
          </w:p>
        </w:tc>
        <w:tc>
          <w:tcPr>
            <w:tcW w:w="403" w:type="dxa"/>
            <w:tcBorders>
              <w:top w:val="nil"/>
              <w:left w:val="nil"/>
              <w:bottom w:val="nil"/>
              <w:right w:val="nil"/>
            </w:tcBorders>
            <w:tcMar>
              <w:top w:w="8" w:type="dxa"/>
              <w:left w:w="20" w:type="dxa"/>
              <w:bottom w:w="8" w:type="dxa"/>
              <w:right w:w="20" w:type="dxa"/>
            </w:tcMar>
            <w:vAlign w:val="center"/>
          </w:tcPr>
          <w:p w14:paraId="01C909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F4A3D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0F29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1544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308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0E92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9E43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7323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C3FE8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5352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DC25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F7624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F090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4B130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7941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42731A">
            <w:pPr>
              <w:spacing w:before="24" w:after="24" w:line="240" w:lineRule="auto"/>
              <w:jc w:val="center"/>
            </w:pPr>
            <w:r>
              <w:rPr>
                <w:rFonts w:ascii="Times New Roman" w:hAnsi="Times New Roman" w:eastAsia="宋体"/>
                <w:b/>
                <w:sz w:val="13"/>
              </w:rPr>
              <w:t>+0.06***</w:t>
            </w:r>
          </w:p>
        </w:tc>
        <w:tc>
          <w:tcPr>
            <w:tcW w:w="403" w:type="dxa"/>
            <w:tcBorders>
              <w:top w:val="nil"/>
              <w:left w:val="nil"/>
              <w:bottom w:val="nil"/>
              <w:right w:val="nil"/>
            </w:tcBorders>
            <w:tcMar>
              <w:top w:w="8" w:type="dxa"/>
              <w:left w:w="20" w:type="dxa"/>
              <w:bottom w:w="8" w:type="dxa"/>
              <w:right w:w="20" w:type="dxa"/>
            </w:tcMar>
            <w:vAlign w:val="center"/>
          </w:tcPr>
          <w:p w14:paraId="50CB9F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1E8D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D0C7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5237B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81D7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8C78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6145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1D11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8FEB4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3992771">
            <w:pPr>
              <w:spacing w:before="24" w:after="24" w:line="240" w:lineRule="auto"/>
              <w:jc w:val="center"/>
            </w:pPr>
            <w:r>
              <w:rPr>
                <w:rFonts w:ascii="Times New Roman" w:hAnsi="Times New Roman" w:eastAsia="宋体"/>
                <w:b/>
                <w:sz w:val="13"/>
              </w:rPr>
              <w:t>+4.9***</w:t>
            </w:r>
          </w:p>
        </w:tc>
      </w:tr>
      <w:tr w14:paraId="6BF78F6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2AFCC8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6E6B6B03">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8" w:type="dxa"/>
              <w:left w:w="20" w:type="dxa"/>
              <w:bottom w:w="8" w:type="dxa"/>
              <w:right w:w="20" w:type="dxa"/>
            </w:tcMar>
            <w:vAlign w:val="center"/>
          </w:tcPr>
          <w:p w14:paraId="3DF7B741">
            <w:pPr>
              <w:spacing w:before="24" w:after="24" w:line="240" w:lineRule="auto"/>
              <w:jc w:val="center"/>
            </w:pPr>
            <w:r>
              <w:rPr>
                <w:rFonts w:ascii="Times New Roman" w:hAnsi="Times New Roman" w:eastAsia="宋体"/>
                <w:b w:val="0"/>
                <w:sz w:val="13"/>
              </w:rPr>
              <w:t>(17) 下行保护系数</w:t>
            </w:r>
          </w:p>
        </w:tc>
        <w:tc>
          <w:tcPr>
            <w:tcW w:w="403" w:type="dxa"/>
            <w:tcBorders>
              <w:top w:val="nil"/>
              <w:left w:val="nil"/>
              <w:bottom w:val="nil"/>
              <w:right w:val="nil"/>
            </w:tcBorders>
            <w:tcMar>
              <w:top w:w="8" w:type="dxa"/>
              <w:left w:w="20" w:type="dxa"/>
              <w:bottom w:w="8" w:type="dxa"/>
              <w:right w:w="20" w:type="dxa"/>
            </w:tcMar>
            <w:vAlign w:val="center"/>
          </w:tcPr>
          <w:p w14:paraId="3450505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C689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E39B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6A4D7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2E22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4BE1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BAE46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A482B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DAE8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2301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A783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27D0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7CCA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263FE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AA01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3A8FE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C8B3C5">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48AB05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420E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84C4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5903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D195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AFB2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2943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185D7C">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BD289CF">
            <w:pPr>
              <w:spacing w:before="24" w:after="24" w:line="240" w:lineRule="auto"/>
              <w:jc w:val="center"/>
            </w:pPr>
            <w:r>
              <w:rPr>
                <w:rFonts w:ascii="Times New Roman" w:hAnsi="Times New Roman" w:eastAsia="宋体"/>
                <w:b/>
                <w:sz w:val="13"/>
              </w:rPr>
              <w:t>+6.9***</w:t>
            </w:r>
          </w:p>
        </w:tc>
      </w:tr>
      <w:tr w14:paraId="138EF69A">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539D2AC">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0331306C">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8" w:type="dxa"/>
              <w:left w:w="20" w:type="dxa"/>
              <w:bottom w:w="8" w:type="dxa"/>
              <w:right w:w="20" w:type="dxa"/>
            </w:tcMar>
            <w:vAlign w:val="center"/>
          </w:tcPr>
          <w:p w14:paraId="7391B196">
            <w:pPr>
              <w:spacing w:before="24" w:after="24" w:line="240" w:lineRule="auto"/>
              <w:jc w:val="center"/>
            </w:pPr>
            <w:r>
              <w:rPr>
                <w:rFonts w:ascii="Times New Roman" w:hAnsi="Times New Roman" w:eastAsia="宋体"/>
                <w:b w:val="0"/>
                <w:sz w:val="13"/>
              </w:rPr>
              <w:t>(18) 收益波动率</w:t>
            </w:r>
          </w:p>
        </w:tc>
        <w:tc>
          <w:tcPr>
            <w:tcW w:w="403" w:type="dxa"/>
            <w:tcBorders>
              <w:top w:val="nil"/>
              <w:left w:val="nil"/>
              <w:bottom w:val="nil"/>
              <w:right w:val="nil"/>
            </w:tcBorders>
            <w:tcMar>
              <w:top w:w="8" w:type="dxa"/>
              <w:left w:w="20" w:type="dxa"/>
              <w:bottom w:w="8" w:type="dxa"/>
              <w:right w:w="20" w:type="dxa"/>
            </w:tcMar>
            <w:vAlign w:val="center"/>
          </w:tcPr>
          <w:p w14:paraId="3A161B0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8649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203F6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5760D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3FB9C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494B5C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CD56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5CDA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5D24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6E0D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1807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C61B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A6C5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49613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0F4F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B6519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DAA8A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730F5B">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8" w:type="dxa"/>
              <w:left w:w="20" w:type="dxa"/>
              <w:bottom w:w="8" w:type="dxa"/>
              <w:right w:w="20" w:type="dxa"/>
            </w:tcMar>
            <w:vAlign w:val="center"/>
          </w:tcPr>
          <w:p w14:paraId="14B075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40AB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98FD6C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CC7B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E2D8B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94785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30C0E3">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B6C6BED">
            <w:pPr>
              <w:spacing w:before="24" w:after="24" w:line="240" w:lineRule="auto"/>
              <w:jc w:val="center"/>
            </w:pPr>
            <w:r>
              <w:rPr>
                <w:rFonts w:ascii="Times New Roman" w:hAnsi="Times New Roman" w:eastAsia="宋体"/>
                <w:b/>
                <w:sz w:val="13"/>
              </w:rPr>
              <w:t>+3.0***</w:t>
            </w:r>
          </w:p>
        </w:tc>
      </w:tr>
      <w:tr w14:paraId="479CEEAA">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6A6EBC5">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2FCAECC2">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8" w:type="dxa"/>
              <w:left w:w="20" w:type="dxa"/>
              <w:bottom w:w="8" w:type="dxa"/>
              <w:right w:w="20" w:type="dxa"/>
            </w:tcMar>
            <w:vAlign w:val="center"/>
          </w:tcPr>
          <w:p w14:paraId="3529C9BE">
            <w:pPr>
              <w:spacing w:before="24" w:after="24" w:line="240" w:lineRule="auto"/>
              <w:jc w:val="center"/>
            </w:pPr>
            <w:r>
              <w:rPr>
                <w:rFonts w:ascii="Times New Roman" w:hAnsi="Times New Roman" w:eastAsia="宋体"/>
                <w:b w:val="0"/>
                <w:sz w:val="13"/>
              </w:rPr>
              <w:t>(19) 风险稳定性</w:t>
            </w:r>
          </w:p>
        </w:tc>
        <w:tc>
          <w:tcPr>
            <w:tcW w:w="403" w:type="dxa"/>
            <w:tcBorders>
              <w:top w:val="nil"/>
              <w:left w:val="nil"/>
              <w:bottom w:val="nil"/>
              <w:right w:val="nil"/>
            </w:tcBorders>
            <w:tcMar>
              <w:top w:w="8" w:type="dxa"/>
              <w:left w:w="20" w:type="dxa"/>
              <w:bottom w:w="8" w:type="dxa"/>
              <w:right w:w="20" w:type="dxa"/>
            </w:tcMar>
            <w:vAlign w:val="center"/>
          </w:tcPr>
          <w:p w14:paraId="404CAEF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4DD2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BF840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6887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DC941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D734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3E5C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6DA2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366C7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5622E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F3A6F5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DFDF9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ADC4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5D27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7A22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8A6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A5549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C6DD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07566B">
            <w:pPr>
              <w:spacing w:before="24" w:after="24" w:line="240" w:lineRule="auto"/>
              <w:jc w:val="center"/>
            </w:pPr>
            <w:r>
              <w:rPr>
                <w:rFonts w:ascii="Times New Roman" w:hAnsi="Times New Roman" w:eastAsia="宋体"/>
                <w:b/>
                <w:sz w:val="13"/>
              </w:rPr>
              <w:t>-0.80***</w:t>
            </w:r>
          </w:p>
        </w:tc>
        <w:tc>
          <w:tcPr>
            <w:tcW w:w="403" w:type="dxa"/>
            <w:tcBorders>
              <w:top w:val="nil"/>
              <w:left w:val="nil"/>
              <w:bottom w:val="nil"/>
              <w:right w:val="nil"/>
            </w:tcBorders>
            <w:tcMar>
              <w:top w:w="8" w:type="dxa"/>
              <w:left w:w="20" w:type="dxa"/>
              <w:bottom w:w="8" w:type="dxa"/>
              <w:right w:w="20" w:type="dxa"/>
            </w:tcMar>
            <w:vAlign w:val="center"/>
          </w:tcPr>
          <w:p w14:paraId="60ECC3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BC77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E99F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D4926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23BC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58FE17">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7F42EAA">
            <w:pPr>
              <w:spacing w:before="24" w:after="24" w:line="240" w:lineRule="auto"/>
              <w:jc w:val="center"/>
            </w:pPr>
            <w:r>
              <w:rPr>
                <w:rFonts w:ascii="Times New Roman" w:hAnsi="Times New Roman" w:eastAsia="宋体"/>
                <w:b w:val="0"/>
                <w:sz w:val="13"/>
              </w:rPr>
              <w:t>-1.1</w:t>
            </w:r>
          </w:p>
        </w:tc>
      </w:tr>
      <w:tr w14:paraId="16FB2AB1">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3D1FBE0">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64ACA7E9">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01929EB2">
            <w:pPr>
              <w:spacing w:before="24" w:after="24" w:line="240" w:lineRule="auto"/>
              <w:jc w:val="center"/>
            </w:pPr>
            <w:r>
              <w:rPr>
                <w:rFonts w:ascii="Times New Roman" w:hAnsi="Times New Roman" w:eastAsia="宋体"/>
                <w:b w:val="0"/>
                <w:sz w:val="13"/>
              </w:rPr>
              <w:t>(20) Sharpe比率</w:t>
            </w:r>
          </w:p>
        </w:tc>
        <w:tc>
          <w:tcPr>
            <w:tcW w:w="403" w:type="dxa"/>
            <w:tcBorders>
              <w:top w:val="nil"/>
              <w:left w:val="nil"/>
              <w:bottom w:val="nil"/>
              <w:right w:val="nil"/>
            </w:tcBorders>
            <w:tcMar>
              <w:top w:w="8" w:type="dxa"/>
              <w:left w:w="20" w:type="dxa"/>
              <w:bottom w:w="8" w:type="dxa"/>
              <w:right w:w="20" w:type="dxa"/>
            </w:tcMar>
            <w:vAlign w:val="center"/>
          </w:tcPr>
          <w:p w14:paraId="459D9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D8EB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0CC79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4AEF6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AAB08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E328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E593B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62BA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A09B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17A4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8BB7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7F08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6911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D39E7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883B2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CCBB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9DA3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A79F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66D7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94154B">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8" w:type="dxa"/>
              <w:left w:w="20" w:type="dxa"/>
              <w:bottom w:w="8" w:type="dxa"/>
              <w:right w:w="20" w:type="dxa"/>
            </w:tcMar>
            <w:vAlign w:val="center"/>
          </w:tcPr>
          <w:p w14:paraId="4AC7BD4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BC1BB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00BB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3A65F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FEE6D6">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D691D26">
            <w:pPr>
              <w:spacing w:before="24" w:after="24" w:line="240" w:lineRule="auto"/>
              <w:jc w:val="center"/>
            </w:pPr>
            <w:r>
              <w:rPr>
                <w:rFonts w:ascii="Times New Roman" w:hAnsi="Times New Roman" w:eastAsia="宋体"/>
                <w:b/>
                <w:sz w:val="13"/>
              </w:rPr>
              <w:t>+2.3**</w:t>
            </w:r>
          </w:p>
        </w:tc>
      </w:tr>
      <w:tr w14:paraId="0F8CADA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E2C63EB">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4FFB57BD">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22584BCA">
            <w:pPr>
              <w:spacing w:before="24" w:after="24" w:line="240" w:lineRule="auto"/>
              <w:jc w:val="center"/>
            </w:pPr>
            <w:r>
              <w:rPr>
                <w:rFonts w:ascii="Times New Roman" w:hAnsi="Times New Roman" w:eastAsia="宋体"/>
                <w:b w:val="0"/>
                <w:sz w:val="13"/>
              </w:rPr>
              <w:t>(21) Sortino比率</w:t>
            </w:r>
          </w:p>
        </w:tc>
        <w:tc>
          <w:tcPr>
            <w:tcW w:w="403" w:type="dxa"/>
            <w:tcBorders>
              <w:top w:val="nil"/>
              <w:left w:val="nil"/>
              <w:bottom w:val="nil"/>
              <w:right w:val="nil"/>
            </w:tcBorders>
            <w:tcMar>
              <w:top w:w="8" w:type="dxa"/>
              <w:left w:w="20" w:type="dxa"/>
              <w:bottom w:w="8" w:type="dxa"/>
              <w:right w:w="20" w:type="dxa"/>
            </w:tcMar>
            <w:vAlign w:val="center"/>
          </w:tcPr>
          <w:p w14:paraId="2677B4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5AC2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1292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F86D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73CD0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5594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1B90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C925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731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1CEC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6A1F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43EC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6AAE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4076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5232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9F55E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3DB9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64351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5682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0956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9121EC">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10CCBB3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1194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C719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84EF39">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EE93131">
            <w:pPr>
              <w:spacing w:before="24" w:after="24" w:line="240" w:lineRule="auto"/>
              <w:jc w:val="center"/>
            </w:pPr>
            <w:r>
              <w:rPr>
                <w:rFonts w:ascii="Times New Roman" w:hAnsi="Times New Roman" w:eastAsia="宋体"/>
                <w:b w:val="0"/>
                <w:sz w:val="13"/>
              </w:rPr>
              <w:t>-0.1</w:t>
            </w:r>
          </w:p>
        </w:tc>
      </w:tr>
      <w:tr w14:paraId="66147EF3">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762A569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5C55477E">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0E9EE827">
            <w:pPr>
              <w:spacing w:before="24" w:after="24" w:line="240" w:lineRule="auto"/>
              <w:jc w:val="center"/>
            </w:pPr>
            <w:r>
              <w:rPr>
                <w:rFonts w:ascii="Times New Roman" w:hAnsi="Times New Roman" w:eastAsia="宋体"/>
                <w:b w:val="0"/>
                <w:sz w:val="13"/>
              </w:rPr>
              <w:t>(22) 操纵稳健测度MPPM</w:t>
            </w:r>
          </w:p>
        </w:tc>
        <w:tc>
          <w:tcPr>
            <w:tcW w:w="403" w:type="dxa"/>
            <w:tcBorders>
              <w:top w:val="nil"/>
              <w:left w:val="nil"/>
              <w:bottom w:val="nil"/>
              <w:right w:val="nil"/>
            </w:tcBorders>
            <w:tcMar>
              <w:top w:w="8" w:type="dxa"/>
              <w:left w:w="20" w:type="dxa"/>
              <w:bottom w:w="8" w:type="dxa"/>
              <w:right w:w="20" w:type="dxa"/>
            </w:tcMar>
            <w:vAlign w:val="center"/>
          </w:tcPr>
          <w:p w14:paraId="3035CC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46D2C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AC85F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B7CA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2C28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95164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7276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8F0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36BA3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8F6BF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EF20A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AFDE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11C8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1628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1F46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CDA7D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14DB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4BC2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8ED5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626C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EF494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5EA301">
            <w:pPr>
              <w:spacing w:before="24" w:after="24" w:line="240" w:lineRule="auto"/>
              <w:jc w:val="center"/>
            </w:pPr>
            <w:r>
              <w:rPr>
                <w:rFonts w:ascii="Times New Roman" w:hAnsi="Times New Roman" w:eastAsia="宋体"/>
                <w:b/>
                <w:sz w:val="13"/>
              </w:rPr>
              <w:t>+0.14***</w:t>
            </w:r>
          </w:p>
        </w:tc>
        <w:tc>
          <w:tcPr>
            <w:tcW w:w="403" w:type="dxa"/>
            <w:tcBorders>
              <w:top w:val="nil"/>
              <w:left w:val="nil"/>
              <w:bottom w:val="nil"/>
              <w:right w:val="nil"/>
            </w:tcBorders>
            <w:tcMar>
              <w:top w:w="8" w:type="dxa"/>
              <w:left w:w="20" w:type="dxa"/>
              <w:bottom w:w="8" w:type="dxa"/>
              <w:right w:w="20" w:type="dxa"/>
            </w:tcMar>
            <w:vAlign w:val="center"/>
          </w:tcPr>
          <w:p w14:paraId="649FA5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422E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601677">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66BBE11">
            <w:pPr>
              <w:spacing w:before="24" w:after="24" w:line="240" w:lineRule="auto"/>
              <w:jc w:val="center"/>
            </w:pPr>
            <w:r>
              <w:rPr>
                <w:rFonts w:ascii="Times New Roman" w:hAnsi="Times New Roman" w:eastAsia="宋体"/>
                <w:b/>
                <w:sz w:val="13"/>
              </w:rPr>
              <w:t>+8.0***</w:t>
            </w:r>
          </w:p>
        </w:tc>
      </w:tr>
      <w:tr w14:paraId="528B89D4">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2196F2E5">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6BBA540A">
            <w:pPr>
              <w:spacing w:before="24" w:after="24" w:line="240" w:lineRule="auto"/>
              <w:jc w:val="center"/>
            </w:pPr>
            <w:r>
              <w:rPr>
                <w:rFonts w:ascii="Times New Roman" w:hAnsi="Times New Roman" w:eastAsia="宋体"/>
                <w:b w:val="0"/>
                <w:sz w:val="13"/>
              </w:rPr>
              <w:t>风格偏离</w:t>
            </w:r>
          </w:p>
        </w:tc>
        <w:tc>
          <w:tcPr>
            <w:tcW w:w="1843" w:type="dxa"/>
            <w:tcBorders>
              <w:top w:val="nil"/>
              <w:left w:val="nil"/>
              <w:bottom w:val="nil"/>
              <w:right w:val="nil"/>
            </w:tcBorders>
            <w:tcMar>
              <w:top w:w="8" w:type="dxa"/>
              <w:left w:w="20" w:type="dxa"/>
              <w:bottom w:w="8" w:type="dxa"/>
              <w:right w:w="20" w:type="dxa"/>
            </w:tcMar>
            <w:vAlign w:val="center"/>
          </w:tcPr>
          <w:p w14:paraId="01B9533E">
            <w:pPr>
              <w:spacing w:before="24" w:after="24" w:line="240" w:lineRule="auto"/>
              <w:jc w:val="center"/>
            </w:pPr>
            <w:r>
              <w:rPr>
                <w:rFonts w:ascii="Times New Roman" w:hAnsi="Times New Roman" w:eastAsia="宋体"/>
                <w:b w:val="0"/>
                <w:sz w:val="13"/>
              </w:rPr>
              <w:t>(23) 策略偏离指数</w:t>
            </w:r>
          </w:p>
        </w:tc>
        <w:tc>
          <w:tcPr>
            <w:tcW w:w="403" w:type="dxa"/>
            <w:tcBorders>
              <w:top w:val="nil"/>
              <w:left w:val="nil"/>
              <w:bottom w:val="nil"/>
              <w:right w:val="nil"/>
            </w:tcBorders>
            <w:tcMar>
              <w:top w:w="8" w:type="dxa"/>
              <w:left w:w="20" w:type="dxa"/>
              <w:bottom w:w="8" w:type="dxa"/>
              <w:right w:w="20" w:type="dxa"/>
            </w:tcMar>
            <w:vAlign w:val="center"/>
          </w:tcPr>
          <w:p w14:paraId="5A9BB66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2EEE9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FA970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5D7D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B3D9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BE91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4676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F7C2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2909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CC2ABA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91F1A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7B0A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E4F4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A8A7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37A83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BF5C5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EA74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DC4A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4A4621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FB21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6267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DEF3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3076F6">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8" w:type="dxa"/>
              <w:left w:w="20" w:type="dxa"/>
              <w:bottom w:w="8" w:type="dxa"/>
              <w:right w:w="20" w:type="dxa"/>
            </w:tcMar>
            <w:vAlign w:val="center"/>
          </w:tcPr>
          <w:p w14:paraId="1C3F24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0A0598">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FCE3145">
            <w:pPr>
              <w:spacing w:before="24" w:after="24" w:line="240" w:lineRule="auto"/>
              <w:jc w:val="center"/>
            </w:pPr>
            <w:r>
              <w:rPr>
                <w:rFonts w:ascii="Times New Roman" w:hAnsi="Times New Roman" w:eastAsia="宋体"/>
                <w:b w:val="0"/>
                <w:sz w:val="13"/>
              </w:rPr>
              <w:t>-0.3</w:t>
            </w:r>
          </w:p>
        </w:tc>
      </w:tr>
      <w:tr w14:paraId="128E0EE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FE33904">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33B03724">
            <w:pPr>
              <w:spacing w:before="24" w:after="24" w:line="240" w:lineRule="auto"/>
              <w:jc w:val="center"/>
            </w:pPr>
            <w:r>
              <w:rPr>
                <w:rFonts w:ascii="Times New Roman" w:hAnsi="Times New Roman" w:eastAsia="宋体"/>
                <w:b w:val="0"/>
                <w:sz w:val="13"/>
              </w:rPr>
              <w:t>同业互动</w:t>
            </w:r>
          </w:p>
        </w:tc>
        <w:tc>
          <w:tcPr>
            <w:tcW w:w="1843" w:type="dxa"/>
            <w:tcBorders>
              <w:top w:val="nil"/>
              <w:left w:val="nil"/>
              <w:bottom w:val="nil"/>
              <w:right w:val="nil"/>
            </w:tcBorders>
            <w:tcMar>
              <w:top w:w="8" w:type="dxa"/>
              <w:left w:w="20" w:type="dxa"/>
              <w:bottom w:w="8" w:type="dxa"/>
              <w:right w:w="20" w:type="dxa"/>
            </w:tcMar>
            <w:vAlign w:val="center"/>
          </w:tcPr>
          <w:p w14:paraId="5F73B1FF">
            <w:pPr>
              <w:spacing w:before="24" w:after="24" w:line="240" w:lineRule="auto"/>
              <w:jc w:val="center"/>
            </w:pPr>
            <w:r>
              <w:rPr>
                <w:rFonts w:ascii="Times New Roman" w:hAnsi="Times New Roman" w:eastAsia="宋体"/>
                <w:b w:val="0"/>
                <w:sz w:val="13"/>
              </w:rPr>
              <w:t>(24) 交易趋同度LSV</w:t>
            </w:r>
          </w:p>
        </w:tc>
        <w:tc>
          <w:tcPr>
            <w:tcW w:w="403" w:type="dxa"/>
            <w:tcBorders>
              <w:top w:val="nil"/>
              <w:left w:val="nil"/>
              <w:bottom w:val="nil"/>
              <w:right w:val="nil"/>
            </w:tcBorders>
            <w:tcMar>
              <w:top w:w="8" w:type="dxa"/>
              <w:left w:w="20" w:type="dxa"/>
              <w:bottom w:w="8" w:type="dxa"/>
              <w:right w:w="20" w:type="dxa"/>
            </w:tcMar>
            <w:vAlign w:val="center"/>
          </w:tcPr>
          <w:p w14:paraId="0CE648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0B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CE0B1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A8DCE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D8C28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A814A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F9B3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2F1F4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6FBE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00DB6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6CFF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40419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214A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A3C7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94D3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37FF3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D6A3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226B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2C20D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8084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7E43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5F5B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F2D6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F19A6A">
            <w:pPr>
              <w:spacing w:before="24" w:after="24" w:line="240" w:lineRule="auto"/>
              <w:jc w:val="center"/>
            </w:pPr>
            <w:r>
              <w:rPr>
                <w:rFonts w:ascii="Times New Roman" w:hAnsi="Times New Roman" w:eastAsia="宋体"/>
                <w:b/>
                <w:sz w:val="13"/>
              </w:rPr>
              <w:t>+0.22***</w:t>
            </w:r>
          </w:p>
        </w:tc>
        <w:tc>
          <w:tcPr>
            <w:tcW w:w="403" w:type="dxa"/>
            <w:tcBorders>
              <w:top w:val="nil"/>
              <w:left w:val="nil"/>
              <w:bottom w:val="nil"/>
              <w:right w:val="nil"/>
            </w:tcBorders>
            <w:tcMar>
              <w:top w:w="8" w:type="dxa"/>
              <w:left w:w="20" w:type="dxa"/>
              <w:bottom w:w="8" w:type="dxa"/>
              <w:right w:w="20" w:type="dxa"/>
            </w:tcMar>
            <w:vAlign w:val="center"/>
          </w:tcPr>
          <w:p w14:paraId="3CC21A9E">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6FC7117E">
            <w:pPr>
              <w:spacing w:before="24" w:after="24" w:line="240" w:lineRule="auto"/>
              <w:jc w:val="center"/>
            </w:pPr>
            <w:r>
              <w:rPr>
                <w:rFonts w:ascii="Times New Roman" w:hAnsi="Times New Roman" w:eastAsia="宋体"/>
                <w:b w:val="0"/>
                <w:sz w:val="13"/>
              </w:rPr>
              <w:t>+1.3</w:t>
            </w:r>
          </w:p>
        </w:tc>
      </w:tr>
      <w:tr w14:paraId="499857A4">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B435E18">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7F88939D">
            <w:pPr>
              <w:spacing w:before="24" w:after="24" w:line="240" w:lineRule="auto"/>
              <w:jc w:val="center"/>
            </w:pPr>
            <w:r>
              <w:rPr>
                <w:rFonts w:ascii="Times New Roman" w:hAnsi="Times New Roman" w:eastAsia="宋体"/>
                <w:b w:val="0"/>
                <w:sz w:val="13"/>
              </w:rPr>
              <w:t>交易频率</w:t>
            </w:r>
          </w:p>
        </w:tc>
        <w:tc>
          <w:tcPr>
            <w:tcW w:w="1843" w:type="dxa"/>
            <w:tcBorders>
              <w:top w:val="nil"/>
              <w:left w:val="nil"/>
              <w:bottom w:val="nil"/>
              <w:right w:val="nil"/>
            </w:tcBorders>
            <w:tcMar>
              <w:top w:w="8" w:type="dxa"/>
              <w:left w:w="20" w:type="dxa"/>
              <w:bottom w:w="8" w:type="dxa"/>
              <w:right w:w="20" w:type="dxa"/>
            </w:tcMar>
            <w:vAlign w:val="center"/>
          </w:tcPr>
          <w:p w14:paraId="4534D20F">
            <w:pPr>
              <w:spacing w:before="24" w:after="24" w:line="240" w:lineRule="auto"/>
              <w:jc w:val="center"/>
            </w:pPr>
            <w:r>
              <w:rPr>
                <w:rFonts w:ascii="Times New Roman" w:hAnsi="Times New Roman" w:eastAsia="宋体"/>
                <w:b w:val="0"/>
                <w:sz w:val="13"/>
              </w:rPr>
              <w:t>(25) 换手率</w:t>
            </w:r>
          </w:p>
        </w:tc>
        <w:tc>
          <w:tcPr>
            <w:tcW w:w="403" w:type="dxa"/>
            <w:tcBorders>
              <w:top w:val="nil"/>
              <w:left w:val="nil"/>
              <w:bottom w:val="nil"/>
              <w:right w:val="nil"/>
            </w:tcBorders>
            <w:tcMar>
              <w:top w:w="8" w:type="dxa"/>
              <w:left w:w="20" w:type="dxa"/>
              <w:bottom w:w="8" w:type="dxa"/>
              <w:right w:w="20" w:type="dxa"/>
            </w:tcMar>
            <w:vAlign w:val="center"/>
          </w:tcPr>
          <w:p w14:paraId="1B7418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EC4FA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F8918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EB2A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C21F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FA36C4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63D9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1402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F67B7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63076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88403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E7A7C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67068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D58C6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67118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E8D1A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231A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DBDF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50230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83C3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F3573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9A7A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7D56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4BD6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45CC06">
            <w:pPr>
              <w:spacing w:before="24" w:after="24" w:line="240" w:lineRule="auto"/>
              <w:jc w:val="center"/>
            </w:pPr>
            <w:r>
              <w:rPr>
                <w:rFonts w:ascii="Times New Roman" w:hAnsi="Times New Roman" w:eastAsia="宋体"/>
                <w:b w:val="0"/>
                <w:sz w:val="13"/>
              </w:rPr>
              <w:t>+0.000</w:t>
            </w:r>
          </w:p>
        </w:tc>
        <w:tc>
          <w:tcPr>
            <w:tcW w:w="1224" w:type="dxa"/>
            <w:tcBorders>
              <w:top w:val="nil"/>
              <w:left w:val="nil"/>
              <w:bottom w:val="nil"/>
              <w:right w:val="nil"/>
            </w:tcBorders>
            <w:tcMar>
              <w:top w:w="8" w:type="dxa"/>
              <w:left w:w="20" w:type="dxa"/>
              <w:bottom w:w="8" w:type="dxa"/>
              <w:right w:w="20" w:type="dxa"/>
            </w:tcMar>
            <w:vAlign w:val="center"/>
          </w:tcPr>
          <w:p w14:paraId="0EE1AA3C">
            <w:pPr>
              <w:spacing w:before="24" w:after="24" w:line="240" w:lineRule="auto"/>
              <w:jc w:val="center"/>
            </w:pPr>
            <w:r>
              <w:rPr>
                <w:rFonts w:ascii="Times New Roman" w:hAnsi="Times New Roman" w:eastAsia="宋体"/>
                <w:b w:val="0"/>
                <w:sz w:val="13"/>
              </w:rPr>
              <w:t>+1.0</w:t>
            </w:r>
          </w:p>
        </w:tc>
      </w:tr>
      <w:tr w14:paraId="4976D2F7">
        <w:tblPrEx>
          <w:tblCellMar>
            <w:top w:w="0" w:type="dxa"/>
            <w:left w:w="108" w:type="dxa"/>
            <w:bottom w:w="0" w:type="dxa"/>
            <w:right w:w="108" w:type="dxa"/>
          </w:tblCellMar>
        </w:tblPrEx>
        <w:trPr>
          <w:trHeight w:val="190" w:hRule="atLeast"/>
          <w:jc w:val="center"/>
        </w:trPr>
        <w:tc>
          <w:tcPr>
            <w:tcW w:w="1325" w:type="dxa"/>
            <w:tcBorders>
              <w:top w:val="single" w:color="000000" w:sz="4" w:space="0"/>
              <w:left w:val="nil"/>
              <w:bottom w:val="nil"/>
              <w:right w:val="nil"/>
            </w:tcBorders>
            <w:tcMar>
              <w:top w:w="8" w:type="dxa"/>
              <w:left w:w="20" w:type="dxa"/>
              <w:bottom w:w="8" w:type="dxa"/>
              <w:right w:w="20" w:type="dxa"/>
            </w:tcMar>
            <w:vAlign w:val="center"/>
          </w:tcPr>
          <w:p w14:paraId="0263ECC1">
            <w:pPr>
              <w:spacing w:before="24" w:after="24" w:line="240" w:lineRule="auto"/>
              <w:jc w:val="center"/>
            </w:pPr>
            <w:r>
              <w:rPr>
                <w:rFonts w:ascii="Times New Roman" w:hAnsi="Times New Roman" w:eastAsia="宋体"/>
                <w:b/>
                <w:sz w:val="13"/>
              </w:rPr>
              <w:t>统计量</w:t>
            </w:r>
          </w:p>
        </w:tc>
        <w:tc>
          <w:tcPr>
            <w:tcW w:w="1152" w:type="dxa"/>
            <w:tcBorders>
              <w:top w:val="single" w:color="000000" w:sz="4" w:space="0"/>
              <w:left w:val="nil"/>
              <w:bottom w:val="nil"/>
              <w:right w:val="nil"/>
            </w:tcBorders>
            <w:tcMar>
              <w:top w:w="8" w:type="dxa"/>
              <w:left w:w="20" w:type="dxa"/>
              <w:bottom w:w="8" w:type="dxa"/>
              <w:right w:w="20" w:type="dxa"/>
            </w:tcMar>
            <w:vAlign w:val="center"/>
          </w:tcPr>
          <w:p w14:paraId="577C31AC">
            <w:pPr>
              <w:spacing w:before="24" w:after="24" w:line="240" w:lineRule="auto"/>
              <w:jc w:val="center"/>
            </w:pPr>
            <w:r>
              <w:rPr>
                <w:rFonts w:ascii="Times New Roman" w:hAnsi="Times New Roman" w:eastAsia="宋体"/>
                <w:b/>
                <w:sz w:val="13"/>
              </w:rPr>
              <w:t>模型设定</w:t>
            </w:r>
          </w:p>
        </w:tc>
        <w:tc>
          <w:tcPr>
            <w:tcW w:w="1843" w:type="dxa"/>
            <w:tcBorders>
              <w:top w:val="single" w:color="000000" w:sz="4" w:space="0"/>
              <w:left w:val="nil"/>
              <w:bottom w:val="nil"/>
              <w:right w:val="nil"/>
            </w:tcBorders>
            <w:tcMar>
              <w:top w:w="8" w:type="dxa"/>
              <w:left w:w="20" w:type="dxa"/>
              <w:bottom w:w="8" w:type="dxa"/>
              <w:right w:w="20" w:type="dxa"/>
            </w:tcMar>
            <w:vAlign w:val="center"/>
          </w:tcPr>
          <w:p w14:paraId="0E7FA83B">
            <w:pPr>
              <w:spacing w:before="24" w:after="24" w:line="240" w:lineRule="auto"/>
              <w:jc w:val="center"/>
            </w:pPr>
            <w:r>
              <w:rPr>
                <w:rFonts w:ascii="Times New Roman" w:hAnsi="Times New Roman" w:eastAsia="宋体"/>
                <w:b/>
                <w:sz w:val="13"/>
              </w:rPr>
              <w:t>控制变量</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F04829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8B5E8E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287D8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F65E5C7">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B49CF3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C6697A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F53626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C90A54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F9E7D8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ACB30F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76152F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793EF8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D6A742E">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5FB8F7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44EF11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CDE6E5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8FCF70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90C1F8B">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CBC203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C78372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1DA1CAA">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C6CD4C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075226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26DBA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A7AE297">
            <w:pPr>
              <w:spacing w:before="24" w:after="24" w:line="240" w:lineRule="auto"/>
              <w:jc w:val="center"/>
            </w:pPr>
            <w:r>
              <w:rPr>
                <w:rFonts w:ascii="Times New Roman" w:hAnsi="Times New Roman" w:eastAsia="宋体"/>
                <w:b/>
                <w:sz w:val="13"/>
              </w:rPr>
              <w:t>不含</w:t>
            </w:r>
          </w:p>
        </w:tc>
        <w:tc>
          <w:tcPr>
            <w:tcW w:w="1224" w:type="dxa"/>
            <w:tcBorders>
              <w:top w:val="single" w:color="000000" w:sz="4" w:space="0"/>
              <w:left w:val="nil"/>
              <w:bottom w:val="nil"/>
              <w:right w:val="nil"/>
            </w:tcBorders>
            <w:tcMar>
              <w:top w:w="8" w:type="dxa"/>
              <w:left w:w="20" w:type="dxa"/>
              <w:bottom w:w="8" w:type="dxa"/>
              <w:right w:w="20" w:type="dxa"/>
            </w:tcMar>
            <w:vAlign w:val="center"/>
          </w:tcPr>
          <w:p w14:paraId="30D61E65">
            <w:pPr>
              <w:spacing w:before="24" w:after="24" w:line="240" w:lineRule="auto"/>
              <w:jc w:val="center"/>
            </w:pPr>
            <w:r>
              <w:rPr>
                <w:rFonts w:ascii="Times New Roman" w:hAnsi="Times New Roman" w:eastAsia="宋体"/>
                <w:b/>
                <w:sz w:val="13"/>
              </w:rPr>
              <w:t>全模型</w:t>
            </w:r>
          </w:p>
        </w:tc>
      </w:tr>
      <w:tr w14:paraId="0C5796F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D15613B">
            <w:pPr>
              <w:spacing w:before="24" w:after="24" w:line="240" w:lineRule="auto"/>
              <w:jc w:val="center"/>
            </w:pPr>
            <w:r>
              <w:rPr>
                <w:rFonts w:ascii="Times New Roman" w:hAnsi="Times New Roman" w:eastAsia="宋体"/>
                <w:b/>
                <w:sz w:val="13"/>
              </w:rPr>
              <w:t>统计量</w:t>
            </w:r>
          </w:p>
        </w:tc>
        <w:tc>
          <w:tcPr>
            <w:tcW w:w="1152" w:type="dxa"/>
            <w:tcBorders>
              <w:top w:val="nil"/>
              <w:left w:val="nil"/>
              <w:bottom w:val="nil"/>
              <w:right w:val="nil"/>
            </w:tcBorders>
            <w:tcMar>
              <w:top w:w="8" w:type="dxa"/>
              <w:left w:w="20" w:type="dxa"/>
              <w:bottom w:w="8" w:type="dxa"/>
              <w:right w:w="20" w:type="dxa"/>
            </w:tcMar>
            <w:vAlign w:val="center"/>
          </w:tcPr>
          <w:p w14:paraId="44D354E8">
            <w:pPr>
              <w:spacing w:before="24" w:after="24" w:line="240" w:lineRule="auto"/>
              <w:jc w:val="center"/>
            </w:pPr>
            <w:r>
              <w:rPr>
                <w:rFonts w:ascii="Times New Roman" w:hAnsi="Times New Roman" w:eastAsia="宋体"/>
                <w:b/>
                <w:sz w:val="13"/>
              </w:rPr>
              <w:t>模型拟合</w:t>
            </w:r>
          </w:p>
        </w:tc>
        <w:tc>
          <w:tcPr>
            <w:tcW w:w="1843" w:type="dxa"/>
            <w:tcBorders>
              <w:top w:val="nil"/>
              <w:left w:val="nil"/>
              <w:bottom w:val="nil"/>
              <w:right w:val="nil"/>
            </w:tcBorders>
            <w:tcMar>
              <w:top w:w="8" w:type="dxa"/>
              <w:left w:w="20" w:type="dxa"/>
              <w:bottom w:w="8" w:type="dxa"/>
              <w:right w:w="20" w:type="dxa"/>
            </w:tcMar>
            <w:vAlign w:val="center"/>
          </w:tcPr>
          <w:p w14:paraId="79817486">
            <w:pPr>
              <w:spacing w:before="24" w:after="24" w:line="240" w:lineRule="auto"/>
              <w:jc w:val="center"/>
            </w:pPr>
            <w:r>
              <w:rPr>
                <w:rFonts w:ascii="Times New Roman" w:hAnsi="Times New Roman" w:eastAsia="宋体"/>
                <w:b/>
                <w:sz w:val="13"/>
              </w:rPr>
              <w:t>决定系数 R²</w:t>
            </w:r>
          </w:p>
        </w:tc>
        <w:tc>
          <w:tcPr>
            <w:tcW w:w="403" w:type="dxa"/>
            <w:tcBorders>
              <w:top w:val="nil"/>
              <w:left w:val="nil"/>
              <w:bottom w:val="nil"/>
              <w:right w:val="nil"/>
            </w:tcBorders>
            <w:tcMar>
              <w:top w:w="8" w:type="dxa"/>
              <w:left w:w="20" w:type="dxa"/>
              <w:bottom w:w="8" w:type="dxa"/>
              <w:right w:w="20" w:type="dxa"/>
            </w:tcMar>
            <w:vAlign w:val="center"/>
          </w:tcPr>
          <w:p w14:paraId="5D56757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8" w:type="dxa"/>
              <w:left w:w="20" w:type="dxa"/>
              <w:bottom w:w="8" w:type="dxa"/>
              <w:right w:w="20" w:type="dxa"/>
            </w:tcMar>
            <w:vAlign w:val="center"/>
          </w:tcPr>
          <w:p w14:paraId="6381F0CC">
            <w:pPr>
              <w:spacing w:before="24" w:after="24" w:line="240" w:lineRule="auto"/>
              <w:jc w:val="center"/>
            </w:pPr>
            <w:r>
              <w:rPr>
                <w:rFonts w:ascii="Times New Roman" w:hAnsi="Times New Roman" w:eastAsia="宋体"/>
                <w:b/>
                <w:sz w:val="13"/>
              </w:rPr>
              <w:t>0.059</w:t>
            </w:r>
          </w:p>
        </w:tc>
        <w:tc>
          <w:tcPr>
            <w:tcW w:w="403" w:type="dxa"/>
            <w:tcBorders>
              <w:top w:val="nil"/>
              <w:left w:val="nil"/>
              <w:bottom w:val="nil"/>
              <w:right w:val="nil"/>
            </w:tcBorders>
            <w:tcMar>
              <w:top w:w="8" w:type="dxa"/>
              <w:left w:w="20" w:type="dxa"/>
              <w:bottom w:w="8" w:type="dxa"/>
              <w:right w:w="20" w:type="dxa"/>
            </w:tcMar>
            <w:vAlign w:val="center"/>
          </w:tcPr>
          <w:p w14:paraId="28563B8F">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8" w:type="dxa"/>
              <w:left w:w="20" w:type="dxa"/>
              <w:bottom w:w="8" w:type="dxa"/>
              <w:right w:w="20" w:type="dxa"/>
            </w:tcMar>
            <w:vAlign w:val="center"/>
          </w:tcPr>
          <w:p w14:paraId="7A8BC1BB">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8" w:type="dxa"/>
              <w:left w:w="20" w:type="dxa"/>
              <w:bottom w:w="8" w:type="dxa"/>
              <w:right w:w="20" w:type="dxa"/>
            </w:tcMar>
            <w:vAlign w:val="center"/>
          </w:tcPr>
          <w:p w14:paraId="6C217DC1">
            <w:pPr>
              <w:spacing w:before="24" w:after="24" w:line="240" w:lineRule="auto"/>
              <w:jc w:val="center"/>
            </w:pPr>
            <w:r>
              <w:rPr>
                <w:rFonts w:ascii="Times New Roman" w:hAnsi="Times New Roman" w:eastAsia="宋体"/>
                <w:b/>
                <w:sz w:val="13"/>
              </w:rPr>
              <w:t>0.023</w:t>
            </w:r>
          </w:p>
        </w:tc>
        <w:tc>
          <w:tcPr>
            <w:tcW w:w="403" w:type="dxa"/>
            <w:tcBorders>
              <w:top w:val="nil"/>
              <w:left w:val="nil"/>
              <w:bottom w:val="nil"/>
              <w:right w:val="nil"/>
            </w:tcBorders>
            <w:tcMar>
              <w:top w:w="8" w:type="dxa"/>
              <w:left w:w="20" w:type="dxa"/>
              <w:bottom w:w="8" w:type="dxa"/>
              <w:right w:w="20" w:type="dxa"/>
            </w:tcMar>
            <w:vAlign w:val="center"/>
          </w:tcPr>
          <w:p w14:paraId="3100F5FF">
            <w:pPr>
              <w:spacing w:before="24" w:after="24" w:line="240" w:lineRule="auto"/>
              <w:jc w:val="center"/>
            </w:pPr>
            <w:r>
              <w:rPr>
                <w:rFonts w:ascii="Times New Roman" w:hAnsi="Times New Roman" w:eastAsia="宋体"/>
                <w:b/>
                <w:sz w:val="13"/>
              </w:rPr>
              <w:t>0.001</w:t>
            </w:r>
          </w:p>
        </w:tc>
        <w:tc>
          <w:tcPr>
            <w:tcW w:w="403" w:type="dxa"/>
            <w:tcBorders>
              <w:top w:val="nil"/>
              <w:left w:val="nil"/>
              <w:bottom w:val="nil"/>
              <w:right w:val="nil"/>
            </w:tcBorders>
            <w:tcMar>
              <w:top w:w="8" w:type="dxa"/>
              <w:left w:w="20" w:type="dxa"/>
              <w:bottom w:w="8" w:type="dxa"/>
              <w:right w:w="20" w:type="dxa"/>
            </w:tcMar>
            <w:vAlign w:val="center"/>
          </w:tcPr>
          <w:p w14:paraId="3392A53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8" w:type="dxa"/>
              <w:left w:w="20" w:type="dxa"/>
              <w:bottom w:w="8" w:type="dxa"/>
              <w:right w:w="20" w:type="dxa"/>
            </w:tcMar>
            <w:vAlign w:val="center"/>
          </w:tcPr>
          <w:p w14:paraId="353001C7">
            <w:pPr>
              <w:spacing w:before="24" w:after="24" w:line="240" w:lineRule="auto"/>
              <w:jc w:val="center"/>
            </w:pPr>
            <w:r>
              <w:rPr>
                <w:rFonts w:ascii="Times New Roman" w:hAnsi="Times New Roman" w:eastAsia="宋体"/>
                <w:b/>
                <w:sz w:val="13"/>
              </w:rPr>
              <w:t>0.063</w:t>
            </w:r>
          </w:p>
        </w:tc>
        <w:tc>
          <w:tcPr>
            <w:tcW w:w="403" w:type="dxa"/>
            <w:tcBorders>
              <w:top w:val="nil"/>
              <w:left w:val="nil"/>
              <w:bottom w:val="nil"/>
              <w:right w:val="nil"/>
            </w:tcBorders>
            <w:tcMar>
              <w:top w:w="8" w:type="dxa"/>
              <w:left w:w="20" w:type="dxa"/>
              <w:bottom w:w="8" w:type="dxa"/>
              <w:right w:w="20" w:type="dxa"/>
            </w:tcMar>
            <w:vAlign w:val="center"/>
          </w:tcPr>
          <w:p w14:paraId="35DA55BB">
            <w:pPr>
              <w:spacing w:before="24" w:after="24" w:line="240" w:lineRule="auto"/>
              <w:jc w:val="center"/>
            </w:pPr>
            <w:r>
              <w:rPr>
                <w:rFonts w:ascii="Times New Roman" w:hAnsi="Times New Roman" w:eastAsia="宋体"/>
                <w:b/>
                <w:sz w:val="13"/>
              </w:rPr>
              <w:t>0.052</w:t>
            </w:r>
          </w:p>
        </w:tc>
        <w:tc>
          <w:tcPr>
            <w:tcW w:w="403" w:type="dxa"/>
            <w:tcBorders>
              <w:top w:val="nil"/>
              <w:left w:val="nil"/>
              <w:bottom w:val="nil"/>
              <w:right w:val="nil"/>
            </w:tcBorders>
            <w:tcMar>
              <w:top w:w="8" w:type="dxa"/>
              <w:left w:w="20" w:type="dxa"/>
              <w:bottom w:w="8" w:type="dxa"/>
              <w:right w:w="20" w:type="dxa"/>
            </w:tcMar>
            <w:vAlign w:val="center"/>
          </w:tcPr>
          <w:p w14:paraId="60089F3D">
            <w:pPr>
              <w:spacing w:before="24" w:after="24" w:line="240" w:lineRule="auto"/>
              <w:jc w:val="center"/>
            </w:pPr>
            <w:r>
              <w:rPr>
                <w:rFonts w:ascii="Times New Roman" w:hAnsi="Times New Roman" w:eastAsia="宋体"/>
                <w:b/>
                <w:sz w:val="13"/>
              </w:rPr>
              <w:t>0.041</w:t>
            </w:r>
          </w:p>
        </w:tc>
        <w:tc>
          <w:tcPr>
            <w:tcW w:w="403" w:type="dxa"/>
            <w:tcBorders>
              <w:top w:val="nil"/>
              <w:left w:val="nil"/>
              <w:bottom w:val="nil"/>
              <w:right w:val="nil"/>
            </w:tcBorders>
            <w:tcMar>
              <w:top w:w="8" w:type="dxa"/>
              <w:left w:w="20" w:type="dxa"/>
              <w:bottom w:w="8" w:type="dxa"/>
              <w:right w:w="20" w:type="dxa"/>
            </w:tcMar>
            <w:vAlign w:val="center"/>
          </w:tcPr>
          <w:p w14:paraId="1AA780AA">
            <w:pPr>
              <w:spacing w:before="24" w:after="24" w:line="240" w:lineRule="auto"/>
              <w:jc w:val="center"/>
            </w:pPr>
            <w:r>
              <w:rPr>
                <w:rFonts w:ascii="Times New Roman" w:hAnsi="Times New Roman" w:eastAsia="宋体"/>
                <w:b/>
                <w:sz w:val="13"/>
              </w:rPr>
              <w:t>0.009</w:t>
            </w:r>
          </w:p>
        </w:tc>
        <w:tc>
          <w:tcPr>
            <w:tcW w:w="403" w:type="dxa"/>
            <w:tcBorders>
              <w:top w:val="nil"/>
              <w:left w:val="nil"/>
              <w:bottom w:val="nil"/>
              <w:right w:val="nil"/>
            </w:tcBorders>
            <w:tcMar>
              <w:top w:w="8" w:type="dxa"/>
              <w:left w:w="20" w:type="dxa"/>
              <w:bottom w:w="8" w:type="dxa"/>
              <w:right w:w="20" w:type="dxa"/>
            </w:tcMar>
            <w:vAlign w:val="center"/>
          </w:tcPr>
          <w:p w14:paraId="511B1A80">
            <w:pPr>
              <w:spacing w:before="24" w:after="24" w:line="240" w:lineRule="auto"/>
              <w:jc w:val="center"/>
            </w:pPr>
            <w:r>
              <w:rPr>
                <w:rFonts w:ascii="Times New Roman" w:hAnsi="Times New Roman" w:eastAsia="宋体"/>
                <w:b/>
                <w:sz w:val="13"/>
              </w:rPr>
              <w:t>0.030</w:t>
            </w:r>
          </w:p>
        </w:tc>
        <w:tc>
          <w:tcPr>
            <w:tcW w:w="403" w:type="dxa"/>
            <w:tcBorders>
              <w:top w:val="nil"/>
              <w:left w:val="nil"/>
              <w:bottom w:val="nil"/>
              <w:right w:val="nil"/>
            </w:tcBorders>
            <w:tcMar>
              <w:top w:w="8" w:type="dxa"/>
              <w:left w:w="20" w:type="dxa"/>
              <w:bottom w:w="8" w:type="dxa"/>
              <w:right w:w="20" w:type="dxa"/>
            </w:tcMar>
            <w:vAlign w:val="center"/>
          </w:tcPr>
          <w:p w14:paraId="1AB8CA16">
            <w:pPr>
              <w:spacing w:before="24" w:after="24" w:line="240" w:lineRule="auto"/>
              <w:jc w:val="center"/>
            </w:pPr>
            <w:r>
              <w:rPr>
                <w:rFonts w:ascii="Times New Roman" w:hAnsi="Times New Roman" w:eastAsia="宋体"/>
                <w:b/>
                <w:sz w:val="13"/>
              </w:rPr>
              <w:t>0.101</w:t>
            </w:r>
          </w:p>
        </w:tc>
        <w:tc>
          <w:tcPr>
            <w:tcW w:w="403" w:type="dxa"/>
            <w:tcBorders>
              <w:top w:val="nil"/>
              <w:left w:val="nil"/>
              <w:bottom w:val="nil"/>
              <w:right w:val="nil"/>
            </w:tcBorders>
            <w:tcMar>
              <w:top w:w="8" w:type="dxa"/>
              <w:left w:w="20" w:type="dxa"/>
              <w:bottom w:w="8" w:type="dxa"/>
              <w:right w:w="20" w:type="dxa"/>
            </w:tcMar>
            <w:vAlign w:val="center"/>
          </w:tcPr>
          <w:p w14:paraId="1D47237A">
            <w:pPr>
              <w:spacing w:before="24" w:after="24" w:line="240" w:lineRule="auto"/>
              <w:jc w:val="center"/>
            </w:pPr>
            <w:r>
              <w:rPr>
                <w:rFonts w:ascii="Times New Roman" w:hAnsi="Times New Roman" w:eastAsia="宋体"/>
                <w:b/>
                <w:sz w:val="13"/>
              </w:rPr>
              <w:t>0.061</w:t>
            </w:r>
          </w:p>
        </w:tc>
        <w:tc>
          <w:tcPr>
            <w:tcW w:w="403" w:type="dxa"/>
            <w:tcBorders>
              <w:top w:val="nil"/>
              <w:left w:val="nil"/>
              <w:bottom w:val="nil"/>
              <w:right w:val="nil"/>
            </w:tcBorders>
            <w:tcMar>
              <w:top w:w="8" w:type="dxa"/>
              <w:left w:w="20" w:type="dxa"/>
              <w:bottom w:w="8" w:type="dxa"/>
              <w:right w:w="20" w:type="dxa"/>
            </w:tcMar>
            <w:vAlign w:val="center"/>
          </w:tcPr>
          <w:p w14:paraId="79305B1A">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8" w:type="dxa"/>
              <w:left w:w="20" w:type="dxa"/>
              <w:bottom w:w="8" w:type="dxa"/>
              <w:right w:w="20" w:type="dxa"/>
            </w:tcMar>
            <w:vAlign w:val="center"/>
          </w:tcPr>
          <w:p w14:paraId="056FB78F">
            <w:pPr>
              <w:spacing w:before="24" w:after="24" w:line="240" w:lineRule="auto"/>
              <w:jc w:val="center"/>
            </w:pPr>
            <w:r>
              <w:rPr>
                <w:rFonts w:ascii="Times New Roman" w:hAnsi="Times New Roman" w:eastAsia="宋体"/>
                <w:b/>
                <w:sz w:val="13"/>
              </w:rPr>
              <w:t>0.079</w:t>
            </w:r>
          </w:p>
        </w:tc>
        <w:tc>
          <w:tcPr>
            <w:tcW w:w="403" w:type="dxa"/>
            <w:tcBorders>
              <w:top w:val="nil"/>
              <w:left w:val="nil"/>
              <w:bottom w:val="nil"/>
              <w:right w:val="nil"/>
            </w:tcBorders>
            <w:tcMar>
              <w:top w:w="8" w:type="dxa"/>
              <w:left w:w="20" w:type="dxa"/>
              <w:bottom w:w="8" w:type="dxa"/>
              <w:right w:w="20" w:type="dxa"/>
            </w:tcMar>
            <w:vAlign w:val="center"/>
          </w:tcPr>
          <w:p w14:paraId="71122501">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8" w:type="dxa"/>
              <w:left w:w="20" w:type="dxa"/>
              <w:bottom w:w="8" w:type="dxa"/>
              <w:right w:w="20" w:type="dxa"/>
            </w:tcMar>
            <w:vAlign w:val="center"/>
          </w:tcPr>
          <w:p w14:paraId="0E6C6E74">
            <w:pPr>
              <w:spacing w:before="24" w:after="24" w:line="240" w:lineRule="auto"/>
              <w:jc w:val="center"/>
            </w:pPr>
            <w:r>
              <w:rPr>
                <w:rFonts w:ascii="Times New Roman" w:hAnsi="Times New Roman" w:eastAsia="宋体"/>
                <w:b/>
                <w:sz w:val="13"/>
              </w:rPr>
              <w:t>0.058</w:t>
            </w:r>
          </w:p>
        </w:tc>
        <w:tc>
          <w:tcPr>
            <w:tcW w:w="403" w:type="dxa"/>
            <w:tcBorders>
              <w:top w:val="nil"/>
              <w:left w:val="nil"/>
              <w:bottom w:val="nil"/>
              <w:right w:val="nil"/>
            </w:tcBorders>
            <w:tcMar>
              <w:top w:w="8" w:type="dxa"/>
              <w:left w:w="20" w:type="dxa"/>
              <w:bottom w:w="8" w:type="dxa"/>
              <w:right w:w="20" w:type="dxa"/>
            </w:tcMar>
            <w:vAlign w:val="center"/>
          </w:tcPr>
          <w:p w14:paraId="7D00F87A">
            <w:pPr>
              <w:spacing w:before="24" w:after="24" w:line="240" w:lineRule="auto"/>
              <w:jc w:val="center"/>
            </w:pPr>
            <w:r>
              <w:rPr>
                <w:rFonts w:ascii="Times New Roman" w:hAnsi="Times New Roman" w:eastAsia="宋体"/>
                <w:b/>
                <w:sz w:val="13"/>
              </w:rPr>
              <w:t>0.099</w:t>
            </w:r>
          </w:p>
        </w:tc>
        <w:tc>
          <w:tcPr>
            <w:tcW w:w="403" w:type="dxa"/>
            <w:tcBorders>
              <w:top w:val="nil"/>
              <w:left w:val="nil"/>
              <w:bottom w:val="nil"/>
              <w:right w:val="nil"/>
            </w:tcBorders>
            <w:tcMar>
              <w:top w:w="8" w:type="dxa"/>
              <w:left w:w="20" w:type="dxa"/>
              <w:bottom w:w="8" w:type="dxa"/>
              <w:right w:w="20" w:type="dxa"/>
            </w:tcMar>
            <w:vAlign w:val="center"/>
          </w:tcPr>
          <w:p w14:paraId="21027336">
            <w:pPr>
              <w:spacing w:before="24" w:after="24" w:line="240" w:lineRule="auto"/>
              <w:jc w:val="center"/>
            </w:pPr>
            <w:r>
              <w:rPr>
                <w:rFonts w:ascii="Times New Roman" w:hAnsi="Times New Roman" w:eastAsia="宋体"/>
                <w:b/>
                <w:sz w:val="13"/>
              </w:rPr>
              <w:t>0.173</w:t>
            </w:r>
          </w:p>
        </w:tc>
        <w:tc>
          <w:tcPr>
            <w:tcW w:w="403" w:type="dxa"/>
            <w:tcBorders>
              <w:top w:val="nil"/>
              <w:left w:val="nil"/>
              <w:bottom w:val="nil"/>
              <w:right w:val="nil"/>
            </w:tcBorders>
            <w:tcMar>
              <w:top w:w="8" w:type="dxa"/>
              <w:left w:w="20" w:type="dxa"/>
              <w:bottom w:w="8" w:type="dxa"/>
              <w:right w:w="20" w:type="dxa"/>
            </w:tcMar>
            <w:vAlign w:val="center"/>
          </w:tcPr>
          <w:p w14:paraId="1846762F">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8" w:type="dxa"/>
              <w:left w:w="20" w:type="dxa"/>
              <w:bottom w:w="8" w:type="dxa"/>
              <w:right w:w="20" w:type="dxa"/>
            </w:tcMar>
            <w:vAlign w:val="center"/>
          </w:tcPr>
          <w:p w14:paraId="645F694C">
            <w:pPr>
              <w:spacing w:before="24" w:after="24" w:line="240" w:lineRule="auto"/>
              <w:jc w:val="center"/>
            </w:pPr>
            <w:r>
              <w:rPr>
                <w:rFonts w:ascii="Times New Roman" w:hAnsi="Times New Roman" w:eastAsia="宋体"/>
                <w:b/>
                <w:sz w:val="13"/>
              </w:rPr>
              <w:t>0.203</w:t>
            </w:r>
          </w:p>
        </w:tc>
        <w:tc>
          <w:tcPr>
            <w:tcW w:w="403" w:type="dxa"/>
            <w:tcBorders>
              <w:top w:val="nil"/>
              <w:left w:val="nil"/>
              <w:bottom w:val="nil"/>
              <w:right w:val="nil"/>
            </w:tcBorders>
            <w:tcMar>
              <w:top w:w="8" w:type="dxa"/>
              <w:left w:w="20" w:type="dxa"/>
              <w:bottom w:w="8" w:type="dxa"/>
              <w:right w:w="20" w:type="dxa"/>
            </w:tcMar>
            <w:vAlign w:val="center"/>
          </w:tcPr>
          <w:p w14:paraId="1EE8E07F">
            <w:pPr>
              <w:spacing w:before="24" w:after="24" w:line="240" w:lineRule="auto"/>
              <w:jc w:val="center"/>
            </w:pPr>
            <w:r>
              <w:rPr>
                <w:rFonts w:ascii="Times New Roman" w:hAnsi="Times New Roman" w:eastAsia="宋体"/>
                <w:b/>
                <w:sz w:val="13"/>
              </w:rPr>
              <w:t>0.056</w:t>
            </w:r>
          </w:p>
        </w:tc>
        <w:tc>
          <w:tcPr>
            <w:tcW w:w="403" w:type="dxa"/>
            <w:tcBorders>
              <w:top w:val="nil"/>
              <w:left w:val="nil"/>
              <w:bottom w:val="nil"/>
              <w:right w:val="nil"/>
            </w:tcBorders>
            <w:tcMar>
              <w:top w:w="8" w:type="dxa"/>
              <w:left w:w="20" w:type="dxa"/>
              <w:bottom w:w="8" w:type="dxa"/>
              <w:right w:w="20" w:type="dxa"/>
            </w:tcMar>
            <w:vAlign w:val="center"/>
          </w:tcPr>
          <w:p w14:paraId="7BE18496">
            <w:pPr>
              <w:spacing w:before="24" w:after="24" w:line="240" w:lineRule="auto"/>
              <w:jc w:val="center"/>
            </w:pPr>
            <w:r>
              <w:rPr>
                <w:rFonts w:ascii="Times New Roman" w:hAnsi="Times New Roman" w:eastAsia="宋体"/>
                <w:b/>
                <w:sz w:val="13"/>
              </w:rPr>
              <w:t>0.039</w:t>
            </w:r>
          </w:p>
        </w:tc>
        <w:tc>
          <w:tcPr>
            <w:tcW w:w="403" w:type="dxa"/>
            <w:tcBorders>
              <w:top w:val="nil"/>
              <w:left w:val="nil"/>
              <w:bottom w:val="nil"/>
              <w:right w:val="nil"/>
            </w:tcBorders>
            <w:tcMar>
              <w:top w:w="8" w:type="dxa"/>
              <w:left w:w="20" w:type="dxa"/>
              <w:bottom w:w="8" w:type="dxa"/>
              <w:right w:w="20" w:type="dxa"/>
            </w:tcMar>
            <w:vAlign w:val="center"/>
          </w:tcPr>
          <w:p w14:paraId="15C010D1">
            <w:pPr>
              <w:spacing w:before="24" w:after="24" w:line="240" w:lineRule="auto"/>
              <w:jc w:val="center"/>
            </w:pPr>
            <w:r>
              <w:rPr>
                <w:rFonts w:ascii="Times New Roman" w:hAnsi="Times New Roman" w:eastAsia="宋体"/>
                <w:b/>
                <w:sz w:val="13"/>
              </w:rPr>
              <w:t>0.003</w:t>
            </w:r>
          </w:p>
        </w:tc>
        <w:tc>
          <w:tcPr>
            <w:tcW w:w="1224" w:type="dxa"/>
            <w:tcBorders>
              <w:top w:val="nil"/>
              <w:left w:val="nil"/>
              <w:bottom w:val="nil"/>
              <w:right w:val="nil"/>
            </w:tcBorders>
            <w:tcMar>
              <w:top w:w="8" w:type="dxa"/>
              <w:left w:w="20" w:type="dxa"/>
              <w:bottom w:w="8" w:type="dxa"/>
              <w:right w:w="20" w:type="dxa"/>
            </w:tcMar>
            <w:vAlign w:val="center"/>
          </w:tcPr>
          <w:p w14:paraId="274FDD22">
            <w:pPr>
              <w:spacing w:before="24" w:after="24" w:line="240" w:lineRule="auto"/>
              <w:jc w:val="center"/>
            </w:pPr>
            <w:r>
              <w:rPr>
                <w:rFonts w:ascii="Times New Roman" w:hAnsi="Times New Roman" w:eastAsia="宋体"/>
                <w:b/>
                <w:sz w:val="13"/>
              </w:rPr>
              <w:t>0.714</w:t>
            </w:r>
          </w:p>
        </w:tc>
      </w:tr>
      <w:tr w14:paraId="639B892B">
        <w:tblPrEx>
          <w:tblCellMar>
            <w:top w:w="0" w:type="dxa"/>
            <w:left w:w="108" w:type="dxa"/>
            <w:bottom w:w="0" w:type="dxa"/>
            <w:right w:w="108" w:type="dxa"/>
          </w:tblCellMar>
        </w:tblPrEx>
        <w:trPr>
          <w:trHeight w:val="190" w:hRule="atLeast"/>
          <w:jc w:val="center"/>
        </w:trPr>
        <w:tc>
          <w:tcPr>
            <w:tcW w:w="1325" w:type="dxa"/>
            <w:tcBorders>
              <w:top w:val="nil"/>
              <w:left w:val="nil"/>
              <w:bottom w:val="single" w:color="000000" w:sz="12" w:space="0"/>
              <w:right w:val="nil"/>
            </w:tcBorders>
            <w:tcMar>
              <w:top w:w="8" w:type="dxa"/>
              <w:left w:w="20" w:type="dxa"/>
              <w:bottom w:w="8" w:type="dxa"/>
              <w:right w:w="20" w:type="dxa"/>
            </w:tcMar>
            <w:vAlign w:val="center"/>
          </w:tcPr>
          <w:p w14:paraId="1112B003">
            <w:pPr>
              <w:spacing w:before="24" w:after="24" w:line="240" w:lineRule="auto"/>
              <w:jc w:val="center"/>
            </w:pPr>
            <w:r>
              <w:rPr>
                <w:rFonts w:ascii="Times New Roman" w:hAnsi="Times New Roman" w:eastAsia="宋体"/>
                <w:b/>
                <w:sz w:val="13"/>
              </w:rPr>
              <w:t>统计量</w:t>
            </w:r>
          </w:p>
        </w:tc>
        <w:tc>
          <w:tcPr>
            <w:tcW w:w="1152" w:type="dxa"/>
            <w:tcBorders>
              <w:top w:val="nil"/>
              <w:left w:val="nil"/>
              <w:bottom w:val="single" w:color="000000" w:sz="12" w:space="0"/>
              <w:right w:val="nil"/>
            </w:tcBorders>
            <w:tcMar>
              <w:top w:w="8" w:type="dxa"/>
              <w:left w:w="20" w:type="dxa"/>
              <w:bottom w:w="8" w:type="dxa"/>
              <w:right w:w="20" w:type="dxa"/>
            </w:tcMar>
            <w:vAlign w:val="center"/>
          </w:tcPr>
          <w:p w14:paraId="102DCE1B">
            <w:pPr>
              <w:spacing w:before="24" w:after="24" w:line="240" w:lineRule="auto"/>
              <w:jc w:val="center"/>
            </w:pPr>
            <w:r>
              <w:rPr>
                <w:rFonts w:ascii="Times New Roman" w:hAnsi="Times New Roman" w:eastAsia="宋体"/>
                <w:b/>
                <w:sz w:val="13"/>
              </w:rPr>
              <w:t>样本规模</w:t>
            </w:r>
          </w:p>
        </w:tc>
        <w:tc>
          <w:tcPr>
            <w:tcW w:w="1843" w:type="dxa"/>
            <w:tcBorders>
              <w:top w:val="nil"/>
              <w:left w:val="nil"/>
              <w:bottom w:val="single" w:color="000000" w:sz="12" w:space="0"/>
              <w:right w:val="nil"/>
            </w:tcBorders>
            <w:tcMar>
              <w:top w:w="8" w:type="dxa"/>
              <w:left w:w="20" w:type="dxa"/>
              <w:bottom w:w="8" w:type="dxa"/>
              <w:right w:w="20" w:type="dxa"/>
            </w:tcMar>
            <w:vAlign w:val="center"/>
          </w:tcPr>
          <w:p w14:paraId="2E40C27F">
            <w:pPr>
              <w:spacing w:before="24" w:after="24" w:line="240" w:lineRule="auto"/>
              <w:jc w:val="center"/>
            </w:pPr>
            <w:r>
              <w:rPr>
                <w:rFonts w:ascii="Times New Roman" w:hAnsi="Times New Roman" w:eastAsia="宋体"/>
                <w:b/>
                <w:sz w:val="13"/>
              </w:rPr>
              <w:t>有效样本量 N</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1E0768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B793F0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967C413">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699459E1">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4550AA4">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E1C2AEE">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F2206BC">
            <w:pPr>
              <w:spacing w:before="24" w:after="24" w:line="240" w:lineRule="auto"/>
              <w:jc w:val="center"/>
            </w:pPr>
            <w:r>
              <w:rPr>
                <w:rFonts w:ascii="Times New Roman" w:hAnsi="Times New Roman" w:eastAsia="宋体"/>
                <w:b/>
                <w:sz w:val="13"/>
              </w:rPr>
              <w:t>148</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689186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58E121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DF6410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8A5F106">
            <w:pPr>
              <w:spacing w:before="24" w:after="24" w:line="240" w:lineRule="auto"/>
              <w:jc w:val="center"/>
            </w:pPr>
            <w:r>
              <w:rPr>
                <w:rFonts w:ascii="Times New Roman" w:hAnsi="Times New Roman" w:eastAsia="宋体"/>
                <w:b/>
                <w:sz w:val="13"/>
              </w:rPr>
              <w:t>360</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74869765">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6583861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F1671E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4FF54B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5BDDE16">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CF256C2">
            <w:pPr>
              <w:spacing w:before="24" w:after="24" w:line="240" w:lineRule="auto"/>
              <w:jc w:val="center"/>
            </w:pPr>
            <w:r>
              <w:rPr>
                <w:rFonts w:ascii="Times New Roman" w:hAnsi="Times New Roman" w:eastAsia="宋体"/>
                <w:b/>
                <w:sz w:val="13"/>
              </w:rPr>
              <w:t>355</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46D3B9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5BB953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BFCBF9E">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71C6CD1">
            <w:pPr>
              <w:spacing w:before="24" w:after="24" w:line="240" w:lineRule="auto"/>
              <w:jc w:val="center"/>
            </w:pPr>
            <w:r>
              <w:rPr>
                <w:rFonts w:ascii="Times New Roman" w:hAnsi="Times New Roman" w:eastAsia="宋体"/>
                <w:b/>
                <w:sz w:val="13"/>
              </w:rPr>
              <w:t>359</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420A36E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778181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A7186F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6D85548">
            <w:pPr>
              <w:spacing w:before="24" w:after="24" w:line="240" w:lineRule="auto"/>
              <w:jc w:val="center"/>
            </w:pPr>
            <w:r>
              <w:rPr>
                <w:rFonts w:ascii="Times New Roman" w:hAnsi="Times New Roman" w:eastAsia="宋体"/>
                <w:b/>
                <w:sz w:val="13"/>
              </w:rPr>
              <w:t>362</w:t>
            </w:r>
          </w:p>
        </w:tc>
        <w:tc>
          <w:tcPr>
            <w:tcW w:w="1224" w:type="dxa"/>
            <w:tcBorders>
              <w:top w:val="nil"/>
              <w:left w:val="nil"/>
              <w:bottom w:val="single" w:color="000000" w:sz="12" w:space="0"/>
              <w:right w:val="nil"/>
            </w:tcBorders>
            <w:tcMar>
              <w:top w:w="8" w:type="dxa"/>
              <w:left w:w="20" w:type="dxa"/>
              <w:bottom w:w="8" w:type="dxa"/>
              <w:right w:w="20" w:type="dxa"/>
            </w:tcMar>
            <w:vAlign w:val="center"/>
          </w:tcPr>
          <w:p w14:paraId="4AE48E2B">
            <w:pPr>
              <w:spacing w:before="24" w:after="24" w:line="240" w:lineRule="auto"/>
              <w:jc w:val="center"/>
            </w:pPr>
            <w:r>
              <w:rPr>
                <w:rFonts w:ascii="Times New Roman" w:hAnsi="Times New Roman" w:eastAsia="宋体"/>
                <w:b/>
                <w:sz w:val="13"/>
              </w:rPr>
              <w:t>350</w:t>
            </w:r>
          </w:p>
        </w:tc>
      </w:tr>
    </w:tbl>
    <w:p w14:paraId="1257C739">
      <w:pPr>
        <w:spacing w:before="40" w:after="0"/>
      </w:pPr>
      <w:r>
        <w:rPr>
          <w:rFonts w:ascii="Times New Roman" w:hAnsi="Times New Roman" w:eastAsia="宋体"/>
          <w:b w:val="0"/>
          <w:sz w:val="13"/>
        </w:rPr>
        <w:t>注：第 (1) 至 (25) 列为各候选指标分别对基金全样本期 FF5 alpha 进行单变量横截面 OLS 回归的结果（HC1 稳健标准误）；对角线单元格汇报单变量回归系数 β 与显著性星号（*** p&lt;0.01, ** p&lt;0.05, * p&lt;0.1），非对角线单元格为空。最后一列为将全部 18 个连续型指标同时纳入同一回归方程的多元联立回归净效应 t 值；哑变量不入联立模型记「—」。全模型 R²=0.7141，N=350，F=42.18*** (p&lt;0.001)。</w:t>
      </w:r>
    </w:p>
    <w:sectPr>
      <w:pgSz w:w="16834" w:h="11909" w:orient="landscape"/>
      <w:pgMar w:top="510" w:right="567" w:bottom="454"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1854217F"/>
    <w:rsid w:val="27C34541"/>
    <w:rsid w:val="48C91293"/>
    <w:rsid w:val="57B37F3D"/>
    <w:rsid w:val="59017019"/>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2026-09-07T05:55:24Z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