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t>Kahneman &amp; Tversky (1979) [4]</w:t>
              <w:b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t>Gervais &amp; Odean (2001) [24]</w:t>
              <w:b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t>Cremers &amp; Petajisto (2009) [28]</w:t>
              <w:b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t>Henriksson &amp; Merton (1981) [15]</w:t>
              <w:b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t>Lakonishok et al. (1992) [21]</w:t>
              <w:b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t>预期负/实证正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56DAE214">
            <w:pPr>
              <w:spacing w:before="10" w:after="10" w:line="240" w:lineRule="auto"/>
              <w:ind w:firstLine="0"/>
              <w:jc w:val="left"/>
            </w:pPr>
            <w:r>
              <w:t>持仓锚定买入高点不肯止损认错损害业绩（实证β=+0.09***为正，见表4；机制待重塑）</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t>10.9</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t>254</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t>+3.39</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t>+3.14</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t>14.8</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t>+3.87</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928AEE5">
            <w:pPr>
              <w:spacing w:before="10" w:after="10" w:line="240" w:lineRule="auto"/>
              <w:ind w:firstLine="0"/>
              <w:jc w:val="center"/>
            </w:pPr>
            <w:r>
              <w:rPr>
                <w:rFonts w:ascii="Times New Roman" w:hAnsi="Times New Roman" w:eastAsia="宋体"/>
                <w:b w:val="0"/>
                <w:i w:val="0"/>
                <w:sz w:val="16"/>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t>13.3</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t>+1.96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682A26A">
            <w:pPr>
              <w:spacing w:before="10" w:after="10" w:line="240" w:lineRule="auto"/>
              <w:ind w:firstLine="0"/>
              <w:jc w:val="center"/>
            </w:pPr>
            <w:r>
              <w:t>+1.71</w:t>
            </w:r>
          </w:p>
        </w:tc>
      </w:tr>
    </w:tbl>
    <w:p w14:paraId="5927E81D">
      <w:pPr>
        <w:spacing w:before="40" w:after="120" w:line="276" w:lineRule="auto"/>
      </w:pPr>
      <w:r>
        <w:t>注：规模、收益与超额均为等权年均；换手率为 Wind 单边年化，1%/99% 缩尾，未更新记「—」；超额收益＝季度收益减季度无风险利率（rf，缺失按0.25%/季补；非沪深300超额，以此为准）。2015 年前基金较少仅供参照；2026年原仅含前两季；数据重估版已剔除 2025Q3 与 2026Q2（全市场复权拼接失真季，800个基金—季）：2025为3季度均值、2026仅Q1、全样本9174观测（原9974），超额口径仍为减rf、留待后续以真实沪深300重算。</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6404AD23">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个标准差吞噬季度超额约0.54个百分点（占季度均值约四分之一，年化约2.2%），行业集中度与 Sharpe 则分别贡献季度约0.73与0.85个百分点（年化约 +2.9% 与 +3.7%）。25 个候选指标中12 个行为指标单变量显著（表 4）：集中押注（ICI）、盈利进攻（risk_asym）、报表外调仓（ARG）、跌市防守（timing）、三项转化比率及高位锚定（anchor_high，β=+0.09***，与表2负向预期不一致，机制待第二步重塑）显著为正；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3BAC8162">
      <w:pPr>
        <w:sectPr>
          <w:type w:val="continuous"/>
          <w:pgSz w:w="11906" w:h="16838"/>
          <w:pgMar w:top="1134" w:right="1134" w:bottom="1134" w:left="1134" w:header="720" w:footer="720" w:gutter="0"/>
          <w:cols w:space="720" w:num="1"/>
          <w:docGrid w:linePitch="360" w:charSpace="0"/>
        </w:sectPr>
      </w:pP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10" w:after="10" w:line="240" w:lineRule="auto"/>
              <w:ind w:firstLine="0"/>
              <w:jc w:val="center"/>
            </w:pPr>
            <w:r>
              <w:t>超额收益（减rf）</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10" w:after="10" w:line="240" w:lineRule="auto"/>
              <w:ind w:firstLine="0"/>
              <w:jc w:val="center"/>
            </w:pPr>
            <w:r>
              <w:rPr>
                <w:rFonts w:ascii="Times New Roman" w:hAnsi="Times New Roman" w:eastAsia="宋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10" w:after="10" w:line="240" w:lineRule="auto"/>
              <w:ind w:firstLine="0"/>
              <w:jc w:val="center"/>
            </w:pPr>
            <w:r>
              <w:rPr>
                <w:rFonts w:ascii="Times New Roman" w:hAnsi="Times New Roman" w:eastAsia="宋体"/>
                <w:b w:val="0"/>
                <w:i w:val="0"/>
                <w:sz w:val="16"/>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10" w:after="10" w:line="240" w:lineRule="auto"/>
              <w:ind w:firstLine="0"/>
              <w:jc w:val="center"/>
            </w:pPr>
            <w:r>
              <w:rPr>
                <w:rFonts w:ascii="Times New Roman" w:hAnsi="Times New Roman" w:eastAsia="宋体"/>
                <w:b w:val="0"/>
                <w:i w:val="0"/>
                <w:sz w:val="16"/>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10" w:after="10" w:line="240" w:lineRule="auto"/>
              <w:ind w:firstLine="0"/>
              <w:jc w:val="center"/>
            </w:pPr>
            <w:r>
              <w:rPr>
                <w:rFonts w:ascii="Times New Roman" w:hAnsi="Times New Roman" w:eastAsia="宋体"/>
                <w:b w:val="0"/>
                <w:i w:val="0"/>
                <w:sz w:val="16"/>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10" w:after="10" w:line="240" w:lineRule="auto"/>
              <w:ind w:firstLine="0"/>
              <w:jc w:val="center"/>
            </w:pPr>
            <w:r>
              <w:rPr>
                <w:rFonts w:ascii="Times New Roman" w:hAnsi="Times New Roman" w:eastAsia="宋体"/>
                <w:b w:val="0"/>
                <w:i w:val="0"/>
                <w:sz w:val="16"/>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10" w:after="10" w:line="240" w:lineRule="auto"/>
              <w:ind w:firstLine="0"/>
              <w:jc w:val="center"/>
            </w:pPr>
            <w:r>
              <w:rPr>
                <w:rFonts w:ascii="Times New Roman" w:hAnsi="Times New Roman" w:eastAsia="宋体"/>
                <w:b w:val="0"/>
                <w:i w:val="0"/>
                <w:sz w:val="16"/>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10" w:after="10" w:line="240" w:lineRule="auto"/>
              <w:ind w:firstLine="0"/>
              <w:jc w:val="center"/>
            </w:pPr>
            <w:r>
              <w:rPr>
                <w:rFonts w:ascii="Times New Roman" w:hAnsi="Times New Roman" w:eastAsia="宋体"/>
                <w:b w:val="0"/>
                <w:i w:val="0"/>
                <w:sz w:val="16"/>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10" w:after="10" w:line="240" w:lineRule="auto"/>
              <w:ind w:firstLine="0"/>
              <w:jc w:val="center"/>
            </w:pPr>
            <w:r>
              <w:rPr>
                <w:rFonts w:ascii="Times New Roman" w:hAnsi="Times New Roman" w:eastAsia="宋体"/>
                <w:b w:val="0"/>
                <w:i w:val="0"/>
                <w:sz w:val="16"/>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10" w:after="10" w:line="240" w:lineRule="auto"/>
              <w:ind w:firstLine="0"/>
              <w:jc w:val="center"/>
            </w:pPr>
            <w:r>
              <w:rPr>
                <w:rFonts w:ascii="Times New Roman" w:hAnsi="Times New Roman" w:eastAsia="宋体"/>
                <w:b w:val="0"/>
                <w:i w:val="0"/>
                <w:sz w:val="16"/>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10" w:after="10" w:line="240" w:lineRule="auto"/>
              <w:ind w:firstLine="0"/>
              <w:jc w:val="center"/>
            </w:pPr>
            <w:r>
              <w:rPr>
                <w:rFonts w:ascii="Times New Roman" w:hAnsi="Times New Roman" w:eastAsia="宋体"/>
                <w:b w:val="0"/>
                <w:i w:val="0"/>
                <w:sz w:val="16"/>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10" w:after="10" w:line="240" w:lineRule="auto"/>
              <w:ind w:firstLine="0"/>
              <w:jc w:val="center"/>
            </w:pPr>
            <w:r>
              <w:rPr>
                <w:rFonts w:ascii="Times New Roman" w:hAnsi="Times New Roman" w:eastAsia="宋体"/>
                <w:b w:val="0"/>
                <w:i w:val="0"/>
                <w:sz w:val="16"/>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10" w:after="10" w:line="240" w:lineRule="auto"/>
              <w:ind w:firstLine="0"/>
              <w:jc w:val="center"/>
            </w:pPr>
            <w:r>
              <w:rPr>
                <w:rFonts w:ascii="Times New Roman" w:hAnsi="Times New Roman" w:eastAsia="宋体"/>
                <w:b w:val="0"/>
                <w:i w:val="0"/>
                <w:sz w:val="16"/>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10" w:after="10" w:line="240" w:lineRule="auto"/>
              <w:ind w:firstLine="0"/>
              <w:jc w:val="center"/>
            </w:pPr>
            <w:r>
              <w:rPr>
                <w:rFonts w:ascii="Times New Roman" w:hAnsi="Times New Roman" w:eastAsia="宋体"/>
                <w:b w:val="0"/>
                <w:i w:val="0"/>
                <w:sz w:val="16"/>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10" w:after="10" w:line="240" w:lineRule="auto"/>
              <w:ind w:firstLine="0"/>
              <w:jc w:val="center"/>
            </w:pPr>
            <w:r>
              <w:rPr>
                <w:rFonts w:ascii="Times New Roman" w:hAnsi="Times New Roman" w:eastAsia="宋体"/>
                <w:b w:val="0"/>
                <w:i w:val="0"/>
                <w:sz w:val="16"/>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10" w:after="10" w:line="240" w:lineRule="auto"/>
              <w:ind w:firstLine="0"/>
              <w:jc w:val="center"/>
            </w:pPr>
            <w:r>
              <w:rPr>
                <w:rFonts w:ascii="Times New Roman" w:hAnsi="Times New Roman" w:eastAsia="宋体"/>
                <w:b w:val="0"/>
                <w:i w:val="0"/>
                <w:sz w:val="16"/>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10" w:after="10" w:line="240" w:lineRule="auto"/>
              <w:ind w:firstLine="0"/>
              <w:jc w:val="center"/>
            </w:pPr>
            <w:r>
              <w:rPr>
                <w:rFonts w:ascii="Times New Roman" w:hAnsi="Times New Roman" w:eastAsia="宋体"/>
                <w:b w:val="0"/>
                <w:i w:val="0"/>
                <w:sz w:val="16"/>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10" w:after="10" w:line="240" w:lineRule="auto"/>
              <w:ind w:firstLine="0"/>
              <w:jc w:val="center"/>
            </w:pPr>
            <w:r>
              <w:rPr>
                <w:rFonts w:ascii="Times New Roman" w:hAnsi="Times New Roman" w:eastAsia="宋体"/>
                <w:b w:val="0"/>
                <w:i w:val="0"/>
                <w:sz w:val="16"/>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10" w:after="10" w:line="240" w:lineRule="auto"/>
              <w:ind w:firstLine="0"/>
              <w:jc w:val="center"/>
            </w:pPr>
            <w:r>
              <w:rPr>
                <w:rFonts w:ascii="Times New Roman" w:hAnsi="Times New Roman" w:eastAsia="宋体"/>
                <w:b w:val="0"/>
                <w:i w:val="0"/>
                <w:sz w:val="16"/>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10" w:after="10" w:line="240" w:lineRule="auto"/>
              <w:ind w:firstLine="0"/>
              <w:jc w:val="center"/>
            </w:pPr>
            <w:r>
              <w:rPr>
                <w:rFonts w:ascii="Times New Roman" w:hAnsi="Times New Roman" w:eastAsia="宋体"/>
                <w:b w:val="0"/>
                <w:i w:val="0"/>
                <w:sz w:val="16"/>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10" w:after="10" w:line="240" w:lineRule="auto"/>
              <w:ind w:firstLine="0"/>
              <w:jc w:val="center"/>
            </w:pPr>
            <w:r>
              <w:rPr>
                <w:rFonts w:ascii="Times New Roman" w:hAnsi="Times New Roman" w:eastAsia="宋体"/>
                <w:b w:val="0"/>
                <w:i w:val="0"/>
                <w:sz w:val="16"/>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10" w:after="10" w:line="240" w:lineRule="auto"/>
              <w:ind w:firstLine="0"/>
              <w:jc w:val="center"/>
            </w:pPr>
            <w:r>
              <w:rPr>
                <w:rFonts w:ascii="Times New Roman" w:hAnsi="Times New Roman" w:eastAsia="宋体"/>
                <w:b w:val="0"/>
                <w:i w:val="0"/>
                <w:sz w:val="16"/>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10" w:after="10" w:line="240" w:lineRule="auto"/>
              <w:ind w:firstLine="0"/>
              <w:jc w:val="center"/>
            </w:pPr>
            <w:r>
              <w:rPr>
                <w:rFonts w:ascii="Times New Roman" w:hAnsi="Times New Roman" w:eastAsia="宋体"/>
                <w:b w:val="0"/>
                <w:i w:val="0"/>
                <w:sz w:val="16"/>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10" w:after="10" w:line="240" w:lineRule="auto"/>
              <w:ind w:firstLine="0"/>
              <w:jc w:val="center"/>
            </w:pPr>
            <w:r>
              <w:rPr>
                <w:rFonts w:ascii="Times New Roman" w:hAnsi="Times New Roman" w:eastAsia="宋体"/>
                <w:b w:val="0"/>
                <w:i w:val="0"/>
                <w:sz w:val="16"/>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10" w:after="10" w:line="240" w:lineRule="auto"/>
              <w:ind w:firstLine="0"/>
              <w:jc w:val="center"/>
            </w:pPr>
            <w:r>
              <w:rPr>
                <w:rFonts w:ascii="Times New Roman" w:hAnsi="Times New Roman" w:eastAsia="宋体"/>
                <w:b w:val="0"/>
                <w:i w:val="0"/>
                <w:sz w:val="16"/>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10" w:after="10" w:line="240" w:lineRule="auto"/>
              <w:ind w:firstLine="0"/>
              <w:jc w:val="center"/>
            </w:pPr>
            <w:r>
              <w:rPr>
                <w:rFonts w:ascii="Times New Roman" w:hAnsi="Times New Roman" w:eastAsia="宋体"/>
                <w:b w:val="0"/>
                <w:i w:val="0"/>
                <w:sz w:val="16"/>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10" w:after="10" w:line="240" w:lineRule="auto"/>
              <w:ind w:firstLine="0"/>
              <w:jc w:val="center"/>
            </w:pPr>
            <w:r>
              <w:rPr>
                <w:rFonts w:ascii="Times New Roman" w:hAnsi="Times New Roman" w:eastAsia="宋体"/>
                <w:b w:val="0"/>
                <w:i w:val="0"/>
                <w:sz w:val="16"/>
              </w:rPr>
              <w:t>+1.1</w:t>
            </w:r>
          </w:p>
        </w:tc>
      </w:tr>
    </w:tbl>
    <w:p w14:paraId="4E7B9A08">
      <w:pPr>
        <w:spacing w:before="40" w:after="120" w:line="276" w:lineRule="auto"/>
      </w:pPr>
      <w:r>
        <w:t>注：单元格为基金层横截面 OLS 的 t 值与显著性；三列回归样本随因变量覆盖率微调（N≈352–362）。第一列为减季度无风险利率的超额（非沪深300超额）；简单超额不剔因子、风格暴露留在残差，仅作参照。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权重。锚定效应并入认知维度，高位持仓的正向效应已按实证方向计入认知维度，其理论机制（动量延续 vs 沉没成本）待第二步重塑，本版暂不做偏误定性。</w:t>
      </w:r>
    </w:p>
    <w:p w14:paraId="5757CD1A">
      <w:pPr>
        <w:spacing w:after="80" w:line="324" w:lineRule="auto"/>
        <w:ind w:firstLine="480"/>
      </w:pPr>
      <w:r>
        <w:t>把六个维度得分同时放入回归（主回归方程；联立口径不含三控制，见表6注，方程γ项仅用于单维对照）：</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能力分对收益的预测效果直观显著（图 2）：按综合能力五等分，FF5 alpha 自 Q1 的 0.51% 单调攀升至 Q5 的 3.85%，头尾差达 3.34 个百分点（t=11.24）；原始季度收益总体向上（Q3 6.93%至Q4 6.64%略有回撤，非严格单调，见表10）。复合能力得分展现出对未来业绩极强的穿透识别与区分度。</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全模型中显著为负（t=-3.06***；单变量t=-0.26不显著，见表8）而面板单变量显著为正（t=+5.33***），总效应与偏效应方向不一；加入规模控制后仍不显著（t=-0.65），规模驱动依据不足，真正的遮蔽来自行业集中度（详见方法详解）。本文以六道检验综合裁决（表8；其中第六道Top−Bottom差+0.0233、t=+1.91*为正向显著，与淘汰方向相反，提示AS在极端分布下仍有信息含量，本版暂保留剔除结论），与 Frazzini 等（2016）[29]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t>VI_群体画像_Top 5%减Bottom 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+2.34，与“偏差损害业绩”相反，明细见方法详解；表1仅列25个核心候选）；追涨杀跌、换手率仅在特定风格口径下显著，剥离五因子后不再显著。Brinson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t>表 9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t>Top 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t>Bottom 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（三）长周期样本外检验：2006–2024 建模与 2025–2026 盲测验证</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年一季度、2025年二季度、2025年四季度与 2026 年一季度（共 4 个干净季度，已剔除 2025Q3 与 2026Q2 复权拼接失真季，见表12注）完全排除在建模打分之外，作为样本外盲测检验期。为克服短期样本外自由度受限，我们冻结样本内估计的五因子载荷，计算各季度的异常超额收益（Abnormal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t>0.70%</w:t>
            </w:r>
          </w:p>
        </w:tc>
        <w:tc>
          <w:tcPr>
            <w:tcW w:w="1417" w:type="dxa"/>
            <w:tcBorders>
              <w:top w:val="nil"/>
              <w:left w:val="nil"/>
              <w:bottom w:val="nil"/>
              <w:right w:val="nil"/>
            </w:tcBorders>
            <w:tcMar>
              <w:top w:w="20" w:type="dxa"/>
              <w:left w:w="45" w:type="dxa"/>
              <w:bottom w:w="20" w:type="dxa"/>
              <w:right w:w="45" w:type="dxa"/>
            </w:tcMar>
            <w:vAlign w:val="center"/>
          </w:tcPr>
          <w:p w14:paraId="20C5211A">
            <w:pPr>
              <w:spacing w:before="10" w:after="10" w:line="240" w:lineRule="auto"/>
              <w:ind w:firstLine="0"/>
              <w:jc w:val="center"/>
            </w:pPr>
            <w:r>
              <w:t>2.75%</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t>1.84%</w:t>
            </w:r>
          </w:p>
        </w:tc>
        <w:tc>
          <w:tcPr>
            <w:tcW w:w="1417" w:type="dxa"/>
            <w:tcBorders>
              <w:top w:val="nil"/>
              <w:left w:val="nil"/>
              <w:bottom w:val="nil"/>
              <w:right w:val="nil"/>
            </w:tcBorders>
            <w:tcMar>
              <w:top w:w="20" w:type="dxa"/>
              <w:left w:w="45" w:type="dxa"/>
              <w:bottom w:w="20" w:type="dxa"/>
              <w:right w:w="45" w:type="dxa"/>
            </w:tcMar>
            <w:vAlign w:val="center"/>
          </w:tcPr>
          <w:p w14:paraId="75A1DDFF">
            <w:pPr>
              <w:spacing w:before="10" w:after="10" w:line="240" w:lineRule="auto"/>
              <w:ind w:firstLine="0"/>
              <w:jc w:val="center"/>
            </w:pPr>
            <w:r>
              <w:t>3.34%</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t>3.17%</w:t>
            </w:r>
          </w:p>
        </w:tc>
        <w:tc>
          <w:tcPr>
            <w:tcW w:w="1417" w:type="dxa"/>
            <w:tcBorders>
              <w:top w:val="nil"/>
              <w:left w:val="nil"/>
              <w:bottom w:val="nil"/>
              <w:right w:val="nil"/>
            </w:tcBorders>
            <w:tcMar>
              <w:top w:w="20" w:type="dxa"/>
              <w:left w:w="45" w:type="dxa"/>
              <w:bottom w:w="20" w:type="dxa"/>
              <w:right w:w="45" w:type="dxa"/>
            </w:tcMar>
            <w:vAlign w:val="center"/>
          </w:tcPr>
          <w:p w14:paraId="6D52FF44">
            <w:pPr>
              <w:spacing w:before="10" w:after="10" w:line="240" w:lineRule="auto"/>
              <w:ind w:firstLine="0"/>
              <w:jc w:val="center"/>
            </w:pPr>
            <w:r>
              <w:t>3.76%</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t>2.19%</w:t>
            </w:r>
          </w:p>
        </w:tc>
        <w:tc>
          <w:tcPr>
            <w:tcW w:w="1417" w:type="dxa"/>
            <w:tcBorders>
              <w:top w:val="nil"/>
              <w:left w:val="nil"/>
              <w:bottom w:val="nil"/>
              <w:right w:val="nil"/>
            </w:tcBorders>
            <w:tcMar>
              <w:top w:w="20" w:type="dxa"/>
              <w:left w:w="45" w:type="dxa"/>
              <w:bottom w:w="20" w:type="dxa"/>
              <w:right w:w="45" w:type="dxa"/>
            </w:tcMar>
            <w:vAlign w:val="center"/>
          </w:tcPr>
          <w:p w14:paraId="43DA041F">
            <w:pPr>
              <w:spacing w:before="10" w:after="10" w:line="240" w:lineRule="auto"/>
              <w:ind w:firstLine="0"/>
              <w:jc w:val="center"/>
            </w:pPr>
            <w:r>
              <w:t>2.68%</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t>3.48%</w:t>
            </w:r>
          </w:p>
        </w:tc>
        <w:tc>
          <w:tcPr>
            <w:tcW w:w="1417" w:type="dxa"/>
            <w:tcBorders>
              <w:top w:val="nil"/>
              <w:left w:val="nil"/>
              <w:bottom w:val="nil"/>
              <w:right w:val="nil"/>
            </w:tcBorders>
            <w:tcMar>
              <w:top w:w="20" w:type="dxa"/>
              <w:left w:w="45" w:type="dxa"/>
              <w:bottom w:w="20" w:type="dxa"/>
              <w:right w:w="45" w:type="dxa"/>
            </w:tcMar>
            <w:vAlign w:val="center"/>
          </w:tcPr>
          <w:p w14:paraId="30A73698">
            <w:pPr>
              <w:spacing w:before="10" w:after="10" w:line="240" w:lineRule="auto"/>
              <w:ind w:firstLine="0"/>
              <w:jc w:val="center"/>
            </w:pPr>
            <w:r>
              <w:t>4.07%</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t>+2.78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t>+1.32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t>t=+2.36**</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t>t=+1.85*</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t>β=+0.0258 (t=+2.33**)</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t>— (单变量 R²=2.01%)</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t>β=+0.0097 (t=+2.16**)</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t>β=+0.0082 (t=+2.13**)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t>β=+0.0277 (t=+4.98***)</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t>β=+0.0216 (t=+3.58***)</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t>β=−0.0086 (t=−1.93*)</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t>β=−0.0101 (t=−2.31**)</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t>β=+0.0228 (t=+3.05***)</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t>β=+0.0189 (t=+2.53**)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t>β=+0.0011 (t=+0.24)</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t>β=−0.0011 (t=−0.26)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t>β=+0.0027 (t=+0.58)</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t>β=−0.0048 (t=−1.12)</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t>单变量 R² 最高 5.74%</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t>六维联立 R² = 10.96%</w:t>
            </w:r>
          </w:p>
        </w:tc>
      </w:tr>
    </w:tbl>
    <w:p w14:paraId="371A85B3">
      <w:pPr>
        <w:spacing w:before="40" w:after="120" w:line="276" w:lineRule="auto"/>
      </w:pPr>
      <w:r>
        <w:t>注：样本内为 2006Q3–2024Q4（74 季度），样本外为 4 个干净季度（2025Q1/Q2/Q4、2026Q1；已剔除2025Q3/2026Q2污染季；326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t>样本外盲测呈现出三项核心发现：第一，五分组总体向上但非严格单调。依据样本内综合得分五等分，样本外异常 Alpha 自 Q1 的 0.70% 升至 Q5 的 3.48%（Q3 3.17%至Q4 2.19%出现倒挂，见表12）；组间差为 +2.78 个百分点／季（t=+2.36**，p=0.020）；季度原始收益自 2.75% 升至 4.07%（Q4同样倒挂，差值 +1.32 个百分点，t=+1.85*，p=0.067，仅10%显著）。第二，纯行为维度的穿透力跨越周期。在样本外预测回归中，综合能力对未来异常 Alpha 显著为正（β=+0.0258，t=+2.33**，R²=2.01%）；认知能力（t=+4.98***）与风险应对能力（t=+3.05***）在样本外依然显著，交易执行能力（t=+0.58，p=0.56）不再显著，表明风格稳定性的跨周期证据在本口径下不足，防守与认知纪律才是稳健的跨周期技能（见表12）。第三，印证了 L4b 风险转化维度的机械性假说。风险转化能力在样本外的预测回归依然不显著（β=+0.0011，t=+0.24，p=0.81；联立β=−0.0011，t=−0.26），证实了前述理论断言：比率类指标同期高 t 值带有与业绩同源的机械成分，脱离同期拟合后预测力归零，真正驱动未来业绩的是认知与防守行为。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干净样本单变量t=+2.16**，联立t=+2.13**，见表12）——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个百分点，t=11.24）；在2025–2026年4季度干净样本盲测中，五分组异常 Alpha 总体向上但Q4倒挂，Q5−Q1 差值为 +2.78 个百分点／季（t=+2.36**，p=0.020），认知与防守维度的未来预测力持续显著、交易执行维度不再显著，提示过拟合风险已大幅降低但单调性并不完美（见表12）。这为 FOF 与机构筛选投资经理提供了可靠的实战工具——重点考察止损果断性（处置效应）、跌市防守纪律与交易执行意图，而非仅凭历史夏普比率。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t>[33]  李志冰, 杨光艺, 冯永昌, 等. Fama-French五因子模型在中国股票市场的实证检验[J]. 金融研究, 2017(6): 191-206.</w:t>
      </w:r>
    </w:p>
    <w:p/>
    <w:p>
      <w:pPr/>
      <w:r>
        <w:rPr>
          <w:i w:val="0"/>
        </w:rPr>
        <w:t>版本说明（文字规范版，2026-09-05；基于《论文初稿_2026-09-04.docx》只读复制生成，原文件未改动）：本版仅做文字与引用规范修复（章节编号、文献角标[11]–[31]对齐、anchor方向表述、表注口径澄清、单调性措辞、幽灵t对齐表内值、反例表述、γ注语义）；所有回归系数、t值、R²、N、分组收益数字与结论判断全部冻结；2025Q3/2026Q2数据质量、表12干净重估、Sortino/HM算法、L4b同源等实证重跑留待第二步。</w:t>
      </w:r>
    </w:p>
    <w:p/>
    <w:p>
      <w:pPr/>
      <w:r>
        <w:t>方法局限附注（数据重估版，2026-09-06；系数冻结、只加说明）：（1）Sortino现行条件口径（亏损季样本std，要求亏损季≥3且下行波动&gt;1%）会逆向淘汰极少亏损的绩优基金（29只），估计值暂冻结，全样本半方差对照与Spearman仅0.315的敏感性见方法详解；（2）HM timing与市场Beta相关约0.71，83.9%基金|t|&lt;1.65，含严重度量误差，第二阶段系数有衰减偏误风险，估计值暂冻结；（3）L4b三比率（Sharpe/Sortino/MPPM）分子含同期均值超额，与FF5 alpha机械同源，同期R²虚高，样本外t=+0.24归零，故不作筛选依据，估计值暂冻结；（4）AS符号反转核心推手为ICI遮蔽（+ICI后t≈−3.33），规模控制前后t=−0.26→−0.65无质变，TWFE组内正向（t≈+8.00）属不同识别口径，本版保留淘汰结论，双刃剑机制升华留待后续研究。</w:t>
      </w:r>
    </w:p>
    <w:p/>
    <w:p>
      <w:pPr/>
      <w:r>
        <w:t>版本说明（数据重估版，2026-09-06；基于《论文初稿_2026-09-05_文字规范版.docx》只读复制生成，原文件未改动）：本版切换表12为4季度干净样本（剔除2025Q3/2026Q2）、重算表3的2025/2026/全样本行并同步P76/P78/P79/P84/P85正文；表4/表6/表7及全部主回归系数、R²、N冻结；方法局限只加附注、不重估系数。</w:t>
      </w:r>
    </w:p>
    <w:p/>
    <w:p>
      <w:pPr/>
      <w:r>
        <w:t>版本说明（深度优化版，2026-09-07；基于《论文初稿_2026-09-06_数据重估版.docx》只读复制生成，原文件未改动）：本版只做标签与措辞 precision 修复（表5首列改减rf、P20早期稀疏披露、P55-AS总/偏效应与第六道反向披露、P40方程口径澄清、表2锚定改预期负/实证正、T3注自矛盾清理、P31年化/季度统一、Top空格统一、[33]著录规范）；表3/表12干净数字与表4/6/7冻结数字零改动；Yi Xie保留源库拼音（背景缺失），不虚构中文名。</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