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2E155B06">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lang w:eastAsia="zh-CN"/>
        </w:rPr>
        <w:t>投资经理的行为直接影响组合业绩，对自身行为的充分认识有助于改善投资决策、提升业绩。围绕投资经理行为，学界已形成成熟的分析理论</w:t>
      </w:r>
      <w:r>
        <w:rPr>
          <w:rFonts w:hint="eastAsia" w:ascii="Times New Roman" w:hAnsi="Times New Roman" w:eastAsia="宋体"/>
          <w:sz w:val="24"/>
          <w:szCs w:val="24"/>
          <w:lang w:eastAsia="zh-CN"/>
        </w:rPr>
        <w:t>，业界也有应用</w:t>
      </w:r>
      <w:r>
        <w:rPr>
          <w:rFonts w:ascii="Times New Roman" w:hAnsi="Times New Roman" w:eastAsia="宋体"/>
          <w:sz w:val="24"/>
          <w:szCs w:val="24"/>
          <w:lang w:eastAsia="zh-CN"/>
        </w:rPr>
        <w:t>。民生证券从偏好、能力、行为刻画基金经理</w:t>
      </w:r>
      <w:r>
        <w:rPr>
          <w:rFonts w:hint="eastAsia" w:ascii="Times New Roman" w:hAnsi="Times New Roman" w:eastAsia="宋体"/>
          <w:sz w:val="24"/>
          <w:szCs w:val="24"/>
          <w:lang w:eastAsia="zh-CN"/>
        </w:rPr>
        <w:t>，浙商证券也有类似尝试。</w:t>
      </w:r>
      <w:r>
        <w:rPr>
          <w:rFonts w:ascii="Times New Roman" w:hAnsi="Times New Roman" w:eastAsia="宋体"/>
          <w:sz w:val="24"/>
          <w:szCs w:val="24"/>
          <w:lang w:eastAsia="zh-CN"/>
        </w:rPr>
        <w:t>挪威主权基金（NBIM）更进一步，</w:t>
      </w:r>
      <w:r>
        <w:rPr>
          <w:rFonts w:hint="eastAsia" w:ascii="Times New Roman" w:hAnsi="Times New Roman" w:eastAsia="宋体"/>
          <w:sz w:val="24"/>
          <w:szCs w:val="24"/>
          <w:lang w:eastAsia="zh-CN"/>
        </w:rPr>
        <w:t>基于历史交易记录对投资经理进行行为评分，以识别行为偏差并改善决策，</w:t>
      </w:r>
      <w:r>
        <w:rPr>
          <w:rFonts w:ascii="Times New Roman" w:hAnsi="Times New Roman" w:eastAsia="宋体"/>
          <w:sz w:val="24"/>
          <w:szCs w:val="24"/>
          <w:lang w:eastAsia="zh-CN"/>
        </w:rPr>
        <w:t>将行为分析延伸至实时决策干预。</w:t>
      </w:r>
    </w:p>
    <w:p w14:paraId="74E82C88">
      <w:pPr>
        <w:spacing w:after="120" w:line="360" w:lineRule="auto"/>
        <w:ind w:firstLine="480"/>
        <w:rPr>
          <w:rFonts w:ascii="Times New Roman" w:hAnsi="Times New Roman" w:eastAsia="宋体"/>
          <w:sz w:val="24"/>
          <w:szCs w:val="24"/>
          <w:lang w:eastAsia="zh-CN"/>
        </w:rPr>
      </w:pPr>
      <w:r>
        <w:rPr>
          <w:rFonts w:hint="eastAsia" w:ascii="Times New Roman" w:hAnsi="Times New Roman" w:eastAsia="宋体"/>
          <w:sz w:val="24"/>
          <w:szCs w:val="24"/>
          <w:lang w:eastAsia="zh-CN"/>
        </w:rPr>
        <w:t>本文用 400 只中国主动权益基金、</w:t>
      </w:r>
      <w:r>
        <w:rPr>
          <w:rFonts w:hint="eastAsia" w:ascii="Times New Roman" w:hAnsi="Times New Roman" w:eastAsia="宋体"/>
          <w:sz w:val="24"/>
          <w:szCs w:val="24"/>
          <w:highlight w:val="none"/>
          <w:lang w:eastAsia="zh-CN"/>
        </w:rPr>
        <w:t>2006Q3 至 2026Q2 共 80 个季度</w:t>
      </w:r>
      <w:r>
        <w:rPr>
          <w:rFonts w:hint="eastAsia" w:ascii="Times New Roman" w:hAnsi="Times New Roman" w:eastAsia="宋体"/>
          <w:sz w:val="24"/>
          <w:szCs w:val="24"/>
          <w:lang w:eastAsia="zh-CN"/>
        </w:rPr>
        <w:t>的数据，从行为金融学角度，将投资经理的行为量化为 1</w:t>
      </w:r>
      <w:r>
        <w:rPr>
          <w:rFonts w:hint="eastAsia" w:ascii="Times New Roman" w:hAnsi="Times New Roman" w:eastAsia="宋体"/>
          <w:sz w:val="24"/>
          <w:szCs w:val="24"/>
          <w:lang w:val="en-US" w:eastAsia="zh-CN"/>
        </w:rPr>
        <w:t>6</w:t>
      </w:r>
      <w:r>
        <w:rPr>
          <w:rFonts w:hint="eastAsia" w:ascii="Times New Roman" w:hAnsi="Times New Roman" w:eastAsia="宋体"/>
          <w:sz w:val="24"/>
          <w:szCs w:val="24"/>
          <w:lang w:eastAsia="zh-CN"/>
        </w:rPr>
        <w:t>个可计算的"行为指标"，检验哪些行为真的能带来超额收益。提取有效的指标合成能力评分，</w:t>
      </w:r>
      <w:r>
        <w:rPr>
          <w:rFonts w:ascii="Times New Roman" w:hAnsi="Times New Roman" w:eastAsia="宋体"/>
          <w:sz w:val="24"/>
          <w:szCs w:val="24"/>
          <w:lang w:eastAsia="zh-CN"/>
        </w:rPr>
        <w:t>刻画表现最好与最差 5% 投资经理的群体画像，并选取六位投资经理进行案例分析。</w:t>
      </w:r>
    </w:p>
    <w:p w14:paraId="61A5FA7F">
      <w:pPr>
        <w:spacing w:after="120" w:line="360" w:lineRule="auto"/>
        <w:ind w:firstLine="480"/>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t>本研究是对投资经理微观行为进行量化拆解与初步提炼的一项前期探索性工作，旨在为理解中国主动权益基金经理的决策模式与超额收益来源提供初步的实证线索与分析参考。</w:t>
      </w:r>
    </w:p>
    <w:p w14:paraId="63E20A5B">
      <w:pPr>
        <w:keepNext/>
        <w:spacing w:before="220" w:after="100" w:line="324" w:lineRule="auto"/>
      </w:pPr>
      <w:r>
        <w:rPr>
          <w:rFonts w:ascii="Times New Roman" w:hAnsi="Times New Roman" w:eastAsia="黑体"/>
          <w:b/>
          <w:i w:val="0"/>
          <w:sz w:val="28"/>
        </w:rPr>
        <w:t>一、投资经理画像的指标体系</w:t>
      </w:r>
    </w:p>
    <w:p w14:paraId="2AB89F49">
      <w:pPr>
        <w:spacing w:after="120" w:line="360" w:lineRule="auto"/>
        <w:ind w:firstLine="480"/>
        <w:rPr>
          <w:lang w:eastAsia="zh-CN"/>
        </w:rPr>
      </w:pPr>
      <w:r>
        <w:rPr>
          <w:rFonts w:hint="eastAsia" w:ascii="Times New Roman" w:hAnsi="Times New Roman" w:eastAsia="宋体"/>
          <w:sz w:val="24"/>
          <w:lang w:eastAsia="zh-CN"/>
        </w:rPr>
        <w:t>为什么有的基金经理能持续跑赢，有的却靠运气吃饭？行为金融学告诉我们：业绩差距背后，是决策习惯的差距。我们把经理的行为拆成三个层面——风格底色，思维方式、风险应对和市场互动。</w:t>
      </w:r>
    </w:p>
    <w:p w14:paraId="07C38B7D">
      <w:pPr>
        <w:spacing w:after="120" w:line="360" w:lineRule="auto"/>
        <w:ind w:firstLine="480"/>
        <w:rPr>
          <w:rFonts w:ascii="Times New Roman" w:hAnsi="Times New Roman" w:eastAsia="宋体"/>
          <w:sz w:val="24"/>
          <w:lang w:eastAsia="zh-CN"/>
        </w:rPr>
      </w:pPr>
      <w:r>
        <w:rPr>
          <w:rFonts w:hint="eastAsia" w:ascii="Times New Roman" w:hAnsi="Times New Roman" w:eastAsia="宋体"/>
          <w:sz w:val="24"/>
          <w:lang w:eastAsia="zh-CN"/>
        </w:rPr>
        <w:t>第一层"风格底色"，回答"他是谁"</w:t>
      </w:r>
      <w:r>
        <w:rPr>
          <w:rFonts w:ascii="Times New Roman" w:hAnsi="Times New Roman" w:eastAsia="宋体"/>
          <w:sz w:val="24"/>
          <w:lang w:eastAsia="zh-CN"/>
        </w:rPr>
        <w:t>——刻画投资经理稳定的、跨周期不变的底层投资偏好，包括选择偏好（行业集中度 ICI、行业风格漂移 ISDI）与基本面</w:t>
      </w:r>
      <w:r>
        <w:rPr>
          <w:rFonts w:hint="eastAsia" w:ascii="Times New Roman" w:hAnsi="Times New Roman" w:eastAsia="宋体"/>
          <w:sz w:val="24"/>
          <w:lang w:eastAsia="zh-CN"/>
        </w:rPr>
        <w:t>特征</w:t>
      </w:r>
      <w:r>
        <w:rPr>
          <w:rFonts w:ascii="Times New Roman" w:hAnsi="Times New Roman" w:eastAsia="宋体"/>
          <w:sz w:val="24"/>
          <w:lang w:eastAsia="zh-CN"/>
        </w:rPr>
        <w:t>（任职年限、基金年龄、规模）两个维度。其中，选择偏好度量经理是否敢于在少数行业上集中押注、行业配置是否频繁变动；基本面特征不直接刻画偏好，而是界定经理所处的基本面约束——年轻经理面临更大的职业担忧、小基金有更高的灵活性与更低的交易成本冲击，故</w:t>
      </w:r>
      <w:r>
        <w:rPr>
          <w:rFonts w:hint="eastAsia" w:ascii="Times New Roman" w:hAnsi="Times New Roman" w:eastAsia="宋体"/>
          <w:sz w:val="24"/>
          <w:lang w:eastAsia="zh-CN"/>
        </w:rPr>
        <w:t>基本面特征</w:t>
      </w:r>
      <w:r>
        <w:rPr>
          <w:rFonts w:ascii="Times New Roman" w:hAnsi="Times New Roman" w:eastAsia="宋体"/>
          <w:sz w:val="24"/>
          <w:lang w:eastAsia="zh-CN"/>
        </w:rPr>
        <w:t>仅作为控制变量和群体画像的背景参照。</w:t>
      </w:r>
    </w:p>
    <w:p w14:paraId="73CAF753">
      <w:pPr>
        <w:spacing w:after="120" w:line="360" w:lineRule="auto"/>
        <w:ind w:firstLine="480"/>
        <w:rPr>
          <w:lang w:eastAsia="zh-CN"/>
        </w:rPr>
      </w:pPr>
      <w:r>
        <w:rPr>
          <w:rFonts w:hint="eastAsia" w:ascii="Times New Roman" w:hAnsi="Times New Roman" w:eastAsia="宋体"/>
          <w:sz w:val="24"/>
          <w:lang w:eastAsia="zh-CN"/>
        </w:rPr>
        <w:t>第二层"认知偏差"，回答"他怎么思考"。投资经理并非完全理性“经纪人”，投资决策受系统性心理偏差影响。</w:t>
      </w:r>
      <w:r>
        <w:rPr>
          <w:rFonts w:ascii="Times New Roman" w:hAnsi="Times New Roman" w:eastAsia="宋体"/>
          <w:sz w:val="24"/>
          <w:lang w:eastAsia="zh-CN"/>
        </w:rPr>
        <w:t>该层聚焦三个可观测的行为投射</w:t>
      </w:r>
      <w:r>
        <w:rPr>
          <w:rFonts w:hint="eastAsia" w:ascii="Times New Roman" w:hAnsi="Times New Roman" w:eastAsia="宋体"/>
          <w:sz w:val="24"/>
          <w:lang w:eastAsia="zh-CN"/>
        </w:rPr>
        <w:t>：</w:t>
      </w:r>
      <w:r>
        <w:rPr>
          <w:rFonts w:ascii="Times New Roman" w:hAnsi="Times New Roman" w:eastAsia="宋体"/>
          <w:sz w:val="24"/>
          <w:lang w:eastAsia="zh-CN"/>
        </w:rPr>
        <w:t>风险偏好不对称（</w:t>
      </w:r>
      <w:r>
        <w:rPr>
          <w:rFonts w:hint="eastAsia" w:ascii="Times New Roman" w:hAnsi="Times New Roman" w:eastAsia="宋体"/>
          <w:sz w:val="24"/>
          <w:lang w:eastAsia="zh-CN"/>
        </w:rPr>
        <w:t>盈利和亏损时冒险倾向不同</w:t>
      </w:r>
      <w:r>
        <w:rPr>
          <w:rFonts w:ascii="Times New Roman" w:hAnsi="Times New Roman" w:eastAsia="宋体"/>
          <w:sz w:val="24"/>
          <w:lang w:eastAsia="zh-CN"/>
        </w:rPr>
        <w:t>）、处置效应（止盈与止损行为的不对称，</w:t>
      </w:r>
      <w:r>
        <w:rPr>
          <w:rFonts w:hint="eastAsia" w:ascii="Times New Roman" w:hAnsi="Times New Roman" w:eastAsia="宋体"/>
          <w:sz w:val="24"/>
          <w:lang w:eastAsia="zh-CN"/>
        </w:rPr>
        <w:t>赚钱急着卖、亏钱死扛不认错</w:t>
      </w:r>
      <w:r>
        <w:rPr>
          <w:rFonts w:ascii="Times New Roman" w:hAnsi="Times New Roman" w:eastAsia="宋体"/>
          <w:sz w:val="24"/>
          <w:lang w:eastAsia="zh-CN"/>
        </w:rPr>
        <w:t>）、过度自信（业绩向好后的交易放大行为，将好运归因于自身能力的倾向）</w:t>
      </w:r>
      <w:r>
        <w:rPr>
          <w:rFonts w:hint="eastAsia" w:ascii="Times New Roman" w:hAnsi="Times New Roman" w:eastAsia="宋体"/>
          <w:sz w:val="24"/>
          <w:lang w:eastAsia="zh-CN"/>
        </w:rPr>
        <w:t>，以及锚定效应（</w:t>
      </w:r>
      <w:r>
        <w:rPr>
          <w:rFonts w:ascii="Times New Roman" w:hAnsi="Times New Roman" w:eastAsia="宋体"/>
          <w:sz w:val="24"/>
          <w:lang w:eastAsia="zh-CN"/>
        </w:rPr>
        <w:t>持仓锚定买入高点不肯止损认错损害业绩</w:t>
      </w:r>
      <w:r>
        <w:rPr>
          <w:rFonts w:hint="eastAsia" w:ascii="Times New Roman" w:hAnsi="Times New Roman" w:eastAsia="宋体"/>
          <w:sz w:val="24"/>
          <w:lang w:eastAsia="zh-CN"/>
        </w:rPr>
        <w:t>）。</w:t>
      </w:r>
    </w:p>
    <w:p w14:paraId="50E10287">
      <w:pPr>
        <w:spacing w:after="120" w:line="360" w:lineRule="auto"/>
        <w:ind w:firstLine="480"/>
        <w:rPr>
          <w:rFonts w:ascii="Times New Roman" w:hAnsi="Times New Roman" w:eastAsia="宋体"/>
          <w:sz w:val="24"/>
          <w:lang w:eastAsia="zh-CN"/>
        </w:rPr>
      </w:pPr>
      <w:r>
        <w:rPr>
          <w:rFonts w:hint="eastAsia" w:ascii="Times New Roman" w:hAnsi="Times New Roman" w:eastAsia="宋体"/>
          <w:sz w:val="24"/>
          <w:lang w:eastAsia="zh-CN"/>
        </w:rPr>
        <w:t>第三层"风险应对"，回答"他在压力下怎么行动"。</w:t>
      </w:r>
      <w:r>
        <w:rPr>
          <w:rFonts w:ascii="Times New Roman" w:hAnsi="Times New Roman" w:eastAsia="宋体"/>
          <w:sz w:val="24"/>
          <w:lang w:eastAsia="zh-CN"/>
        </w:rPr>
        <w:t>刻画经理在市场压力下的实际应对质量，这是行为最终转化为业绩的关键环节</w:t>
      </w:r>
      <w:r>
        <w:rPr>
          <w:rFonts w:hint="eastAsia" w:ascii="Times New Roman" w:hAnsi="Times New Roman" w:eastAsia="宋体"/>
          <w:sz w:val="24"/>
          <w:lang w:eastAsia="zh-CN"/>
        </w:rPr>
        <w:t>。本文将其分为两个部分：过程应对（报表之外的交易；市场跌的时候他会不会主动收手）和转化效率（同样承担一份风险，他能换回多少收益）。</w:t>
      </w:r>
    </w:p>
    <w:p w14:paraId="2D93D910">
      <w:pPr>
        <w:spacing w:after="120" w:line="360" w:lineRule="auto"/>
        <w:ind w:firstLine="480"/>
      </w:pPr>
      <w:r>
        <w:rPr>
          <w:rFonts w:hint="eastAsia" w:ascii="Times New Roman" w:hAnsi="Times New Roman" w:eastAsia="宋体"/>
          <w:sz w:val="24"/>
          <w:lang w:eastAsia="zh-CN"/>
        </w:rPr>
        <w:t>第四层“市场互动”</w:t>
      </w:r>
      <w:r>
        <w:rPr>
          <w:rFonts w:ascii="Times New Roman" w:hAnsi="Times New Roman" w:eastAsia="宋体"/>
          <w:sz w:val="24"/>
          <w:lang w:eastAsia="zh-CN"/>
        </w:rPr>
        <w:t>，</w:t>
      </w:r>
      <w:r>
        <w:rPr>
          <w:rFonts w:hint="eastAsia" w:ascii="Times New Roman" w:hAnsi="Times New Roman" w:eastAsia="宋体"/>
          <w:sz w:val="24"/>
          <w:lang w:eastAsia="zh-CN"/>
        </w:rPr>
        <w:t>回答“他如何受市场影响”。</w:t>
      </w:r>
      <w:r>
        <w:rPr>
          <w:rFonts w:ascii="Times New Roman" w:hAnsi="Times New Roman" w:eastAsia="宋体"/>
          <w:sz w:val="24"/>
          <w:lang w:eastAsia="zh-CN"/>
        </w:rPr>
        <w:t>刻画经理与市场的互动方式，策略偏离指数度量净值风格漂移</w:t>
      </w:r>
      <w:r>
        <w:rPr>
          <w:rFonts w:hint="eastAsia" w:ascii="Times New Roman" w:hAnsi="Times New Roman" w:eastAsia="宋体"/>
          <w:sz w:val="24"/>
          <w:lang w:eastAsia="zh-CN"/>
        </w:rPr>
        <w:t>，</w:t>
      </w:r>
      <w:r>
        <w:rPr>
          <w:rFonts w:ascii="Times New Roman" w:hAnsi="Times New Roman" w:eastAsia="宋体"/>
          <w:sz w:val="24"/>
          <w:lang w:eastAsia="zh-CN"/>
        </w:rPr>
        <w:t>交易趋同度刻画机构交易趋同与抱团倾向。</w:t>
      </w:r>
      <w:r>
        <w:rPr>
          <w:rFonts w:hint="eastAsia" w:ascii="Times New Roman" w:hAnsi="Times New Roman" w:eastAsia="宋体"/>
          <w:sz w:val="24"/>
          <w:lang w:eastAsia="zh-CN"/>
        </w:rPr>
        <w:t>全部框架见表 1。</w:t>
      </w:r>
    </w:p>
    <w:p w14:paraId="31A1D0BF">
      <w:pPr>
        <w:keepNext/>
        <w:spacing w:before="60" w:after="20" w:line="312" w:lineRule="auto"/>
        <w:jc w:val="center"/>
        <w:rPr>
          <w:rFonts w:hint="eastAsia" w:ascii="Times New Roman" w:hAnsi="Times New Roman" w:eastAsia="黑体"/>
          <w:b/>
          <w:i w:val="0"/>
          <w:sz w:val="21"/>
        </w:rPr>
      </w:pPr>
      <w:r>
        <w:rPr>
          <w:rFonts w:hint="eastAsia" w:ascii="Times New Roman" w:hAnsi="Times New Roman" w:eastAsia="黑体"/>
          <w:b/>
          <w:i w:val="0"/>
          <w:sz w:val="21"/>
        </w:rPr>
        <w:t>表 1  行为框架与指标体系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77"/>
        <w:gridCol w:w="677"/>
        <w:gridCol w:w="2061"/>
        <w:gridCol w:w="1371"/>
        <w:gridCol w:w="2741"/>
        <w:gridCol w:w="1647"/>
      </w:tblGrid>
      <w:tr w14:paraId="7AE7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3" w:hRule="atLeast"/>
          <w:jc w:val="center"/>
        </w:trPr>
        <w:tc>
          <w:tcPr>
            <w:tcW w:w="677" w:type="dxa"/>
            <w:tcBorders>
              <w:top w:val="single" w:color="000000" w:sz="12" w:space="0"/>
              <w:left w:val="nil"/>
              <w:bottom w:val="single" w:color="000000" w:sz="4" w:space="0"/>
              <w:right w:val="nil"/>
              <w:tl2br w:val="nil"/>
            </w:tcBorders>
            <w:shd w:val="clear" w:color="auto" w:fill="auto"/>
            <w:vAlign w:val="center"/>
          </w:tcPr>
          <w:p w14:paraId="3D71D599">
            <w:pPr>
              <w:spacing w:after="40" w:line="276" w:lineRule="auto"/>
              <w:jc w:val="center"/>
              <w:rPr>
                <w:b w:val="0"/>
                <w:color w:val="000000"/>
              </w:rPr>
            </w:pPr>
            <w:r>
              <w:rPr>
                <w:rFonts w:ascii="Times New Roman" w:hAnsi="Times New Roman" w:eastAsia="宋体"/>
                <w:b w:val="0"/>
                <w:color w:val="000000"/>
                <w:sz w:val="18"/>
              </w:rPr>
              <w:t>层级</w:t>
            </w:r>
          </w:p>
        </w:tc>
        <w:tc>
          <w:tcPr>
            <w:tcW w:w="677" w:type="dxa"/>
            <w:tcBorders>
              <w:top w:val="single" w:color="000000" w:sz="12" w:space="0"/>
              <w:left w:val="nil"/>
              <w:bottom w:val="single" w:color="000000" w:sz="4" w:space="0"/>
              <w:right w:val="nil"/>
            </w:tcBorders>
            <w:shd w:val="clear" w:color="auto" w:fill="auto"/>
            <w:vAlign w:val="center"/>
          </w:tcPr>
          <w:p w14:paraId="531C2F3D">
            <w:pPr>
              <w:spacing w:after="40" w:line="276" w:lineRule="auto"/>
              <w:jc w:val="center"/>
              <w:rPr>
                <w:b w:val="0"/>
                <w:color w:val="000000"/>
              </w:rPr>
            </w:pPr>
            <w:r>
              <w:rPr>
                <w:rFonts w:ascii="Times New Roman" w:hAnsi="Times New Roman" w:eastAsia="宋体"/>
                <w:b w:val="0"/>
                <w:color w:val="000000"/>
                <w:sz w:val="18"/>
              </w:rPr>
              <w:t>维度</w:t>
            </w:r>
          </w:p>
        </w:tc>
        <w:tc>
          <w:tcPr>
            <w:tcW w:w="2061" w:type="dxa"/>
            <w:tcBorders>
              <w:top w:val="single" w:color="000000" w:sz="12" w:space="0"/>
              <w:left w:val="nil"/>
              <w:bottom w:val="single" w:color="000000" w:sz="4" w:space="0"/>
              <w:right w:val="nil"/>
            </w:tcBorders>
            <w:shd w:val="clear" w:color="auto" w:fill="auto"/>
            <w:vAlign w:val="center"/>
          </w:tcPr>
          <w:p w14:paraId="7B4D1D22">
            <w:pPr>
              <w:spacing w:after="40" w:line="276" w:lineRule="auto"/>
              <w:jc w:val="center"/>
              <w:rPr>
                <w:b w:val="0"/>
                <w:color w:val="000000"/>
                <w:lang w:eastAsia="zh-CN"/>
              </w:rPr>
            </w:pPr>
            <w:r>
              <w:rPr>
                <w:rFonts w:ascii="Times New Roman" w:hAnsi="Times New Roman" w:eastAsia="宋体"/>
                <w:b w:val="0"/>
                <w:color w:val="000000"/>
                <w:sz w:val="18"/>
                <w:lang w:eastAsia="zh-CN"/>
              </w:rPr>
              <w:t>影响渠道（理论依据）</w:t>
            </w:r>
          </w:p>
        </w:tc>
        <w:tc>
          <w:tcPr>
            <w:tcW w:w="1371" w:type="dxa"/>
            <w:tcBorders>
              <w:top w:val="single" w:color="000000" w:sz="12" w:space="0"/>
              <w:left w:val="nil"/>
              <w:bottom w:val="single" w:color="000000" w:sz="4" w:space="0"/>
              <w:right w:val="nil"/>
            </w:tcBorders>
            <w:shd w:val="clear" w:color="auto" w:fill="auto"/>
            <w:vAlign w:val="center"/>
          </w:tcPr>
          <w:p w14:paraId="5863A9B8">
            <w:pPr>
              <w:spacing w:after="40" w:line="276" w:lineRule="auto"/>
              <w:jc w:val="center"/>
              <w:rPr>
                <w:b w:val="0"/>
                <w:color w:val="000000"/>
              </w:rPr>
            </w:pPr>
            <w:r>
              <w:rPr>
                <w:rFonts w:ascii="Times New Roman" w:hAnsi="Times New Roman" w:eastAsia="宋体"/>
                <w:b w:val="0"/>
                <w:color w:val="000000"/>
                <w:sz w:val="18"/>
              </w:rPr>
              <w:t>指标</w:t>
            </w:r>
          </w:p>
        </w:tc>
        <w:tc>
          <w:tcPr>
            <w:tcW w:w="2741" w:type="dxa"/>
            <w:tcBorders>
              <w:top w:val="single" w:color="000000" w:sz="12" w:space="0"/>
              <w:left w:val="nil"/>
              <w:bottom w:val="single" w:color="000000" w:sz="4" w:space="0"/>
              <w:right w:val="nil"/>
            </w:tcBorders>
            <w:shd w:val="clear" w:color="auto" w:fill="auto"/>
            <w:vAlign w:val="center"/>
          </w:tcPr>
          <w:p w14:paraId="0D415174">
            <w:pPr>
              <w:spacing w:after="40" w:line="276" w:lineRule="auto"/>
              <w:jc w:val="center"/>
              <w:rPr>
                <w:b w:val="0"/>
                <w:color w:val="000000"/>
              </w:rPr>
            </w:pPr>
            <w:r>
              <w:rPr>
                <w:rFonts w:ascii="Times New Roman" w:hAnsi="Times New Roman" w:eastAsia="宋体"/>
                <w:b w:val="0"/>
                <w:color w:val="000000"/>
                <w:sz w:val="18"/>
              </w:rPr>
              <w:t>计算（公式）</w:t>
            </w:r>
          </w:p>
        </w:tc>
        <w:tc>
          <w:tcPr>
            <w:tcW w:w="1647" w:type="dxa"/>
            <w:tcBorders>
              <w:top w:val="single" w:color="000000" w:sz="12" w:space="0"/>
              <w:left w:val="nil"/>
              <w:bottom w:val="single" w:color="000000" w:sz="4" w:space="0"/>
              <w:right w:val="nil"/>
            </w:tcBorders>
            <w:shd w:val="clear" w:color="auto" w:fill="auto"/>
            <w:vAlign w:val="center"/>
          </w:tcPr>
          <w:p w14:paraId="1DDE797B">
            <w:pPr>
              <w:spacing w:after="40" w:line="276" w:lineRule="auto"/>
              <w:jc w:val="center"/>
              <w:rPr>
                <w:b w:val="0"/>
                <w:color w:val="000000"/>
              </w:rPr>
            </w:pPr>
            <w:r>
              <w:rPr>
                <w:rFonts w:ascii="Times New Roman" w:hAnsi="Times New Roman" w:eastAsia="宋体"/>
                <w:b w:val="0"/>
                <w:color w:val="000000"/>
                <w:sz w:val="18"/>
              </w:rPr>
              <w:t>说明</w:t>
            </w:r>
          </w:p>
        </w:tc>
      </w:tr>
      <w:tr w14:paraId="3E34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8" w:hRule="atLeast"/>
          <w:jc w:val="center"/>
        </w:trPr>
        <w:tc>
          <w:tcPr>
            <w:tcW w:w="677" w:type="dxa"/>
            <w:tcBorders>
              <w:top w:val="single" w:color="000000" w:sz="4" w:space="0"/>
              <w:left w:val="nil"/>
              <w:bottom w:val="nil"/>
              <w:right w:val="nil"/>
            </w:tcBorders>
            <w:shd w:val="clear" w:color="auto" w:fill="auto"/>
            <w:vAlign w:val="center"/>
          </w:tcPr>
          <w:p w14:paraId="6DF0A957">
            <w:pPr>
              <w:spacing w:after="40" w:line="276" w:lineRule="auto"/>
              <w:jc w:val="center"/>
              <w:rPr>
                <w:b w:val="0"/>
                <w:color w:val="000000"/>
              </w:rPr>
            </w:pPr>
            <w:r>
              <w:rPr>
                <w:rFonts w:ascii="Times New Roman" w:hAnsi="Times New Roman" w:eastAsia="宋体"/>
                <w:b w:val="0"/>
                <w:color w:val="000000"/>
                <w:sz w:val="18"/>
              </w:rPr>
              <w:t>第一层</w:t>
            </w:r>
          </w:p>
          <w:p w14:paraId="569B984F">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风格底色</w:t>
            </w:r>
          </w:p>
        </w:tc>
        <w:tc>
          <w:tcPr>
            <w:tcW w:w="677" w:type="dxa"/>
            <w:tcBorders>
              <w:top w:val="single" w:color="000000" w:sz="4" w:space="0"/>
              <w:left w:val="nil"/>
              <w:bottom w:val="nil"/>
              <w:right w:val="nil"/>
            </w:tcBorders>
            <w:shd w:val="clear" w:color="auto" w:fill="auto"/>
            <w:vAlign w:val="center"/>
          </w:tcPr>
          <w:p w14:paraId="2A2EE132">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基本面特征</w:t>
            </w:r>
          </w:p>
        </w:tc>
        <w:tc>
          <w:tcPr>
            <w:tcW w:w="2061" w:type="dxa"/>
            <w:tcBorders>
              <w:top w:val="single" w:color="000000" w:sz="4" w:space="0"/>
              <w:left w:val="nil"/>
              <w:bottom w:val="nil"/>
              <w:right w:val="nil"/>
            </w:tcBorders>
            <w:shd w:val="clear" w:color="auto" w:fill="auto"/>
            <w:vAlign w:val="center"/>
          </w:tcPr>
          <w:p w14:paraId="6382147A">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新任经理的职业担忧影响风险承担（Chevalier &amp; Ellison, 1999）；规模扩张稀释超额收益（Berk &amp; Green, 2004）</w:t>
            </w:r>
          </w:p>
        </w:tc>
        <w:tc>
          <w:tcPr>
            <w:tcW w:w="1371" w:type="dxa"/>
            <w:tcBorders>
              <w:top w:val="single" w:color="000000" w:sz="4" w:space="0"/>
              <w:left w:val="nil"/>
              <w:bottom w:val="nil"/>
              <w:right w:val="nil"/>
            </w:tcBorders>
            <w:shd w:val="clear" w:color="auto" w:fill="auto"/>
            <w:vAlign w:val="center"/>
          </w:tcPr>
          <w:p w14:paraId="105879F2">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任职年限</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基金年龄</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基金规模</w:t>
            </w:r>
            <w:r>
              <w:rPr>
                <w:rFonts w:hint="eastAsia" w:ascii="Times New Roman" w:hAnsi="Times New Roman" w:eastAsia="宋体"/>
                <w:b w:val="0"/>
                <w:color w:val="000000"/>
                <w:sz w:val="18"/>
                <w:lang w:eastAsia="zh-CN"/>
              </w:rPr>
              <w:t>、性别、CFA资格、学历、院校层次</w:t>
            </w:r>
          </w:p>
        </w:tc>
        <w:tc>
          <w:tcPr>
            <w:tcW w:w="2741" w:type="dxa"/>
            <w:tcBorders>
              <w:top w:val="single" w:color="000000" w:sz="4" w:space="0"/>
              <w:left w:val="nil"/>
              <w:bottom w:val="nil"/>
              <w:right w:val="nil"/>
            </w:tcBorders>
            <w:shd w:val="clear" w:color="auto" w:fill="auto"/>
            <w:vAlign w:val="center"/>
          </w:tcPr>
          <w:p w14:paraId="0DC0A450">
            <w:pPr>
              <w:spacing w:after="40" w:line="276" w:lineRule="auto"/>
              <w:jc w:val="center"/>
              <w:rPr>
                <w:b w:val="0"/>
                <w:color w:val="000000"/>
              </w:rPr>
            </w:pPr>
            <w:r>
              <w:rPr>
                <w:rFonts w:ascii="Times New Roman" w:hAnsi="Times New Roman" w:eastAsia="宋体"/>
                <w:b w:val="0"/>
                <w:color w:val="000000"/>
                <w:sz w:val="18"/>
              </w:rPr>
              <w:t>tenure = 观测日−首次任职日</w:t>
            </w:r>
          </w:p>
          <w:p w14:paraId="326C4D62">
            <w:pPr>
              <w:spacing w:after="40" w:line="276" w:lineRule="auto"/>
              <w:jc w:val="center"/>
              <w:rPr>
                <w:b w:val="0"/>
                <w:color w:val="000000"/>
              </w:rPr>
            </w:pPr>
            <w:r>
              <w:rPr>
                <w:rFonts w:ascii="Times New Roman" w:hAnsi="Times New Roman" w:eastAsia="宋体"/>
                <w:b w:val="0"/>
                <w:color w:val="000000"/>
                <w:sz w:val="18"/>
              </w:rPr>
              <w:t>log_age = ln(存续月数)</w:t>
            </w:r>
          </w:p>
          <w:p w14:paraId="7FE1648A">
            <w:pPr>
              <w:spacing w:after="40" w:line="276" w:lineRule="auto"/>
              <w:jc w:val="center"/>
              <w:rPr>
                <w:b w:val="0"/>
                <w:color w:val="000000"/>
              </w:rPr>
            </w:pPr>
            <w:r>
              <w:rPr>
                <w:rFonts w:ascii="Times New Roman" w:hAnsi="Times New Roman" w:eastAsia="宋体"/>
                <w:b w:val="0"/>
                <w:color w:val="000000"/>
                <w:sz w:val="18"/>
              </w:rPr>
              <w:t>log_aum = ln(平均规模)</w:t>
            </w:r>
          </w:p>
          <w:p w14:paraId="2D4AE26D">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等等</w:t>
            </w:r>
          </w:p>
        </w:tc>
        <w:tc>
          <w:tcPr>
            <w:tcW w:w="1647" w:type="dxa"/>
            <w:tcBorders>
              <w:top w:val="single" w:color="000000" w:sz="4" w:space="0"/>
              <w:left w:val="nil"/>
              <w:bottom w:val="nil"/>
              <w:right w:val="nil"/>
            </w:tcBorders>
            <w:shd w:val="clear" w:color="auto" w:fill="auto"/>
            <w:vAlign w:val="center"/>
          </w:tcPr>
          <w:p w14:paraId="2CDD3B34">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任职越久、基金越老、规模越大，理论上业绩越趋于平庸</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名校背景所含信息网络与筛选效应</w:t>
            </w:r>
          </w:p>
        </w:tc>
      </w:tr>
      <w:tr w14:paraId="62BB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jc w:val="center"/>
        </w:trPr>
        <w:tc>
          <w:tcPr>
            <w:tcW w:w="677" w:type="dxa"/>
            <w:tcBorders>
              <w:top w:val="nil"/>
              <w:left w:val="nil"/>
              <w:bottom w:val="nil"/>
              <w:right w:val="nil"/>
            </w:tcBorders>
            <w:shd w:val="clear" w:color="auto" w:fill="auto"/>
            <w:vAlign w:val="center"/>
          </w:tcPr>
          <w:p w14:paraId="0FBD6698">
            <w:pPr>
              <w:spacing w:after="40" w:line="276" w:lineRule="auto"/>
              <w:jc w:val="center"/>
              <w:rPr>
                <w:b w:val="0"/>
                <w:color w:val="000000"/>
              </w:rPr>
            </w:pPr>
            <w:r>
              <w:rPr>
                <w:rFonts w:ascii="Times New Roman" w:hAnsi="Times New Roman" w:eastAsia="宋体"/>
                <w:b w:val="0"/>
                <w:color w:val="000000"/>
                <w:sz w:val="18"/>
              </w:rPr>
              <w:t>第一层</w:t>
            </w:r>
          </w:p>
          <w:p w14:paraId="70158B3D">
            <w:pPr>
              <w:spacing w:after="40" w:line="276" w:lineRule="auto"/>
              <w:jc w:val="center"/>
              <w:rPr>
                <w:b w:val="0"/>
                <w:color w:val="000000"/>
              </w:rPr>
            </w:pPr>
            <w:r>
              <w:rPr>
                <w:rFonts w:ascii="Times New Roman" w:hAnsi="Times New Roman" w:eastAsia="宋体"/>
                <w:b w:val="0"/>
                <w:color w:val="000000"/>
                <w:sz w:val="18"/>
              </w:rPr>
              <w:t>风格底色</w:t>
            </w:r>
          </w:p>
        </w:tc>
        <w:tc>
          <w:tcPr>
            <w:tcW w:w="677" w:type="dxa"/>
            <w:tcBorders>
              <w:top w:val="nil"/>
              <w:left w:val="nil"/>
              <w:bottom w:val="nil"/>
              <w:right w:val="nil"/>
            </w:tcBorders>
            <w:shd w:val="clear" w:color="auto" w:fill="auto"/>
            <w:vAlign w:val="center"/>
          </w:tcPr>
          <w:p w14:paraId="058BA1F1">
            <w:pPr>
              <w:spacing w:after="40" w:line="276" w:lineRule="auto"/>
              <w:jc w:val="center"/>
              <w:rPr>
                <w:b w:val="0"/>
                <w:color w:val="000000"/>
              </w:rPr>
            </w:pPr>
            <w:r>
              <w:rPr>
                <w:rFonts w:ascii="Times New Roman" w:hAnsi="Times New Roman" w:eastAsia="宋体"/>
                <w:b w:val="0"/>
                <w:color w:val="000000"/>
                <w:sz w:val="18"/>
              </w:rPr>
              <w:t>选择偏好</w:t>
            </w:r>
          </w:p>
        </w:tc>
        <w:tc>
          <w:tcPr>
            <w:tcW w:w="2061" w:type="dxa"/>
            <w:tcBorders>
              <w:top w:val="nil"/>
              <w:left w:val="nil"/>
              <w:bottom w:val="nil"/>
              <w:right w:val="nil"/>
            </w:tcBorders>
            <w:shd w:val="clear" w:color="auto" w:fill="auto"/>
            <w:vAlign w:val="center"/>
          </w:tcPr>
          <w:p w14:paraId="58D05AEA">
            <w:pPr>
              <w:spacing w:after="40" w:line="276" w:lineRule="auto"/>
              <w:jc w:val="center"/>
              <w:rPr>
                <w:b w:val="0"/>
                <w:color w:val="000000"/>
              </w:rPr>
            </w:pPr>
            <w:r>
              <w:rPr>
                <w:rFonts w:ascii="Times New Roman" w:hAnsi="Times New Roman" w:eastAsia="宋体"/>
                <w:b w:val="0"/>
                <w:color w:val="000000"/>
                <w:sz w:val="18"/>
              </w:rPr>
              <w:t>行业集中押注体现私有信息与选股能力（Kacperczyk et al., 2005）；风格频繁切换损害业绩（Chen &amp; Wei, 2025）</w:t>
            </w:r>
          </w:p>
        </w:tc>
        <w:tc>
          <w:tcPr>
            <w:tcW w:w="1371" w:type="dxa"/>
            <w:tcBorders>
              <w:top w:val="nil"/>
              <w:left w:val="nil"/>
              <w:bottom w:val="nil"/>
              <w:right w:val="nil"/>
            </w:tcBorders>
            <w:shd w:val="clear" w:color="auto" w:fill="auto"/>
            <w:vAlign w:val="center"/>
          </w:tcPr>
          <w:p w14:paraId="4C852090">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行业集中ICI</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行业风格漂移ISDI</w:t>
            </w:r>
            <w:r>
              <w:rPr>
                <w:rFonts w:hint="eastAsia" w:ascii="Times New Roman" w:hAnsi="Times New Roman" w:eastAsia="宋体"/>
                <w:b w:val="0"/>
                <w:color w:val="000000"/>
                <w:sz w:val="18"/>
                <w:lang w:eastAsia="zh-CN"/>
              </w:rPr>
              <w:t>、改进主动份额</w:t>
            </w:r>
            <w:r>
              <w:rPr>
                <w:rFonts w:ascii="Times New Roman" w:hAnsi="Times New Roman" w:eastAsia="宋体"/>
                <w:b w:val="0"/>
                <w:color w:val="000000"/>
                <w:sz w:val="18"/>
                <w:lang w:eastAsia="zh-CN"/>
              </w:rPr>
              <w:t>AS</w:t>
            </w:r>
          </w:p>
        </w:tc>
        <w:tc>
          <w:tcPr>
            <w:tcW w:w="2741" w:type="dxa"/>
            <w:tcBorders>
              <w:top w:val="nil"/>
              <w:left w:val="nil"/>
              <w:bottom w:val="nil"/>
              <w:right w:val="nil"/>
            </w:tcBorders>
            <w:shd w:val="clear" w:color="auto" w:fill="auto"/>
            <w:vAlign w:val="center"/>
          </w:tcPr>
          <w:p w14:paraId="03F84966">
            <w:pPr>
              <w:spacing w:after="40" w:line="276" w:lineRule="auto"/>
              <w:jc w:val="center"/>
              <w:rPr>
                <w:b w:val="0"/>
                <w:color w:val="000000"/>
                <w:lang w:eastAsia="zh-CN"/>
              </w:rPr>
            </w:pPr>
            <w:r>
              <w:rPr>
                <w:rFonts w:hint="eastAsia" w:ascii="Times New Roman" w:hAnsi="Times New Roman" w:eastAsia="宋体"/>
                <w:b w:val="0"/>
                <w:color w:val="000000"/>
                <w:sz w:val="18"/>
                <w:lang w:eastAsia="zh-CN"/>
              </w:rPr>
              <w:t>ICI:</w:t>
            </w:r>
            <w:r>
              <w:rPr>
                <w:rFonts w:ascii="Times New Roman" w:hAnsi="Times New Roman" w:eastAsia="宋体"/>
                <w:b w:val="0"/>
                <w:color w:val="000000"/>
                <w:sz w:val="18"/>
                <w:lang w:eastAsia="zh-CN"/>
              </w:rPr>
              <w:t>行业权重偏离市场均值</w:t>
            </w:r>
            <w:r>
              <w:rPr>
                <w:rFonts w:hint="eastAsia" w:ascii="Times New Roman" w:hAnsi="Times New Roman" w:eastAsia="宋体"/>
                <w:b w:val="0"/>
                <w:color w:val="000000"/>
                <w:sz w:val="18"/>
                <w:lang w:eastAsia="zh-CN"/>
              </w:rPr>
              <w:t>的</w:t>
            </w:r>
            <w:r>
              <w:rPr>
                <w:rFonts w:ascii="Times New Roman" w:hAnsi="Times New Roman" w:eastAsia="宋体"/>
                <w:b w:val="0"/>
                <w:color w:val="000000"/>
                <w:sz w:val="18"/>
                <w:lang w:eastAsia="zh-CN"/>
              </w:rPr>
              <w:t>平方和</w:t>
            </w:r>
            <w:r>
              <w:rPr>
                <w:rFonts w:hint="eastAsia" w:ascii="Times New Roman" w:hAnsi="Times New Roman" w:eastAsia="宋体"/>
                <w:b w:val="0"/>
                <w:color w:val="000000"/>
                <w:sz w:val="18"/>
                <w:lang w:eastAsia="zh-CN"/>
              </w:rPr>
              <w:t>。</w:t>
            </w:r>
          </w:p>
          <w:p w14:paraId="352DCC62">
            <w:pPr>
              <w:spacing w:after="40" w:line="276"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ISDI:</w:t>
            </w:r>
            <w:r>
              <w:rPr>
                <w:rFonts w:ascii="Times New Roman" w:hAnsi="Times New Roman" w:eastAsia="宋体"/>
                <w:b w:val="0"/>
                <w:color w:val="000000"/>
                <w:sz w:val="18"/>
                <w:lang w:eastAsia="zh-CN"/>
              </w:rPr>
              <w:t>行业分高/中/低弹性三组，相邻季权重变动和；越大风格横跳越频繁</w:t>
            </w:r>
            <w:r>
              <w:rPr>
                <w:rFonts w:hint="eastAsia" w:ascii="Times New Roman" w:hAnsi="Times New Roman" w:eastAsia="宋体"/>
                <w:b w:val="0"/>
                <w:color w:val="000000"/>
                <w:sz w:val="18"/>
                <w:lang w:eastAsia="zh-CN"/>
              </w:rPr>
              <w:t>。</w:t>
            </w:r>
          </w:p>
          <w:p w14:paraId="6724717E">
            <w:pPr>
              <w:spacing w:after="40" w:line="240" w:lineRule="auto"/>
              <w:jc w:val="center"/>
              <w:rPr>
                <w:rFonts w:hint="eastAsia"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AS: 持仓股票与基准权重偏离绝对值和。</w:t>
            </w:r>
          </w:p>
        </w:tc>
        <w:tc>
          <w:tcPr>
            <w:tcW w:w="1647" w:type="dxa"/>
            <w:tcBorders>
              <w:top w:val="nil"/>
              <w:left w:val="nil"/>
              <w:bottom w:val="nil"/>
              <w:right w:val="nil"/>
            </w:tcBorders>
            <w:shd w:val="clear" w:color="auto" w:fill="auto"/>
            <w:vAlign w:val="center"/>
          </w:tcPr>
          <w:p w14:paraId="7C22EBC0">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ICI越高→越敢于集中押注；ISDI越高→风格越不稳定</w:t>
            </w:r>
            <w:r>
              <w:rPr>
                <w:rFonts w:hint="eastAsia" w:ascii="Times New Roman" w:hAnsi="Times New Roman" w:eastAsia="宋体"/>
                <w:b w:val="0"/>
                <w:color w:val="000000"/>
                <w:sz w:val="18"/>
                <w:lang w:eastAsia="zh-CN"/>
              </w:rPr>
              <w:t>;AS</w:t>
            </w:r>
            <w:r>
              <w:rPr>
                <w:rFonts w:ascii="Times New Roman" w:hAnsi="Times New Roman" w:eastAsia="宋体"/>
                <w:b w:val="0"/>
                <w:color w:val="000000"/>
                <w:sz w:val="18"/>
                <w:lang w:eastAsia="zh-CN"/>
              </w:rPr>
              <w:t>越高→</w:t>
            </w:r>
            <w:r>
              <w:rPr>
                <w:rFonts w:hint="eastAsia" w:ascii="Times New Roman" w:hAnsi="Times New Roman" w:eastAsia="宋体"/>
                <w:b w:val="0"/>
                <w:color w:val="000000"/>
                <w:sz w:val="18"/>
                <w:lang w:eastAsia="zh-CN"/>
              </w:rPr>
              <w:t>越倾向选择某一些股票</w:t>
            </w:r>
          </w:p>
        </w:tc>
      </w:tr>
      <w:tr w14:paraId="4738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jc w:val="center"/>
        </w:trPr>
        <w:tc>
          <w:tcPr>
            <w:tcW w:w="677" w:type="dxa"/>
            <w:tcBorders>
              <w:top w:val="nil"/>
              <w:left w:val="nil"/>
              <w:bottom w:val="nil"/>
              <w:right w:val="nil"/>
            </w:tcBorders>
            <w:shd w:val="clear" w:color="auto" w:fill="auto"/>
            <w:vAlign w:val="center"/>
          </w:tcPr>
          <w:p w14:paraId="4C90A2AC">
            <w:pPr>
              <w:spacing w:after="40" w:line="276" w:lineRule="auto"/>
              <w:jc w:val="center"/>
              <w:rPr>
                <w:b w:val="0"/>
                <w:color w:val="000000"/>
              </w:rPr>
            </w:pPr>
            <w:r>
              <w:rPr>
                <w:rFonts w:ascii="Times New Roman" w:hAnsi="Times New Roman" w:eastAsia="宋体"/>
                <w:b w:val="0"/>
                <w:color w:val="000000"/>
                <w:sz w:val="18"/>
              </w:rPr>
              <w:t>第二层</w:t>
            </w:r>
          </w:p>
          <w:p w14:paraId="63BD8AE1">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985D73D">
            <w:pPr>
              <w:spacing w:after="40" w:line="276" w:lineRule="auto"/>
              <w:jc w:val="center"/>
              <w:rPr>
                <w:b w:val="0"/>
                <w:color w:val="000000"/>
              </w:rPr>
            </w:pPr>
            <w:r>
              <w:rPr>
                <w:rFonts w:ascii="Times New Roman" w:hAnsi="Times New Roman" w:eastAsia="宋体"/>
                <w:b w:val="0"/>
                <w:color w:val="000000"/>
                <w:sz w:val="18"/>
              </w:rPr>
              <w:t>参考点与风险态度</w:t>
            </w:r>
          </w:p>
        </w:tc>
        <w:tc>
          <w:tcPr>
            <w:tcW w:w="2061" w:type="dxa"/>
            <w:tcBorders>
              <w:top w:val="nil"/>
              <w:left w:val="nil"/>
              <w:bottom w:val="nil"/>
              <w:right w:val="nil"/>
            </w:tcBorders>
            <w:shd w:val="clear" w:color="auto" w:fill="auto"/>
            <w:vAlign w:val="center"/>
          </w:tcPr>
          <w:p w14:paraId="1E9F48E1">
            <w:pPr>
              <w:spacing w:after="40" w:line="276" w:lineRule="auto"/>
              <w:jc w:val="center"/>
              <w:rPr>
                <w:b w:val="0"/>
                <w:color w:val="000000"/>
                <w:lang w:eastAsia="zh-CN"/>
              </w:rPr>
            </w:pPr>
            <w:r>
              <w:rPr>
                <w:rFonts w:ascii="Times New Roman" w:hAnsi="Times New Roman" w:eastAsia="宋体"/>
                <w:b w:val="0"/>
                <w:color w:val="000000"/>
                <w:sz w:val="18"/>
                <w:lang w:eastAsia="zh-CN"/>
              </w:rPr>
              <w:t>风险态度随盈亏状态改变（Kahneman &amp; Tversky, 1979）；过早止盈、拒绝止损的处置倾向（Shefrin &amp; Statman, 1985）</w:t>
            </w: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以历史最高价为参考点</w:t>
            </w:r>
          </w:p>
        </w:tc>
        <w:tc>
          <w:tcPr>
            <w:tcW w:w="1371" w:type="dxa"/>
            <w:tcBorders>
              <w:top w:val="nil"/>
              <w:left w:val="nil"/>
              <w:bottom w:val="nil"/>
              <w:right w:val="nil"/>
            </w:tcBorders>
            <w:shd w:val="clear" w:color="auto" w:fill="auto"/>
            <w:vAlign w:val="center"/>
          </w:tcPr>
          <w:p w14:paraId="3EFC3DC0">
            <w:pPr>
              <w:spacing w:after="40" w:line="276" w:lineRule="auto"/>
              <w:jc w:val="center"/>
              <w:rPr>
                <w:b w:val="0"/>
                <w:color w:val="000000"/>
                <w:lang w:eastAsia="zh-CN"/>
              </w:rPr>
            </w:pPr>
            <w:r>
              <w:rPr>
                <w:rFonts w:ascii="Times New Roman" w:hAnsi="Times New Roman" w:eastAsia="宋体"/>
                <w:b w:val="0"/>
                <w:color w:val="000000"/>
                <w:sz w:val="18"/>
                <w:lang w:eastAsia="zh-CN"/>
              </w:rPr>
              <w:t>风险偏好不对称risk_asym</w:t>
            </w:r>
            <w:r>
              <w:rPr>
                <w:rFonts w:hint="eastAsia" w:ascii="Times New Roman" w:hAnsi="Times New Roman" w:eastAsia="宋体"/>
                <w:b w:val="0"/>
                <w:color w:val="000000"/>
                <w:sz w:val="18"/>
                <w:lang w:eastAsia="zh-CN"/>
              </w:rPr>
              <w:t>、</w:t>
            </w:r>
          </w:p>
          <w:p w14:paraId="74A4432F">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处置效应De</w:t>
            </w:r>
            <w:r>
              <w:rPr>
                <w:rFonts w:hint="eastAsia" w:ascii="Times New Roman" w:hAnsi="Times New Roman" w:eastAsia="宋体"/>
                <w:b w:val="0"/>
                <w:color w:val="000000"/>
                <w:sz w:val="18"/>
                <w:lang w:eastAsia="zh-CN"/>
              </w:rPr>
              <w:t>、锚定效应</w:t>
            </w:r>
          </w:p>
          <w:p w14:paraId="5558ECE4">
            <w:pPr>
              <w:spacing w:after="40" w:line="276" w:lineRule="auto"/>
              <w:jc w:val="center"/>
              <w:rPr>
                <w:b w:val="0"/>
                <w:color w:val="000000"/>
                <w:lang w:eastAsia="zh-CN"/>
              </w:rPr>
            </w:pPr>
            <w:r>
              <w:rPr>
                <w:rFonts w:ascii="Times New Roman" w:hAnsi="Times New Roman" w:eastAsia="宋体"/>
                <w:b w:val="0"/>
                <w:color w:val="000000"/>
                <w:sz w:val="18"/>
                <w:lang w:eastAsia="zh-CN"/>
              </w:rPr>
              <w:t>anchor_high</w:t>
            </w:r>
          </w:p>
        </w:tc>
        <w:tc>
          <w:tcPr>
            <w:tcW w:w="2741" w:type="dxa"/>
            <w:tcBorders>
              <w:top w:val="nil"/>
              <w:left w:val="nil"/>
              <w:bottom w:val="nil"/>
              <w:right w:val="nil"/>
            </w:tcBorders>
            <w:shd w:val="clear" w:color="auto" w:fill="auto"/>
            <w:vAlign w:val="center"/>
          </w:tcPr>
          <w:p w14:paraId="04327016">
            <w:pPr>
              <w:spacing w:after="40" w:line="276" w:lineRule="auto"/>
              <w:jc w:val="center"/>
              <w:rPr>
                <w:b w:val="0"/>
                <w:color w:val="000000"/>
                <w:lang w:eastAsia="zh-CN"/>
              </w:rPr>
            </w:pPr>
            <w:r>
              <w:rPr>
                <w:rFonts w:ascii="Times New Roman" w:hAnsi="Times New Roman" w:eastAsia="宋体"/>
                <w:b w:val="0"/>
                <w:color w:val="000000"/>
                <w:sz w:val="18"/>
                <w:lang w:eastAsia="zh-CN"/>
              </w:rPr>
              <w:t xml:space="preserve">risk_asym = </w:t>
            </w:r>
            <w:r>
              <w:rPr>
                <w:rFonts w:ascii="Times New Roman" w:hAnsi="Times New Roman" w:eastAsia="宋体"/>
                <w:b w:val="0"/>
                <w:color w:val="000000"/>
                <w:sz w:val="18"/>
              </w:rPr>
              <w:t>σ</w:t>
            </w:r>
            <w:r>
              <w:rPr>
                <w:rFonts w:ascii="Times New Roman" w:hAnsi="Times New Roman" w:eastAsia="宋体"/>
                <w:b w:val="0"/>
                <w:color w:val="000000"/>
                <w:sz w:val="18"/>
                <w:lang w:eastAsia="zh-CN"/>
              </w:rPr>
              <w:t>(盈利期收益)−</w:t>
            </w:r>
            <w:r>
              <w:rPr>
                <w:rFonts w:ascii="Times New Roman" w:hAnsi="Times New Roman" w:eastAsia="宋体"/>
                <w:b w:val="0"/>
                <w:color w:val="000000"/>
                <w:sz w:val="18"/>
              </w:rPr>
              <w:t>σ</w:t>
            </w:r>
            <w:r>
              <w:rPr>
                <w:rFonts w:ascii="Times New Roman" w:hAnsi="Times New Roman" w:eastAsia="宋体"/>
                <w:b w:val="0"/>
                <w:color w:val="000000"/>
                <w:sz w:val="18"/>
                <w:lang w:eastAsia="zh-CN"/>
              </w:rPr>
              <w:t>(亏损期收益)（滚动8季）</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过去 8 季盈利季与亏损季波动率之差；正值代表赚时敢攻、亏时严守。</w:t>
            </w:r>
          </w:p>
          <w:p w14:paraId="14CC355B">
            <w:pPr>
              <w:spacing w:after="40" w:line="276"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de =已卖盈利股占比 − 已卖亏损股占比</w:t>
            </w:r>
            <w:r>
              <w:rPr>
                <w:rFonts w:hint="eastAsia" w:ascii="Times New Roman" w:hAnsi="Times New Roman" w:eastAsia="宋体"/>
                <w:b w:val="0"/>
                <w:color w:val="000000"/>
                <w:sz w:val="18"/>
                <w:lang w:eastAsia="zh-CN"/>
              </w:rPr>
              <w:t>。</w:t>
            </w:r>
          </w:p>
          <w:p w14:paraId="1E02B910">
            <w:pPr>
              <w:spacing w:after="40" w:line="276" w:lineRule="auto"/>
              <w:jc w:val="center"/>
              <w:rPr>
                <w:b w:val="0"/>
                <w:color w:val="000000"/>
                <w:lang w:eastAsia="zh-CN"/>
              </w:rPr>
            </w:pP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持仓各股当前价除以 3 年最高价加权；越接近 1 越锚定高点不肯割肉。</w:t>
            </w:r>
          </w:p>
        </w:tc>
        <w:tc>
          <w:tcPr>
            <w:tcW w:w="1647" w:type="dxa"/>
            <w:tcBorders>
              <w:top w:val="nil"/>
              <w:left w:val="nil"/>
              <w:bottom w:val="nil"/>
              <w:right w:val="nil"/>
            </w:tcBorders>
            <w:shd w:val="clear" w:color="auto" w:fill="auto"/>
            <w:vAlign w:val="center"/>
          </w:tcPr>
          <w:p w14:paraId="69824FB6">
            <w:pPr>
              <w:spacing w:after="40" w:line="276" w:lineRule="auto"/>
              <w:jc w:val="center"/>
              <w:rPr>
                <w:b w:val="0"/>
                <w:color w:val="000000"/>
                <w:lang w:eastAsia="zh-CN"/>
              </w:rPr>
            </w:pPr>
            <w:r>
              <w:rPr>
                <w:rFonts w:ascii="Times New Roman" w:hAnsi="Times New Roman" w:eastAsia="宋体"/>
                <w:b w:val="0"/>
                <w:color w:val="000000"/>
                <w:sz w:val="18"/>
                <w:lang w:eastAsia="zh-CN"/>
              </w:rPr>
              <w:t>risk_asym&gt;0表示盈时进攻、亏时防守（正贡献）；de&gt;0表示存在处置效应（损害业绩）</w:t>
            </w:r>
          </w:p>
        </w:tc>
      </w:tr>
      <w:tr w14:paraId="6688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B6082E5">
            <w:pPr>
              <w:spacing w:after="40" w:line="276" w:lineRule="auto"/>
              <w:jc w:val="center"/>
              <w:rPr>
                <w:b w:val="0"/>
                <w:color w:val="000000"/>
              </w:rPr>
            </w:pPr>
            <w:r>
              <w:rPr>
                <w:rFonts w:ascii="Times New Roman" w:hAnsi="Times New Roman" w:eastAsia="宋体"/>
                <w:b w:val="0"/>
                <w:color w:val="000000"/>
                <w:sz w:val="18"/>
              </w:rPr>
              <w:t>第二层</w:t>
            </w:r>
          </w:p>
          <w:p w14:paraId="708A86E5">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0D65FB33">
            <w:pPr>
              <w:spacing w:after="40" w:line="276" w:lineRule="auto"/>
              <w:jc w:val="center"/>
              <w:rPr>
                <w:b w:val="0"/>
                <w:color w:val="000000"/>
              </w:rPr>
            </w:pPr>
            <w:r>
              <w:rPr>
                <w:rFonts w:ascii="Times New Roman" w:hAnsi="Times New Roman" w:eastAsia="宋体"/>
                <w:b w:val="0"/>
                <w:color w:val="000000"/>
                <w:sz w:val="18"/>
              </w:rPr>
              <w:t>过度自信</w:t>
            </w:r>
          </w:p>
        </w:tc>
        <w:tc>
          <w:tcPr>
            <w:tcW w:w="2061" w:type="dxa"/>
            <w:tcBorders>
              <w:top w:val="nil"/>
              <w:left w:val="nil"/>
              <w:bottom w:val="nil"/>
              <w:right w:val="nil"/>
            </w:tcBorders>
            <w:shd w:val="clear" w:color="auto" w:fill="auto"/>
            <w:vAlign w:val="center"/>
          </w:tcPr>
          <w:p w14:paraId="1C629EAF">
            <w:pPr>
              <w:spacing w:after="40" w:line="276" w:lineRule="auto"/>
              <w:jc w:val="center"/>
              <w:rPr>
                <w:b w:val="0"/>
                <w:color w:val="000000"/>
              </w:rPr>
            </w:pPr>
            <w:r>
              <w:rPr>
                <w:rFonts w:ascii="Times New Roman" w:hAnsi="Times New Roman" w:eastAsia="宋体"/>
                <w:b w:val="0"/>
                <w:color w:val="000000"/>
                <w:sz w:val="18"/>
              </w:rPr>
              <w:t>过度自信导致过度交易，侵蚀收益（Gervais &amp; Odean, 2001；Puetz &amp; Ruenzi, 2011）</w:t>
            </w:r>
          </w:p>
        </w:tc>
        <w:tc>
          <w:tcPr>
            <w:tcW w:w="1371" w:type="dxa"/>
            <w:tcBorders>
              <w:top w:val="nil"/>
              <w:left w:val="nil"/>
              <w:bottom w:val="nil"/>
              <w:right w:val="nil"/>
            </w:tcBorders>
            <w:shd w:val="clear" w:color="auto" w:fill="auto"/>
            <w:vAlign w:val="center"/>
          </w:tcPr>
          <w:p w14:paraId="0E6E5A2C">
            <w:pPr>
              <w:spacing w:after="40" w:line="276" w:lineRule="auto"/>
              <w:jc w:val="center"/>
              <w:rPr>
                <w:b w:val="0"/>
                <w:color w:val="000000"/>
              </w:rPr>
            </w:pPr>
            <w:r>
              <w:rPr>
                <w:rFonts w:ascii="Times New Roman" w:hAnsi="Times New Roman" w:eastAsia="宋体"/>
                <w:b w:val="0"/>
                <w:color w:val="000000"/>
                <w:sz w:val="18"/>
              </w:rPr>
              <w:t>过度自信</w:t>
            </w:r>
          </w:p>
          <w:p w14:paraId="3A85FF1C">
            <w:pPr>
              <w:spacing w:after="40" w:line="276" w:lineRule="auto"/>
              <w:jc w:val="center"/>
              <w:rPr>
                <w:b w:val="0"/>
                <w:color w:val="000000"/>
                <w:lang w:eastAsia="zh-CN"/>
              </w:rPr>
            </w:pPr>
            <w:r>
              <w:rPr>
                <w:rFonts w:ascii="Times New Roman" w:hAnsi="Times New Roman" w:eastAsia="宋体"/>
                <w:b w:val="0"/>
                <w:color w:val="000000"/>
                <w:sz w:val="18"/>
              </w:rPr>
              <w:t>oc_conf</w:t>
            </w:r>
          </w:p>
        </w:tc>
        <w:tc>
          <w:tcPr>
            <w:tcW w:w="2741" w:type="dxa"/>
            <w:tcBorders>
              <w:top w:val="nil"/>
              <w:left w:val="nil"/>
              <w:bottom w:val="nil"/>
              <w:right w:val="nil"/>
            </w:tcBorders>
            <w:shd w:val="clear" w:color="auto" w:fill="auto"/>
            <w:vAlign w:val="center"/>
          </w:tcPr>
          <w:p w14:paraId="3365EC1E">
            <w:pPr>
              <w:spacing w:after="40" w:line="276" w:lineRule="auto"/>
              <w:jc w:val="center"/>
              <w:rPr>
                <w:rFonts w:ascii="Times New Roman" w:hAnsi="Times New Roman" w:eastAsia="宋体"/>
                <w:b w:val="0"/>
                <w:color w:val="000000"/>
                <w:sz w:val="18"/>
              </w:rPr>
            </w:pPr>
            <w:r>
              <w:rPr>
                <w:rFonts w:ascii="Times New Roman" w:hAnsi="Times New Roman" w:eastAsia="宋体"/>
                <w:b w:val="0"/>
                <w:color w:val="000000"/>
                <w:sz w:val="18"/>
              </w:rPr>
              <w:t>oc_conf = (TO_t−TO_{t−1}) × 1(R_{t−1} &gt; 0)</w:t>
            </w:r>
          </w:p>
          <w:p w14:paraId="61A0435D">
            <w:pPr>
              <w:spacing w:after="40" w:line="276" w:lineRule="auto"/>
              <w:jc w:val="center"/>
              <w:rPr>
                <w:b w:val="0"/>
                <w:color w:val="000000"/>
                <w:lang w:eastAsia="zh-CN"/>
              </w:rPr>
            </w:pPr>
            <w:r>
              <w:rPr>
                <w:rFonts w:ascii="Times New Roman" w:hAnsi="Times New Roman" w:eastAsia="宋体"/>
                <w:b w:val="0"/>
                <w:color w:val="000000"/>
                <w:sz w:val="18"/>
                <w:lang w:eastAsia="zh-CN"/>
              </w:rPr>
              <w:t>上季盈利看本季</w:t>
            </w:r>
            <w:r>
              <w:rPr>
                <w:rFonts w:hint="eastAsia" w:ascii="Times New Roman" w:hAnsi="Times New Roman" w:eastAsia="宋体"/>
                <w:b w:val="0"/>
                <w:color w:val="000000"/>
                <w:sz w:val="18"/>
                <w:lang w:eastAsia="zh-CN"/>
              </w:rPr>
              <w:t>换手率增量，亏损记</w:t>
            </w:r>
            <w:r>
              <w:rPr>
                <w:rFonts w:ascii="Times New Roman" w:hAnsi="Times New Roman" w:eastAsia="宋体"/>
                <w:b w:val="0"/>
                <w:color w:val="000000"/>
                <w:sz w:val="18"/>
                <w:lang w:eastAsia="zh-CN"/>
              </w:rPr>
              <w:t xml:space="preserve"> 0；度量</w:t>
            </w:r>
            <w:r>
              <w:rPr>
                <w:rFonts w:hint="eastAsia" w:ascii="Times New Roman" w:hAnsi="Times New Roman" w:eastAsia="宋体"/>
                <w:b w:val="0"/>
                <w:color w:val="000000"/>
                <w:sz w:val="18"/>
                <w:lang w:eastAsia="zh-CN"/>
              </w:rPr>
              <w:t>赚了钱自负加码交易倾向</w:t>
            </w:r>
            <w:r>
              <w:rPr>
                <w:rFonts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5C453826">
            <w:pPr>
              <w:spacing w:after="40" w:line="276" w:lineRule="auto"/>
              <w:jc w:val="center"/>
              <w:rPr>
                <w:b w:val="0"/>
                <w:color w:val="000000"/>
                <w:lang w:eastAsia="zh-CN"/>
              </w:rPr>
            </w:pPr>
            <w:r>
              <w:rPr>
                <w:rFonts w:ascii="Times New Roman" w:hAnsi="Times New Roman" w:eastAsia="宋体"/>
                <w:b w:val="0"/>
                <w:color w:val="000000"/>
                <w:sz w:val="18"/>
                <w:lang w:eastAsia="zh-CN"/>
              </w:rPr>
              <w:t>业绩变好后换手放大，反映过度自信（损害业绩）</w:t>
            </w:r>
          </w:p>
        </w:tc>
      </w:tr>
      <w:tr w14:paraId="5040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C8D9690">
            <w:pPr>
              <w:spacing w:after="40" w:line="276" w:lineRule="auto"/>
              <w:jc w:val="center"/>
              <w:rPr>
                <w:b w:val="0"/>
                <w:color w:val="000000"/>
              </w:rPr>
            </w:pPr>
            <w:r>
              <w:rPr>
                <w:rFonts w:ascii="Times New Roman" w:hAnsi="Times New Roman" w:eastAsia="宋体"/>
                <w:b w:val="0"/>
                <w:color w:val="000000"/>
                <w:sz w:val="18"/>
              </w:rPr>
              <w:t>第二层</w:t>
            </w:r>
          </w:p>
          <w:p w14:paraId="692CD010">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736F291">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追涨杀跌</w:t>
            </w:r>
          </w:p>
        </w:tc>
        <w:tc>
          <w:tcPr>
            <w:tcW w:w="2061" w:type="dxa"/>
            <w:tcBorders>
              <w:top w:val="nil"/>
              <w:left w:val="nil"/>
              <w:bottom w:val="nil"/>
              <w:right w:val="nil"/>
            </w:tcBorders>
            <w:shd w:val="clear" w:color="auto" w:fill="auto"/>
            <w:vAlign w:val="center"/>
          </w:tcPr>
          <w:p w14:paraId="12048F14">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基于近期涨幅追买的趋势外推偏差</w:t>
            </w:r>
            <w:r>
              <w:rPr>
                <w:rFonts w:hint="eastAsia" w:ascii="Times New Roman" w:hAnsi="Times New Roman" w:eastAsia="宋体"/>
                <w:b w:val="0"/>
                <w:color w:val="000000"/>
                <w:sz w:val="18"/>
                <w:lang w:eastAsia="zh-CN"/>
              </w:rPr>
              <w:t>；锚定效应</w:t>
            </w:r>
          </w:p>
        </w:tc>
        <w:tc>
          <w:tcPr>
            <w:tcW w:w="1371" w:type="dxa"/>
            <w:tcBorders>
              <w:top w:val="nil"/>
              <w:left w:val="nil"/>
              <w:bottom w:val="nil"/>
              <w:right w:val="nil"/>
            </w:tcBorders>
            <w:shd w:val="clear" w:color="auto" w:fill="auto"/>
            <w:vAlign w:val="center"/>
          </w:tcPr>
          <w:p w14:paraId="22102FB1">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rc_mom</w:t>
            </w:r>
            <w:r>
              <w:rPr>
                <w:rFonts w:hint="eastAsia" w:ascii="Times New Roman" w:hAnsi="Times New Roman" w:eastAsia="宋体"/>
                <w:b w:val="0"/>
                <w:color w:val="000000"/>
                <w:sz w:val="18"/>
                <w:lang w:eastAsia="zh-CN"/>
              </w:rPr>
              <w:t>、</w:t>
            </w:r>
          </w:p>
          <w:p w14:paraId="53F1A30B">
            <w:pPr>
              <w:spacing w:after="40" w:line="240" w:lineRule="auto"/>
              <w:jc w:val="center"/>
              <w:rPr>
                <w:rFonts w:ascii="Times New Roman" w:hAnsi="Times New Roman" w:eastAsia="宋体"/>
                <w:b w:val="0"/>
                <w:color w:val="000000"/>
                <w:sz w:val="18"/>
                <w:lang w:eastAsia="zh-CN"/>
              </w:rPr>
            </w:pPr>
          </w:p>
        </w:tc>
        <w:tc>
          <w:tcPr>
            <w:tcW w:w="2741" w:type="dxa"/>
            <w:tcBorders>
              <w:top w:val="nil"/>
              <w:left w:val="nil"/>
              <w:bottom w:val="nil"/>
              <w:right w:val="nil"/>
            </w:tcBorders>
            <w:shd w:val="clear" w:color="auto" w:fill="auto"/>
            <w:vAlign w:val="center"/>
          </w:tcPr>
          <w:p w14:paraId="3F7F952A">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持仓变动与个股前 12 月涨幅相关系数</w:t>
            </w:r>
            <w:r>
              <w:rPr>
                <w:rFonts w:hint="eastAsia" w:ascii="Times New Roman" w:hAnsi="Times New Roman" w:eastAsia="宋体"/>
                <w:b w:val="0"/>
                <w:color w:val="000000"/>
                <w:sz w:val="18"/>
                <w:lang w:eastAsia="zh-CN"/>
              </w:rPr>
              <w:t>；</w:t>
            </w:r>
          </w:p>
          <w:p w14:paraId="7808C059">
            <w:pPr>
              <w:spacing w:after="40" w:line="240" w:lineRule="auto"/>
              <w:jc w:val="center"/>
              <w:rPr>
                <w:rFonts w:hint="eastAsia" w:ascii="Times New Roman" w:hAnsi="Times New Roman" w:eastAsia="宋体"/>
                <w:b w:val="0"/>
                <w:color w:val="000000"/>
                <w:sz w:val="18"/>
                <w:lang w:eastAsia="zh-CN"/>
              </w:rPr>
            </w:pPr>
          </w:p>
        </w:tc>
        <w:tc>
          <w:tcPr>
            <w:tcW w:w="1647" w:type="dxa"/>
            <w:tcBorders>
              <w:top w:val="nil"/>
              <w:left w:val="nil"/>
              <w:bottom w:val="nil"/>
              <w:right w:val="nil"/>
            </w:tcBorders>
            <w:shd w:val="clear" w:color="auto" w:fill="auto"/>
            <w:vAlign w:val="center"/>
          </w:tcPr>
          <w:p w14:paraId="02C810FE">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度量追逐近期涨幅倾向</w:t>
            </w:r>
            <w:r>
              <w:rPr>
                <w:rFonts w:hint="eastAsia" w:ascii="Times New Roman" w:hAnsi="Times New Roman" w:eastAsia="宋体"/>
                <w:b w:val="0"/>
                <w:color w:val="000000"/>
                <w:sz w:val="18"/>
                <w:lang w:eastAsia="zh-CN"/>
              </w:rPr>
              <w:t>；以历史最高价作为卖出参考点</w:t>
            </w:r>
          </w:p>
        </w:tc>
      </w:tr>
      <w:tr w14:paraId="117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0AEF2C2C">
            <w:pPr>
              <w:spacing w:after="40" w:line="276" w:lineRule="auto"/>
              <w:jc w:val="center"/>
              <w:rPr>
                <w:b w:val="0"/>
                <w:color w:val="000000"/>
              </w:rPr>
            </w:pPr>
            <w:r>
              <w:rPr>
                <w:rFonts w:ascii="Times New Roman" w:hAnsi="Times New Roman" w:eastAsia="宋体"/>
                <w:b w:val="0"/>
                <w:color w:val="000000"/>
                <w:sz w:val="18"/>
              </w:rPr>
              <w:t>第三层</w:t>
            </w:r>
          </w:p>
          <w:p w14:paraId="147E3E66">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4A2C7B30">
            <w:pPr>
              <w:spacing w:after="40" w:line="276" w:lineRule="auto"/>
              <w:jc w:val="center"/>
              <w:rPr>
                <w:b w:val="0"/>
                <w:color w:val="000000"/>
              </w:rPr>
            </w:pPr>
            <w:r>
              <w:rPr>
                <w:rFonts w:ascii="Times New Roman" w:hAnsi="Times New Roman" w:eastAsia="宋体"/>
                <w:b w:val="0"/>
                <w:color w:val="000000"/>
                <w:sz w:val="18"/>
              </w:rPr>
              <w:t>过程应对</w:t>
            </w:r>
          </w:p>
        </w:tc>
        <w:tc>
          <w:tcPr>
            <w:tcW w:w="2061" w:type="dxa"/>
            <w:tcBorders>
              <w:top w:val="nil"/>
              <w:left w:val="nil"/>
              <w:bottom w:val="nil"/>
              <w:right w:val="nil"/>
            </w:tcBorders>
            <w:shd w:val="clear" w:color="auto" w:fill="auto"/>
            <w:vAlign w:val="center"/>
          </w:tcPr>
          <w:p w14:paraId="277EB9C1">
            <w:pPr>
              <w:spacing w:after="40" w:line="276" w:lineRule="auto"/>
              <w:jc w:val="center"/>
              <w:rPr>
                <w:b w:val="0"/>
                <w:color w:val="000000"/>
              </w:rPr>
            </w:pPr>
            <w:r>
              <w:rPr>
                <w:rFonts w:ascii="Times New Roman" w:hAnsi="Times New Roman" w:eastAsia="宋体"/>
                <w:b w:val="0"/>
                <w:color w:val="000000"/>
                <w:sz w:val="18"/>
              </w:rPr>
              <w:t>持仓外调仓预示未来业绩（Kacperczyk et al., 2008）；下跌中的防御能力（Henriksson &amp; Merton, 1981）</w:t>
            </w:r>
          </w:p>
        </w:tc>
        <w:tc>
          <w:tcPr>
            <w:tcW w:w="1371" w:type="dxa"/>
            <w:tcBorders>
              <w:top w:val="nil"/>
              <w:left w:val="nil"/>
              <w:bottom w:val="nil"/>
              <w:right w:val="nil"/>
            </w:tcBorders>
            <w:shd w:val="clear" w:color="auto" w:fill="auto"/>
            <w:vAlign w:val="center"/>
          </w:tcPr>
          <w:p w14:paraId="43A8E85F">
            <w:pPr>
              <w:spacing w:after="40" w:line="276" w:lineRule="auto"/>
              <w:jc w:val="center"/>
              <w:rPr>
                <w:b w:val="0"/>
                <w:color w:val="000000"/>
                <w:lang w:eastAsia="zh-CN"/>
              </w:rPr>
            </w:pPr>
            <w:r>
              <w:rPr>
                <w:rFonts w:ascii="Times New Roman" w:hAnsi="Times New Roman" w:eastAsia="宋体"/>
                <w:b w:val="0"/>
                <w:color w:val="000000"/>
                <w:sz w:val="18"/>
                <w:lang w:eastAsia="zh-CN"/>
              </w:rPr>
              <w:t>调仓幅度</w:t>
            </w:r>
          </w:p>
          <w:p w14:paraId="41E75463">
            <w:pPr>
              <w:spacing w:after="40" w:line="276" w:lineRule="auto"/>
              <w:jc w:val="center"/>
              <w:rPr>
                <w:b w:val="0"/>
                <w:color w:val="000000"/>
                <w:lang w:eastAsia="zh-CN"/>
              </w:rPr>
            </w:pPr>
            <w:r>
              <w:rPr>
                <w:rFonts w:ascii="Times New Roman" w:hAnsi="Times New Roman" w:eastAsia="宋体"/>
                <w:b w:val="0"/>
                <w:color w:val="000000"/>
                <w:sz w:val="18"/>
                <w:lang w:eastAsia="zh-CN"/>
              </w:rPr>
              <w:t>ARG</w:t>
            </w:r>
            <w:r>
              <w:rPr>
                <w:rFonts w:hint="eastAsia" w:ascii="Times New Roman" w:hAnsi="Times New Roman" w:eastAsia="宋体"/>
                <w:b w:val="0"/>
                <w:color w:val="000000"/>
                <w:sz w:val="18"/>
                <w:lang w:eastAsia="zh-CN"/>
              </w:rPr>
              <w:t>、</w:t>
            </w:r>
          </w:p>
          <w:p w14:paraId="629D2591">
            <w:pPr>
              <w:spacing w:after="40" w:line="276" w:lineRule="auto"/>
              <w:jc w:val="center"/>
              <w:rPr>
                <w:b w:val="0"/>
                <w:color w:val="000000"/>
                <w:lang w:eastAsia="zh-CN"/>
              </w:rPr>
            </w:pPr>
            <w:r>
              <w:rPr>
                <w:rFonts w:ascii="Times New Roman" w:hAnsi="Times New Roman" w:eastAsia="宋体"/>
                <w:b w:val="0"/>
                <w:color w:val="000000"/>
                <w:sz w:val="18"/>
                <w:lang w:eastAsia="zh-CN"/>
              </w:rPr>
              <w:t>下行保护</w:t>
            </w:r>
          </w:p>
          <w:p w14:paraId="41B71014">
            <w:pPr>
              <w:spacing w:after="40" w:line="276" w:lineRule="auto"/>
              <w:jc w:val="center"/>
              <w:rPr>
                <w:b w:val="0"/>
                <w:color w:val="000000"/>
              </w:rPr>
            </w:pPr>
            <w:r>
              <w:rPr>
                <w:rFonts w:ascii="Times New Roman" w:hAnsi="Times New Roman" w:eastAsia="宋体"/>
                <w:b w:val="0"/>
                <w:color w:val="000000"/>
                <w:sz w:val="18"/>
              </w:rPr>
              <w:t>timing</w:t>
            </w:r>
          </w:p>
        </w:tc>
        <w:tc>
          <w:tcPr>
            <w:tcW w:w="2741" w:type="dxa"/>
            <w:tcBorders>
              <w:top w:val="nil"/>
              <w:left w:val="nil"/>
              <w:bottom w:val="nil"/>
              <w:right w:val="nil"/>
            </w:tcBorders>
            <w:shd w:val="clear" w:color="auto" w:fill="auto"/>
            <w:vAlign w:val="center"/>
          </w:tcPr>
          <w:p w14:paraId="27E3A3C5">
            <w:pPr>
              <w:spacing w:after="40" w:line="276" w:lineRule="auto"/>
              <w:jc w:val="center"/>
              <w:rPr>
                <w:b w:val="0"/>
                <w:color w:val="000000"/>
                <w:lang w:eastAsia="zh-CN"/>
              </w:rPr>
            </w:pPr>
            <w:r>
              <w:rPr>
                <w:rFonts w:ascii="Times New Roman" w:hAnsi="Times New Roman" w:eastAsia="宋体"/>
                <w:b w:val="0"/>
                <w:color w:val="000000"/>
                <w:sz w:val="18"/>
                <w:lang w:eastAsia="zh-CN"/>
              </w:rPr>
              <w:t>ARG =</w:t>
            </w:r>
            <w:r>
              <w:rPr>
                <w:rFonts w:ascii="Times New Roman" w:hAnsi="Times New Roman" w:eastAsia="宋体"/>
                <w:b w:val="0"/>
                <w:color w:val="000000"/>
                <w:sz w:val="18"/>
              </w:rPr>
              <w:t xml:space="preserve"> 季度内Σ_t |R_fund,t−Σ_i w_i R_i,t|（月度）</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rPr>
              <w:t>各月真实收益减静态收益差额绝对值累加；度量披露外波段活跃度。</w:t>
            </w:r>
          </w:p>
          <w:p w14:paraId="630E8A91">
            <w:pPr>
              <w:spacing w:after="40" w:line="276" w:lineRule="auto"/>
              <w:jc w:val="center"/>
              <w:rPr>
                <w:b w:val="0"/>
                <w:color w:val="000000"/>
                <w:lang w:eastAsia="zh-CN"/>
              </w:rPr>
            </w:pPr>
            <w:r>
              <w:rPr>
                <w:rFonts w:ascii="Times New Roman" w:hAnsi="Times New Roman" w:eastAsia="宋体"/>
                <w:b w:val="0"/>
                <w:color w:val="000000"/>
                <w:sz w:val="18"/>
                <w:lang w:eastAsia="zh-CN"/>
              </w:rPr>
              <w:t>timing = −</w:t>
            </w:r>
            <w:r>
              <w:rPr>
                <w:rFonts w:ascii="Times New Roman" w:hAnsi="Times New Roman" w:eastAsia="宋体"/>
                <w:b w:val="0"/>
                <w:color w:val="000000"/>
                <w:sz w:val="18"/>
              </w:rPr>
              <w:t>γ</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分段回归检验大盘下跌时超额表现，跌市额外项取反；越大跌市防守越好。</w:t>
            </w:r>
            <w:r>
              <w:rPr>
                <w:rFonts w:hint="eastAsia"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3FE6B9E3">
            <w:pPr>
              <w:spacing w:after="40" w:line="276" w:lineRule="auto"/>
              <w:jc w:val="center"/>
              <w:rPr>
                <w:b w:val="0"/>
                <w:color w:val="000000"/>
              </w:rPr>
            </w:pPr>
            <w:r>
              <w:rPr>
                <w:rFonts w:ascii="Times New Roman" w:hAnsi="Times New Roman" w:eastAsia="宋体"/>
                <w:b w:val="0"/>
                <w:color w:val="000000"/>
                <w:sz w:val="18"/>
              </w:rPr>
              <w:t>ARG越大→季报外操作越积极；timing越大→下跌时保护越好</w:t>
            </w:r>
          </w:p>
        </w:tc>
      </w:tr>
      <w:tr w14:paraId="7384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7995EB97">
            <w:pPr>
              <w:spacing w:after="40" w:line="276" w:lineRule="auto"/>
              <w:jc w:val="center"/>
              <w:rPr>
                <w:b w:val="0"/>
                <w:color w:val="000000"/>
              </w:rPr>
            </w:pPr>
            <w:r>
              <w:rPr>
                <w:rFonts w:ascii="Times New Roman" w:hAnsi="Times New Roman" w:eastAsia="宋体"/>
                <w:b w:val="0"/>
                <w:color w:val="000000"/>
                <w:sz w:val="18"/>
              </w:rPr>
              <w:t>第三层</w:t>
            </w:r>
          </w:p>
          <w:p w14:paraId="077C054E">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3BE44825">
            <w:pPr>
              <w:spacing w:after="40" w:line="276" w:lineRule="auto"/>
              <w:jc w:val="center"/>
              <w:rPr>
                <w:b w:val="0"/>
                <w:color w:val="000000"/>
              </w:rPr>
            </w:pPr>
            <w:r>
              <w:rPr>
                <w:rFonts w:ascii="Times New Roman" w:hAnsi="Times New Roman" w:eastAsia="宋体"/>
                <w:b w:val="0"/>
                <w:color w:val="000000"/>
                <w:sz w:val="18"/>
              </w:rPr>
              <w:t>转化效率</w:t>
            </w:r>
          </w:p>
        </w:tc>
        <w:tc>
          <w:tcPr>
            <w:tcW w:w="2061" w:type="dxa"/>
            <w:tcBorders>
              <w:top w:val="nil"/>
              <w:left w:val="nil"/>
              <w:bottom w:val="nil"/>
              <w:right w:val="nil"/>
            </w:tcBorders>
            <w:shd w:val="clear" w:color="auto" w:fill="auto"/>
            <w:vAlign w:val="center"/>
          </w:tcPr>
          <w:p w14:paraId="3FB07FDE">
            <w:pPr>
              <w:spacing w:after="40" w:line="276" w:lineRule="auto"/>
              <w:jc w:val="center"/>
              <w:rPr>
                <w:b w:val="0"/>
                <w:color w:val="000000"/>
              </w:rPr>
            </w:pPr>
            <w:r>
              <w:rPr>
                <w:rFonts w:ascii="Times New Roman" w:hAnsi="Times New Roman" w:eastAsia="宋体"/>
                <w:b w:val="0"/>
                <w:color w:val="000000"/>
                <w:sz w:val="18"/>
              </w:rPr>
              <w:t>单位风险的收益转化是绩效评价基础（Sharpe, 1966；Sortino &amp; Price, 1994）；传统比率可被极端风险操纵（Goetzmann et al., 2007）</w:t>
            </w:r>
          </w:p>
        </w:tc>
        <w:tc>
          <w:tcPr>
            <w:tcW w:w="1371" w:type="dxa"/>
            <w:tcBorders>
              <w:top w:val="nil"/>
              <w:left w:val="nil"/>
              <w:bottom w:val="nil"/>
              <w:right w:val="nil"/>
            </w:tcBorders>
            <w:shd w:val="clear" w:color="auto" w:fill="auto"/>
            <w:vAlign w:val="center"/>
          </w:tcPr>
          <w:p w14:paraId="71264BFA">
            <w:pPr>
              <w:spacing w:after="40" w:line="276" w:lineRule="auto"/>
              <w:jc w:val="center"/>
              <w:rPr>
                <w:b w:val="0"/>
                <w:color w:val="000000"/>
              </w:rPr>
            </w:pPr>
            <w:r>
              <w:rPr>
                <w:rFonts w:ascii="Times New Roman" w:hAnsi="Times New Roman" w:eastAsia="宋体"/>
                <w:b w:val="0"/>
                <w:color w:val="000000"/>
                <w:sz w:val="18"/>
              </w:rPr>
              <w:t>Sharpe比率</w:t>
            </w:r>
            <w:r>
              <w:rPr>
                <w:rFonts w:hint="eastAsia" w:ascii="Times New Roman" w:hAnsi="Times New Roman" w:eastAsia="宋体"/>
                <w:b w:val="0"/>
                <w:color w:val="000000"/>
                <w:sz w:val="18"/>
                <w:lang w:eastAsia="zh-CN"/>
              </w:rPr>
              <w:t>、</w:t>
            </w:r>
          </w:p>
          <w:p w14:paraId="653D97F9">
            <w:pPr>
              <w:spacing w:after="40" w:line="276" w:lineRule="auto"/>
              <w:jc w:val="center"/>
              <w:rPr>
                <w:b w:val="0"/>
                <w:color w:val="000000"/>
              </w:rPr>
            </w:pPr>
            <w:r>
              <w:rPr>
                <w:rFonts w:ascii="Times New Roman" w:hAnsi="Times New Roman" w:eastAsia="宋体"/>
                <w:b w:val="0"/>
                <w:color w:val="000000"/>
                <w:sz w:val="18"/>
              </w:rPr>
              <w:t>Sortino比率</w:t>
            </w:r>
            <w:r>
              <w:rPr>
                <w:rFonts w:hint="eastAsia" w:ascii="Times New Roman" w:hAnsi="Times New Roman" w:eastAsia="宋体"/>
                <w:b w:val="0"/>
                <w:color w:val="000000"/>
                <w:sz w:val="18"/>
                <w:lang w:eastAsia="zh-CN"/>
              </w:rPr>
              <w:t>、</w:t>
            </w:r>
          </w:p>
          <w:p w14:paraId="06FC29DD">
            <w:pPr>
              <w:spacing w:after="40" w:line="276" w:lineRule="auto"/>
              <w:jc w:val="center"/>
              <w:rPr>
                <w:b w:val="0"/>
                <w:color w:val="000000"/>
              </w:rPr>
            </w:pPr>
            <w:r>
              <w:rPr>
                <w:rFonts w:ascii="Times New Roman" w:hAnsi="Times New Roman" w:eastAsia="宋体"/>
                <w:b w:val="0"/>
                <w:color w:val="000000"/>
                <w:sz w:val="18"/>
              </w:rPr>
              <w:t>MPPM</w:t>
            </w:r>
          </w:p>
        </w:tc>
        <w:tc>
          <w:tcPr>
            <w:tcW w:w="2741" w:type="dxa"/>
            <w:tcBorders>
              <w:top w:val="nil"/>
              <w:left w:val="nil"/>
              <w:bottom w:val="nil"/>
              <w:right w:val="nil"/>
            </w:tcBorders>
            <w:shd w:val="clear" w:color="auto" w:fill="auto"/>
            <w:vAlign w:val="center"/>
          </w:tcPr>
          <w:p w14:paraId="4C50C1D0">
            <w:pPr>
              <w:spacing w:after="40" w:line="276" w:lineRule="auto"/>
              <w:jc w:val="center"/>
              <w:rPr>
                <w:b w:val="0"/>
                <w:color w:val="000000"/>
              </w:rPr>
            </w:pPr>
            <w:r>
              <w:rPr>
                <w:rFonts w:ascii="Times New Roman" w:hAnsi="Times New Roman" w:eastAsia="宋体"/>
                <w:b w:val="0"/>
                <w:color w:val="000000"/>
                <w:sz w:val="18"/>
              </w:rPr>
              <w:t>sharpe8 = 平均收益/总波动</w:t>
            </w:r>
          </w:p>
          <w:p w14:paraId="512836B5">
            <w:pPr>
              <w:spacing w:after="40" w:line="276" w:lineRule="auto"/>
              <w:jc w:val="center"/>
              <w:rPr>
                <w:b w:val="0"/>
                <w:color w:val="000000"/>
              </w:rPr>
            </w:pPr>
            <w:r>
              <w:rPr>
                <w:rFonts w:ascii="Times New Roman" w:hAnsi="Times New Roman" w:eastAsia="宋体"/>
                <w:b w:val="0"/>
                <w:color w:val="000000"/>
                <w:sz w:val="18"/>
              </w:rPr>
              <w:t>sortino8 = 平均收益/下行波动</w:t>
            </w:r>
          </w:p>
          <w:p w14:paraId="4616E7EB">
            <w:pPr>
              <w:spacing w:after="40" w:line="276" w:lineRule="auto"/>
              <w:jc w:val="center"/>
              <w:rPr>
                <w:rFonts w:hint="default" w:ascii="Times New Roman" w:hAnsi="Times New Roman" w:eastAsia="Times New Roman" w:cs="Times New Roman"/>
                <w:b w:val="0"/>
                <w:i w:val="0"/>
                <w:iCs w:val="0"/>
                <w:caps w:val="0"/>
                <w:color w:val="000000"/>
                <w:spacing w:val="0"/>
                <w:sz w:val="1"/>
                <w:szCs w:val="1"/>
                <w:shd w:val="clear"/>
              </w:rPr>
            </w:pPr>
            <w:r>
              <w:rPr>
                <w:rFonts w:ascii="Times New Roman" w:hAnsi="Times New Roman" w:eastAsia="宋体"/>
                <w:b w:val="0"/>
                <w:color w:val="000000"/>
                <w:sz w:val="18"/>
                <w:highlight w:val="none"/>
              </w:rPr>
              <w:t>mppm8</w:t>
            </w:r>
            <w:r>
              <w:rPr>
                <w:rFonts w:hint="eastAsia" w:ascii="Times New Roman" w:hAnsi="Times New Roman" w:eastAsia="宋体"/>
                <w:b w:val="0"/>
                <w:color w:val="000000"/>
                <w:sz w:val="18"/>
                <w:highlight w:val="none"/>
                <w:lang w:val="en-US" w:eastAsia="zh-CN"/>
              </w:rPr>
              <w:t>=[1/</w:t>
            </w:r>
            <w:r>
              <w:rPr>
                <w:rFonts w:hint="default" w:ascii="Times New Roman" w:hAnsi="Times New Roman" w:eastAsia="Times New Roman" w:cs="Times New Roman"/>
                <w:b w:val="0"/>
                <w:i w:val="0"/>
                <w:iCs w:val="0"/>
                <w:caps w:val="0"/>
                <w:color w:val="000000"/>
                <w:spacing w:val="0"/>
                <w:sz w:val="14"/>
                <w:szCs w:val="14"/>
                <w:shd w:val="clear"/>
              </w:rPr>
              <w:t>(1−</w:t>
            </w:r>
            <w:r>
              <w:rPr>
                <w:rFonts w:ascii="KaTeX_Math" w:hAnsi="KaTeX_Math" w:eastAsia="KaTeX_Math" w:cs="KaTeX_Math"/>
                <w:b w:val="0"/>
                <w:i/>
                <w:iCs/>
                <w:caps w:val="0"/>
                <w:color w:val="000000"/>
                <w:spacing w:val="0"/>
                <w:sz w:val="14"/>
                <w:szCs w:val="14"/>
                <w:shd w:val="clear"/>
              </w:rPr>
              <w:t>ρ</w:t>
            </w:r>
            <w:r>
              <w:rPr>
                <w:rFonts w:hint="default" w:ascii="Times New Roman" w:hAnsi="Times New Roman" w:eastAsia="Times New Roman" w:cs="Times New Roman"/>
                <w:b w:val="0"/>
                <w:i w:val="0"/>
                <w:iCs w:val="0"/>
                <w:caps w:val="0"/>
                <w:color w:val="000000"/>
                <w:spacing w:val="0"/>
                <w:sz w:val="14"/>
                <w:szCs w:val="14"/>
                <w:shd w:val="clear"/>
              </w:rPr>
              <w:t>)Δ</w:t>
            </w:r>
            <w:r>
              <w:rPr>
                <w:rFonts w:hint="default" w:ascii="KaTeX_Math" w:hAnsi="KaTeX_Math" w:eastAsia="KaTeX_Math" w:cs="KaTeX_Math"/>
                <w:b w:val="0"/>
                <w:i/>
                <w:iCs/>
                <w:caps w:val="0"/>
                <w:color w:val="000000"/>
                <w:spacing w:val="0"/>
                <w:sz w:val="14"/>
                <w:szCs w:val="14"/>
                <w:shd w:val="clear"/>
              </w:rPr>
              <w:t>t</w:t>
            </w:r>
            <w:r>
              <w:rPr>
                <w:rFonts w:hint="default" w:ascii="Times New Roman" w:hAnsi="Times New Roman" w:eastAsia="Times New Roman" w:cs="Times New Roman"/>
                <w:b w:val="0"/>
                <w:i w:val="0"/>
                <w:iCs w:val="0"/>
                <w:caps w:val="0"/>
                <w:color w:val="000000"/>
                <w:spacing w:val="0"/>
                <w:sz w:val="14"/>
                <w:szCs w:val="14"/>
                <w:shd w:val="clear"/>
              </w:rPr>
              <w:t>1</w:t>
            </w:r>
            <w:r>
              <w:rPr>
                <w:rFonts w:hint="eastAsia" w:ascii="Times New Roman" w:hAnsi="Times New Roman" w:eastAsia="宋体" w:cs="Times New Roman"/>
                <w:b w:val="0"/>
                <w:i w:val="0"/>
                <w:iCs w:val="0"/>
                <w:caps w:val="0"/>
                <w:color w:val="000000"/>
                <w:spacing w:val="0"/>
                <w:sz w:val="14"/>
                <w:szCs w:val="14"/>
                <w:shd w:val="clear"/>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Times New Roman" w:hAnsi="Times New Roman" w:eastAsia="Times New Roman" w:cs="Times New Roman"/>
                <w:b w:val="0"/>
                <w:i w:val="0"/>
                <w:iCs w:val="0"/>
                <w:caps w:val="0"/>
                <w:color w:val="000000"/>
                <w:spacing w:val="0"/>
                <w:sz w:val="20"/>
                <w:szCs w:val="20"/>
                <w:shd w:val="clear"/>
              </w:rPr>
              <w:t>ln</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default" w:ascii="Times New Roman" w:hAnsi="Times New Roman" w:eastAsia="Times New Roman" w:cs="Times New Roman"/>
                <w:b w:val="0"/>
                <w:i w:val="0"/>
                <w:iCs w:val="0"/>
                <w:caps w:val="0"/>
                <w:color w:val="000000"/>
                <w:spacing w:val="0"/>
                <w:sz w:val="14"/>
                <w:szCs w:val="14"/>
                <w:shd w:val="clear"/>
              </w:rPr>
              <w:t>(</w:t>
            </w:r>
            <w:r>
              <w:rPr>
                <w:rFonts w:hint="eastAsia" w:ascii="KaTeX_Size3" w:hAnsi="KaTeX_Size3" w:eastAsia="宋体" w:cs="KaTeX_Size3"/>
                <w:b w:val="0"/>
                <w:i w:val="0"/>
                <w:iCs w:val="0"/>
                <w:caps w:val="0"/>
                <w:color w:val="000000"/>
                <w:spacing w:val="0"/>
                <w:sz w:val="16"/>
                <w:szCs w:val="16"/>
                <w:shd w:val="clear"/>
                <w:lang w:val="en-US" w:eastAsia="zh-CN"/>
              </w:rPr>
              <w:t>1</w:t>
            </w:r>
            <w:r>
              <w:rPr>
                <w:rFonts w:hint="eastAsia" w:ascii="KaTeX_Size3" w:hAnsi="KaTeX_Size3" w:eastAsia="宋体" w:cs="KaTeX_Size3"/>
                <w:b w:val="0"/>
                <w:i w:val="0"/>
                <w:iCs w:val="0"/>
                <w:caps w:val="0"/>
                <w:color w:val="000000"/>
                <w:spacing w:val="0"/>
                <w:sz w:val="20"/>
                <w:szCs w:val="20"/>
                <w:shd w:val="clear"/>
                <w:lang w:val="en-US" w:eastAsia="zh-CN"/>
              </w:rPr>
              <w:t>/</w:t>
            </w:r>
            <w:r>
              <w:rPr>
                <w:rFonts w:hint="default" w:ascii="KaTeX_Math" w:hAnsi="KaTeX_Math" w:eastAsia="KaTeX_Math" w:cs="KaTeX_Math"/>
                <w:b w:val="0"/>
                <w:i/>
                <w:iCs/>
                <w:caps w:val="0"/>
                <w:color w:val="000000"/>
                <w:spacing w:val="0"/>
                <w:sz w:val="14"/>
                <w:szCs w:val="14"/>
                <w:shd w:val="clear"/>
              </w:rPr>
              <w:t>T</w:t>
            </w:r>
            <w:r>
              <w:rPr>
                <w:rFonts w:hint="eastAsia" w:ascii="KaTeX_Math" w:hAnsi="KaTeX_Math" w:eastAsia="宋体" w:cs="KaTeX_Math"/>
                <w:b w:val="0"/>
                <w:i/>
                <w:iCs/>
                <w:caps w:val="0"/>
                <w:color w:val="000000"/>
                <w:spacing w:val="0"/>
                <w:sz w:val="14"/>
                <w:szCs w:val="14"/>
                <w:shd w:val="clear"/>
                <w:vertAlign w:val="subscript"/>
                <w:lang w:val="en-US" w:eastAsia="zh-CN"/>
              </w:rPr>
              <w:t>1</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p>
          <w:p w14:paraId="0EC7980C">
            <w:pPr>
              <w:spacing w:after="40" w:line="276" w:lineRule="auto"/>
              <w:jc w:val="center"/>
              <w:rPr>
                <w:rFonts w:hint="eastAsia" w:eastAsia="宋体"/>
                <w:b w:val="0"/>
                <w:color w:val="000000"/>
                <w:lang w:eastAsia="zh-CN"/>
              </w:rPr>
            </w:pP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T</w:t>
            </w:r>
            <w:r>
              <w:rPr>
                <w:rFonts w:hint="eastAsia" w:ascii="KaTeX_Size1" w:hAnsi="KaTeX_Size1" w:eastAsia="宋体" w:cs="KaTeX_Size1"/>
                <w:b w:val="0"/>
                <w:i w:val="0"/>
                <w:iCs w:val="0"/>
                <w:caps w:val="0"/>
                <w:color w:val="000000"/>
                <w:spacing w:val="0"/>
                <w:sz w:val="20"/>
                <w:szCs w:val="20"/>
                <w:shd w:val="clear"/>
                <w:vertAlign w:val="subscript"/>
                <w:lang w:val="en-US" w:eastAsia="zh-CN"/>
              </w:rPr>
              <w:t>t+1</w:t>
            </w:r>
            <w:r>
              <w:rPr>
                <w:rFonts w:hint="default" w:ascii="Times New Roman" w:hAnsi="Times New Roman" w:eastAsia="Times New Roman" w:cs="Times New Roman"/>
                <w:b w:val="0"/>
                <w:i w:val="0"/>
                <w:iCs w:val="0"/>
                <w:caps w:val="0"/>
                <w:color w:val="000000"/>
                <w:spacing w:val="0"/>
                <w:sz w:val="1"/>
                <w:szCs w:val="1"/>
                <w:shd w:val="clear"/>
              </w:rPr>
              <w:t>​</w:t>
            </w:r>
            <w:r>
              <w:rPr>
                <w:rFonts w:ascii="KaTeX_Size2" w:hAnsi="KaTeX_Size2" w:eastAsia="KaTeX_Size2" w:cs="KaTeX_Size2"/>
                <w:b w:val="0"/>
                <w:i w:val="0"/>
                <w:iCs w:val="0"/>
                <w:caps w:val="0"/>
                <w:color w:val="000000"/>
                <w:spacing w:val="0"/>
                <w:sz w:val="20"/>
                <w:szCs w:val="20"/>
                <w:shd w:val="clear"/>
              </w:rPr>
              <w:t>[</w:t>
            </w:r>
            <w:r>
              <w:rPr>
                <w:rFonts w:hint="default" w:ascii="Times New Roman" w:hAnsi="Times New Roman" w:eastAsia="Times New Roman" w:cs="Times New Roman"/>
                <w:b w:val="0"/>
                <w:i w:val="0"/>
                <w:iCs w:val="0"/>
                <w:caps w:val="0"/>
                <w:color w:val="000000"/>
                <w:spacing w:val="0"/>
                <w:sz w:val="14"/>
                <w:szCs w:val="14"/>
                <w:shd w:val="clear"/>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R</w:t>
            </w:r>
            <w:r>
              <w:rPr>
                <w:rFonts w:hint="eastAsia" w:ascii="KaTeX_Math" w:hAnsi="KaTeX_Math" w:eastAsia="宋体" w:cs="KaTeX_Math"/>
                <w:b w:val="0"/>
                <w:i/>
                <w:iCs/>
                <w:caps w:val="0"/>
                <w:color w:val="000000"/>
                <w:spacing w:val="0"/>
                <w:sz w:val="14"/>
                <w:szCs w:val="14"/>
                <w:shd w:val="clear"/>
                <w:vertAlign w:val="subscript"/>
                <w:lang w:val="en-US" w:eastAsia="zh-CN"/>
              </w:rPr>
              <w:t>t</w:t>
            </w:r>
            <w:r>
              <w:rPr>
                <w:rFonts w:hint="eastAsia" w:ascii="KaTeX_Math" w:hAnsi="KaTeX_Math" w:eastAsia="宋体" w:cs="KaTeX_Math"/>
                <w:b w:val="0"/>
                <w:i/>
                <w:iCs/>
                <w:caps w:val="0"/>
                <w:color w:val="000000"/>
                <w:spacing w:val="0"/>
                <w:sz w:val="14"/>
                <w:szCs w:val="14"/>
                <w:shd w:val="clear"/>
                <w:vertAlign w:val="baseline"/>
                <w:lang w:val="en-US" w:eastAsia="zh-CN"/>
              </w:rPr>
              <w:t>) / (1+R</w:t>
            </w:r>
            <w:r>
              <w:rPr>
                <w:rFonts w:hint="eastAsia" w:ascii="KaTeX_Math" w:hAnsi="KaTeX_Math" w:eastAsia="宋体" w:cs="KaTeX_Math"/>
                <w:b w:val="0"/>
                <w:i/>
                <w:iCs/>
                <w:caps w:val="0"/>
                <w:color w:val="000000"/>
                <w:spacing w:val="0"/>
                <w:sz w:val="14"/>
                <w:szCs w:val="14"/>
                <w:shd w:val="clear"/>
                <w:vertAlign w:val="subscript"/>
                <w:lang w:val="en-US" w:eastAsia="zh-CN"/>
              </w:rPr>
              <w:t>f,t</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KaTeX_Size2" w:hAnsi="KaTeX_Size2" w:eastAsia="KaTeX_Size2" w:cs="KaTeX_Size2"/>
                <w:b w:val="0"/>
                <w:i w:val="0"/>
                <w:iCs w:val="0"/>
                <w:caps w:val="0"/>
                <w:color w:val="000000"/>
                <w:spacing w:val="0"/>
                <w:sz w:val="20"/>
                <w:szCs w:val="20"/>
                <w:shd w:val="clear"/>
              </w:rPr>
              <w:t>]</w:t>
            </w:r>
            <w:r>
              <w:rPr>
                <w:rFonts w:hint="eastAsia" w:ascii="KaTeX_Size2" w:hAnsi="KaTeX_Size2" w:eastAsia="宋体" w:cs="KaTeX_Size2"/>
                <w:b w:val="0"/>
                <w:i w:val="0"/>
                <w:iCs w:val="0"/>
                <w:caps w:val="0"/>
                <w:color w:val="000000"/>
                <w:spacing w:val="0"/>
                <w:sz w:val="20"/>
                <w:szCs w:val="20"/>
                <w:shd w:val="clear"/>
                <w:lang w:val="en-US" w:eastAsia="zh-CN"/>
              </w:rPr>
              <w:t>^</w:t>
            </w:r>
            <w:r>
              <w:rPr>
                <w:rFonts w:hint="eastAsia" w:ascii="Times New Roman" w:hAnsi="Times New Roman" w:eastAsia="宋体" w:cs="Times New Roman"/>
                <w:b w:val="0"/>
                <w:i w:val="0"/>
                <w:iCs w:val="0"/>
                <w:caps w:val="0"/>
                <w:color w:val="000000"/>
                <w:spacing w:val="0"/>
                <w:sz w:val="14"/>
                <w:szCs w:val="14"/>
                <w:shd w:val="clear"/>
                <w:lang w:eastAsia="zh-CN"/>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ρ</w:t>
            </w:r>
            <w:r>
              <w:rPr>
                <w:rFonts w:hint="eastAsia" w:ascii="KaTeX_Math" w:hAnsi="KaTeX_Math" w:eastAsia="宋体" w:cs="KaTeX_Math"/>
                <w:b w:val="0"/>
                <w:i/>
                <w:iCs/>
                <w:caps w:val="0"/>
                <w:color w:val="000000"/>
                <w:spacing w:val="0"/>
                <w:sz w:val="14"/>
                <w:szCs w:val="14"/>
                <w:shd w:val="clear"/>
                <w:lang w:val="en-US" w:eastAsia="zh-CN"/>
              </w:rPr>
              <w:t>)</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eastAsia" w:ascii="Times New Roman" w:hAnsi="Times New Roman" w:eastAsia="宋体"/>
                <w:b w:val="0"/>
                <w:color w:val="000000"/>
                <w:sz w:val="18"/>
                <w:highlight w:val="none"/>
                <w:lang w:val="en-US" w:eastAsia="zh-CN"/>
              </w:rPr>
              <w:t>放大单次</w:t>
            </w:r>
            <w:r>
              <w:rPr>
                <w:rFonts w:hint="eastAsia" w:ascii="Times New Roman" w:hAnsi="Times New Roman" w:eastAsia="宋体"/>
                <w:b w:val="0"/>
                <w:color w:val="000000"/>
                <w:sz w:val="18"/>
                <w:highlight w:val="none"/>
                <w:lang w:eastAsia="zh-CN"/>
              </w:rPr>
              <w:t>大额亏损</w:t>
            </w:r>
            <w:r>
              <w:rPr>
                <w:rFonts w:hint="eastAsia" w:ascii="Times New Roman" w:hAnsi="Times New Roman" w:eastAsia="宋体"/>
                <w:b w:val="0"/>
                <w:color w:val="000000"/>
                <w:sz w:val="18"/>
                <w:highlight w:val="none"/>
                <w:lang w:val="en-US" w:eastAsia="zh-CN"/>
              </w:rPr>
              <w:t>的惩罚</w:t>
            </w:r>
            <w:r>
              <w:rPr>
                <w:rFonts w:hint="eastAsia" w:ascii="Times New Roman" w:hAnsi="Times New Roman" w:eastAsia="宋体"/>
                <w:b w:val="0"/>
                <w:color w:val="000000"/>
                <w:sz w:val="18"/>
                <w:highlight w:val="none"/>
                <w:lang w:eastAsia="zh-CN"/>
              </w:rPr>
              <w:t>，</w:t>
            </w:r>
            <w:r>
              <w:rPr>
                <w:rFonts w:hint="eastAsia" w:ascii="Times New Roman" w:hAnsi="Times New Roman" w:eastAsia="宋体"/>
                <w:b w:val="0"/>
                <w:color w:val="000000"/>
                <w:sz w:val="18"/>
                <w:highlight w:val="none"/>
                <w:lang w:val="en-US" w:eastAsia="zh-CN"/>
              </w:rPr>
              <w:t>展示</w:t>
            </w:r>
            <w:r>
              <w:rPr>
                <w:rFonts w:hint="eastAsia" w:ascii="Times New Roman" w:hAnsi="Times New Roman" w:eastAsia="宋体"/>
                <w:b w:val="0"/>
                <w:color w:val="000000"/>
                <w:sz w:val="18"/>
                <w:highlight w:val="none"/>
                <w:lang w:eastAsia="zh-CN"/>
              </w:rPr>
              <w:t>严惩大跌后的真实赚钱能力</w:t>
            </w:r>
          </w:p>
        </w:tc>
        <w:tc>
          <w:tcPr>
            <w:tcW w:w="1647" w:type="dxa"/>
            <w:tcBorders>
              <w:top w:val="nil"/>
              <w:left w:val="nil"/>
              <w:bottom w:val="nil"/>
              <w:right w:val="nil"/>
            </w:tcBorders>
            <w:shd w:val="clear" w:color="auto" w:fill="auto"/>
            <w:vAlign w:val="center"/>
          </w:tcPr>
          <w:p w14:paraId="1A20B31E">
            <w:pPr>
              <w:spacing w:after="40" w:line="276" w:lineRule="auto"/>
              <w:jc w:val="center"/>
              <w:rPr>
                <w:b w:val="0"/>
                <w:color w:val="000000"/>
                <w:lang w:eastAsia="zh-CN"/>
              </w:rPr>
            </w:pPr>
            <w:r>
              <w:rPr>
                <w:rFonts w:ascii="Times New Roman" w:hAnsi="Times New Roman" w:eastAsia="宋体"/>
                <w:b w:val="0"/>
                <w:color w:val="000000"/>
                <w:sz w:val="18"/>
                <w:lang w:eastAsia="zh-CN"/>
              </w:rPr>
              <w:t>三类比率均度量风险转化效率，MPPM额外防范极端风险操纵</w:t>
            </w:r>
          </w:p>
        </w:tc>
      </w:tr>
      <w:tr w14:paraId="3ABC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3493D2C9">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nil"/>
              <w:right w:val="nil"/>
            </w:tcBorders>
            <w:shd w:val="clear" w:color="auto" w:fill="auto"/>
            <w:vAlign w:val="center"/>
          </w:tcPr>
          <w:p w14:paraId="260A4628">
            <w:pPr>
              <w:spacing w:after="40" w:line="276" w:lineRule="auto"/>
              <w:jc w:val="center"/>
              <w:rPr>
                <w:b w:val="0"/>
                <w:color w:val="000000"/>
              </w:rPr>
            </w:pPr>
            <w:r>
              <w:rPr>
                <w:rFonts w:ascii="Times New Roman" w:hAnsi="Times New Roman" w:eastAsia="宋体"/>
                <w:b w:val="0"/>
                <w:color w:val="000000"/>
                <w:sz w:val="18"/>
              </w:rPr>
              <w:t>风格稳定性</w:t>
            </w:r>
          </w:p>
        </w:tc>
        <w:tc>
          <w:tcPr>
            <w:tcW w:w="2061" w:type="dxa"/>
            <w:tcBorders>
              <w:top w:val="nil"/>
              <w:left w:val="nil"/>
              <w:bottom w:val="nil"/>
              <w:right w:val="nil"/>
            </w:tcBorders>
            <w:shd w:val="clear" w:color="auto" w:fill="auto"/>
            <w:vAlign w:val="center"/>
          </w:tcPr>
          <w:p w14:paraId="73323DE7">
            <w:pPr>
              <w:spacing w:after="40" w:line="276" w:lineRule="auto"/>
              <w:jc w:val="center"/>
              <w:rPr>
                <w:b w:val="0"/>
                <w:color w:val="000000"/>
                <w:lang w:eastAsia="zh-CN"/>
              </w:rPr>
            </w:pPr>
            <w:r>
              <w:rPr>
                <w:rFonts w:ascii="Times New Roman" w:hAnsi="Times New Roman" w:eastAsia="宋体"/>
                <w:b w:val="0"/>
                <w:color w:val="000000"/>
                <w:sz w:val="18"/>
                <w:lang w:eastAsia="zh-CN"/>
              </w:rPr>
              <w:t>净值风格漂移损害业绩与资金流稳定性（Wermers, 2012）</w:t>
            </w:r>
          </w:p>
        </w:tc>
        <w:tc>
          <w:tcPr>
            <w:tcW w:w="1371" w:type="dxa"/>
            <w:tcBorders>
              <w:top w:val="nil"/>
              <w:left w:val="nil"/>
              <w:bottom w:val="nil"/>
              <w:right w:val="nil"/>
            </w:tcBorders>
            <w:shd w:val="clear" w:color="auto" w:fill="auto"/>
            <w:vAlign w:val="center"/>
          </w:tcPr>
          <w:p w14:paraId="697DAACC">
            <w:pPr>
              <w:spacing w:after="40" w:line="276" w:lineRule="auto"/>
              <w:jc w:val="center"/>
              <w:rPr>
                <w:b w:val="0"/>
                <w:color w:val="000000"/>
              </w:rPr>
            </w:pPr>
            <w:r>
              <w:rPr>
                <w:rFonts w:ascii="Times New Roman" w:hAnsi="Times New Roman" w:eastAsia="宋体"/>
                <w:b w:val="0"/>
                <w:color w:val="000000"/>
                <w:sz w:val="18"/>
              </w:rPr>
              <w:t>策略偏离指数</w:t>
            </w:r>
          </w:p>
          <w:p w14:paraId="150E32E6">
            <w:pPr>
              <w:spacing w:after="40" w:line="276" w:lineRule="auto"/>
              <w:jc w:val="center"/>
              <w:rPr>
                <w:b w:val="0"/>
                <w:color w:val="000000"/>
              </w:rPr>
            </w:pPr>
            <w:r>
              <w:rPr>
                <w:rFonts w:ascii="Times New Roman" w:hAnsi="Times New Roman" w:eastAsia="宋体"/>
                <w:b w:val="0"/>
                <w:color w:val="000000"/>
                <w:sz w:val="18"/>
              </w:rPr>
              <w:t>SDI</w:t>
            </w:r>
          </w:p>
        </w:tc>
        <w:tc>
          <w:tcPr>
            <w:tcW w:w="2741" w:type="dxa"/>
            <w:tcBorders>
              <w:top w:val="nil"/>
              <w:left w:val="nil"/>
              <w:bottom w:val="nil"/>
              <w:right w:val="nil"/>
            </w:tcBorders>
            <w:shd w:val="clear" w:color="auto" w:fill="auto"/>
            <w:vAlign w:val="center"/>
          </w:tcPr>
          <w:p w14:paraId="4B575473">
            <w:pPr>
              <w:spacing w:after="40" w:line="276" w:lineRule="auto"/>
              <w:jc w:val="center"/>
              <w:rPr>
                <w:b w:val="0"/>
                <w:color w:val="000000"/>
                <w:lang w:eastAsia="zh-CN"/>
              </w:rPr>
            </w:pPr>
            <w:r>
              <w:rPr>
                <w:rFonts w:hint="default" w:ascii="Times New Roman" w:hAnsi="Times New Roman" w:eastAsia="Times New Roman" w:cs="Times New Roman"/>
                <w:b w:val="0"/>
                <w:i w:val="0"/>
                <w:iCs w:val="0"/>
                <w:caps w:val="0"/>
                <w:color w:val="000000"/>
                <w:spacing w:val="0"/>
                <w:sz w:val="20"/>
                <w:szCs w:val="20"/>
                <w:shd w:val="clear"/>
              </w:rPr>
              <w:t>SDI</w:t>
            </w:r>
            <w:r>
              <w:rPr>
                <w:rFonts w:hint="eastAsia" w:ascii="Times New Roman" w:hAnsi="Times New Roman" w:eastAsia="宋体" w:cs="Times New Roman"/>
                <w:b w:val="0"/>
                <w:i w:val="0"/>
                <w:iCs w:val="0"/>
                <w:caps w:val="0"/>
                <w:color w:val="000000"/>
                <w:spacing w:val="0"/>
                <w:sz w:val="20"/>
                <w:szCs w:val="20"/>
                <w:shd w:val="clear"/>
                <w:vertAlign w:val="subscript"/>
                <w:lang w:val="en-US" w:eastAsia="zh-CN"/>
              </w:rPr>
              <w:t>i,t</w:t>
            </w:r>
            <w:r>
              <w:rPr>
                <w:rFonts w:hint="default" w:ascii="Times New Roman" w:hAnsi="Times New Roman" w:eastAsia="Times New Roman" w:cs="Times New Roman"/>
                <w:b w:val="0"/>
                <w:i w:val="0"/>
                <w:iCs w:val="0"/>
                <w:caps w:val="0"/>
                <w:color w:val="000000"/>
                <w:spacing w:val="0"/>
                <w:sz w:val="20"/>
                <w:szCs w:val="20"/>
                <w:shd w:val="clear"/>
              </w:rPr>
              <w:t>=</w:t>
            </w: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K</w:t>
            </w:r>
            <w:r>
              <w:rPr>
                <w:rFonts w:hint="default" w:ascii="Times New Roman" w:hAnsi="Times New Roman" w:eastAsia="Times New Roman" w:cs="Times New Roman"/>
                <w:b w:val="0"/>
                <w:i w:val="0"/>
                <w:iCs w:val="0"/>
                <w:caps w:val="0"/>
                <w:color w:val="000000"/>
                <w:spacing w:val="0"/>
                <w:sz w:val="1"/>
                <w:szCs w:val="1"/>
                <w:shd w:val="clear"/>
              </w:rPr>
              <w:t>​</w:t>
            </w:r>
            <w:r>
              <w:rPr>
                <w:rFonts w:hint="eastAsia" w:ascii="KaTeX_Size1" w:hAnsi="KaTeX_Size1" w:eastAsia="宋体" w:cs="KaTeX_Size1"/>
                <w:b w:val="0"/>
                <w:i w:val="0"/>
                <w:iCs w:val="0"/>
                <w:caps w:val="0"/>
                <w:color w:val="000000"/>
                <w:spacing w:val="0"/>
                <w:sz w:val="20"/>
                <w:szCs w:val="20"/>
                <w:shd w:val="clear"/>
                <w:vertAlign w:val="subscript"/>
                <w:lang w:val="en-US" w:eastAsia="zh-CN"/>
              </w:rPr>
              <w:t>k=1</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4"/>
                <w:szCs w:val="14"/>
                <w:shd w:val="clear"/>
                <w:vertAlign w:val="subscript"/>
              </w:rPr>
              <w:t>−1</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eastAsia" w:ascii="Times New Roman" w:hAnsi="Times New Roman" w:eastAsia="宋体"/>
                <w:b w:val="0"/>
                <w:color w:val="000000"/>
                <w:sz w:val="18"/>
                <w:highlight w:val="none"/>
                <w:shd w:val="clear"/>
                <w:lang w:eastAsia="zh-CN"/>
              </w:rPr>
              <w:t>每季度在不同风格（大/小盘、价值/成长）间左右横跳的剧烈程度</w:t>
            </w:r>
            <w:r>
              <w:rPr>
                <w:rFonts w:ascii="Times New Roman" w:hAnsi="Times New Roman" w:eastAsia="宋体"/>
                <w:b w:val="0"/>
                <w:color w:val="000000"/>
                <w:sz w:val="18"/>
                <w:lang w:eastAsia="zh-CN"/>
              </w:rPr>
              <w:t>；越大净值风格漂移越剧烈。</w:t>
            </w:r>
          </w:p>
        </w:tc>
        <w:tc>
          <w:tcPr>
            <w:tcW w:w="1647" w:type="dxa"/>
            <w:tcBorders>
              <w:top w:val="nil"/>
              <w:left w:val="nil"/>
              <w:bottom w:val="nil"/>
              <w:right w:val="nil"/>
            </w:tcBorders>
            <w:shd w:val="clear" w:color="auto" w:fill="auto"/>
            <w:vAlign w:val="center"/>
          </w:tcPr>
          <w:p w14:paraId="704FA6BA">
            <w:pPr>
              <w:spacing w:after="40" w:line="276" w:lineRule="auto"/>
              <w:jc w:val="center"/>
              <w:rPr>
                <w:b w:val="0"/>
                <w:color w:val="000000"/>
                <w:lang w:eastAsia="zh-CN"/>
              </w:rPr>
            </w:pPr>
            <w:r>
              <w:rPr>
                <w:rFonts w:ascii="Times New Roman" w:hAnsi="Times New Roman" w:eastAsia="宋体"/>
                <w:b w:val="0"/>
                <w:color w:val="000000"/>
                <w:sz w:val="18"/>
                <w:lang w:eastAsia="zh-CN"/>
              </w:rPr>
              <w:t>SDI越高→实际风格漂移越大（损害业绩）</w:t>
            </w:r>
          </w:p>
        </w:tc>
      </w:tr>
      <w:tr w14:paraId="080B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677" w:type="dxa"/>
            <w:tcBorders>
              <w:top w:val="nil"/>
              <w:left w:val="nil"/>
              <w:bottom w:val="single" w:color="000000" w:sz="12" w:space="0"/>
              <w:right w:val="nil"/>
            </w:tcBorders>
            <w:shd w:val="clear" w:color="auto" w:fill="auto"/>
            <w:vAlign w:val="center"/>
          </w:tcPr>
          <w:p w14:paraId="5DC232DE">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single" w:color="000000" w:sz="12" w:space="0"/>
              <w:right w:val="nil"/>
            </w:tcBorders>
            <w:shd w:val="clear" w:color="auto" w:fill="auto"/>
            <w:vAlign w:val="center"/>
          </w:tcPr>
          <w:p w14:paraId="7E265F0A">
            <w:pPr>
              <w:spacing w:after="40" w:line="276" w:lineRule="auto"/>
              <w:jc w:val="center"/>
              <w:rPr>
                <w:b w:val="0"/>
                <w:color w:val="000000"/>
              </w:rPr>
            </w:pPr>
            <w:r>
              <w:rPr>
                <w:rFonts w:ascii="Times New Roman" w:hAnsi="Times New Roman" w:eastAsia="宋体"/>
                <w:b w:val="0"/>
                <w:color w:val="000000"/>
                <w:sz w:val="18"/>
              </w:rPr>
              <w:t>交易趋同</w:t>
            </w:r>
          </w:p>
        </w:tc>
        <w:tc>
          <w:tcPr>
            <w:tcW w:w="2061" w:type="dxa"/>
            <w:tcBorders>
              <w:top w:val="nil"/>
              <w:left w:val="nil"/>
              <w:bottom w:val="single" w:color="000000" w:sz="12" w:space="0"/>
              <w:right w:val="nil"/>
            </w:tcBorders>
            <w:shd w:val="clear" w:color="auto" w:fill="auto"/>
            <w:vAlign w:val="center"/>
          </w:tcPr>
          <w:p w14:paraId="2118EE28">
            <w:pPr>
              <w:spacing w:after="40" w:line="276" w:lineRule="auto"/>
              <w:jc w:val="center"/>
              <w:rPr>
                <w:b w:val="0"/>
                <w:color w:val="000000"/>
              </w:rPr>
            </w:pPr>
            <w:r>
              <w:rPr>
                <w:rFonts w:ascii="Times New Roman" w:hAnsi="Times New Roman" w:eastAsia="宋体"/>
                <w:b w:val="0"/>
                <w:color w:val="000000"/>
                <w:sz w:val="18"/>
              </w:rPr>
              <w:t>机构交易存在羊群行为（Lakonishok et al., 1992；Wermers, 1999）</w:t>
            </w:r>
          </w:p>
        </w:tc>
        <w:tc>
          <w:tcPr>
            <w:tcW w:w="1371" w:type="dxa"/>
            <w:tcBorders>
              <w:top w:val="nil"/>
              <w:left w:val="nil"/>
              <w:bottom w:val="single" w:color="000000" w:sz="12" w:space="0"/>
              <w:right w:val="nil"/>
            </w:tcBorders>
            <w:shd w:val="clear" w:color="auto" w:fill="auto"/>
            <w:vAlign w:val="center"/>
          </w:tcPr>
          <w:p w14:paraId="5475412F">
            <w:pPr>
              <w:spacing w:after="40" w:line="276" w:lineRule="auto"/>
              <w:jc w:val="center"/>
              <w:rPr>
                <w:b w:val="0"/>
                <w:color w:val="000000"/>
              </w:rPr>
            </w:pPr>
            <w:r>
              <w:rPr>
                <w:rFonts w:ascii="Times New Roman" w:hAnsi="Times New Roman" w:eastAsia="宋体"/>
                <w:b w:val="0"/>
                <w:color w:val="000000"/>
                <w:sz w:val="18"/>
              </w:rPr>
              <w:t>交易趋同度</w:t>
            </w:r>
          </w:p>
          <w:p w14:paraId="31527AF2">
            <w:pPr>
              <w:spacing w:after="40" w:line="276" w:lineRule="auto"/>
              <w:jc w:val="center"/>
              <w:rPr>
                <w:b w:val="0"/>
                <w:color w:val="000000"/>
              </w:rPr>
            </w:pPr>
            <w:r>
              <w:rPr>
                <w:rFonts w:ascii="Times New Roman" w:hAnsi="Times New Roman" w:eastAsia="宋体"/>
                <w:b w:val="0"/>
                <w:color w:val="000000"/>
                <w:sz w:val="18"/>
              </w:rPr>
              <w:t>LSV</w:t>
            </w:r>
          </w:p>
        </w:tc>
        <w:tc>
          <w:tcPr>
            <w:tcW w:w="2741" w:type="dxa"/>
            <w:tcBorders>
              <w:top w:val="nil"/>
              <w:left w:val="nil"/>
              <w:bottom w:val="single" w:color="000000" w:sz="12" w:space="0"/>
              <w:right w:val="nil"/>
            </w:tcBorders>
            <w:shd w:val="clear" w:color="auto" w:fill="auto"/>
            <w:vAlign w:val="center"/>
          </w:tcPr>
          <w:p w14:paraId="1B6D7251">
            <w:pPr>
              <w:spacing w:after="40" w:line="276" w:lineRule="auto"/>
              <w:jc w:val="center"/>
              <w:rPr>
                <w:b w:val="0"/>
                <w:color w:val="000000"/>
                <w:lang w:eastAsia="zh-CN"/>
              </w:rPr>
            </w:pPr>
            <w:r>
              <w:rPr>
                <w:rFonts w:ascii="Times New Roman" w:hAnsi="Times New Roman" w:eastAsia="宋体"/>
                <w:b w:val="0"/>
                <w:color w:val="000000"/>
                <w:sz w:val="18"/>
                <w:lang w:eastAsia="zh-CN"/>
              </w:rPr>
              <w:t>lsv = 均值_i(|p_i−p̄_t|−AF)</w:t>
            </w:r>
            <w:r>
              <w:rPr>
                <w:rFonts w:hint="eastAsia"/>
                <w:b w:val="0"/>
                <w:color w:val="000000"/>
                <w:lang w:eastAsia="zh-CN"/>
              </w:rPr>
              <w:t xml:space="preserve"> </w:t>
            </w:r>
            <w:r>
              <w:rPr>
                <w:rFonts w:ascii="Times New Roman" w:hAnsi="Times New Roman" w:eastAsia="宋体"/>
                <w:b w:val="0"/>
                <w:color w:val="000000"/>
                <w:sz w:val="18"/>
                <w:lang w:eastAsia="zh-CN"/>
              </w:rPr>
              <w:t>买入基金比例偏离市场均值绝对程度；越大买卖越跟风抱团。</w:t>
            </w:r>
          </w:p>
        </w:tc>
        <w:tc>
          <w:tcPr>
            <w:tcW w:w="1647" w:type="dxa"/>
            <w:tcBorders>
              <w:top w:val="nil"/>
              <w:left w:val="nil"/>
              <w:bottom w:val="single" w:color="000000" w:sz="12" w:space="0"/>
              <w:right w:val="nil"/>
            </w:tcBorders>
            <w:shd w:val="clear" w:color="auto" w:fill="auto"/>
            <w:vAlign w:val="center"/>
          </w:tcPr>
          <w:p w14:paraId="50C7476B">
            <w:pPr>
              <w:spacing w:after="40" w:line="276" w:lineRule="auto"/>
              <w:jc w:val="center"/>
              <w:rPr>
                <w:b w:val="0"/>
                <w:color w:val="000000"/>
                <w:lang w:eastAsia="zh-CN"/>
              </w:rPr>
            </w:pPr>
            <w:r>
              <w:rPr>
                <w:rFonts w:ascii="Times New Roman" w:hAnsi="Times New Roman" w:eastAsia="宋体"/>
                <w:b w:val="0"/>
                <w:color w:val="000000"/>
                <w:sz w:val="18"/>
                <w:lang w:eastAsia="zh-CN"/>
              </w:rPr>
              <w:t>度量买卖行为与同业的趋同程度</w:t>
            </w:r>
          </w:p>
        </w:tc>
      </w:tr>
    </w:tbl>
    <w:p w14:paraId="73B040CA">
      <w:pPr>
        <w:spacing w:after="160" w:line="360" w:lineRule="auto"/>
      </w:pPr>
      <w:r>
        <w:rPr>
          <w:rFonts w:ascii="Times New Roman" w:hAnsi="Times New Roman" w:eastAsia="宋体"/>
          <w:b w:val="0"/>
          <w:sz w:val="18"/>
        </w:rPr>
        <w:t>注：w 为持仓权重，σ 为标准差，TO 为换手率，R 为收益率，MKT 为市场超额收益，γ 为 HM 回归中市场下行项系数。</w:t>
      </w:r>
    </w:p>
    <w:p>
      <w:pPr>
        <w:spacing w:before="280" w:after="120"/>
      </w:pPr>
      <w:r>
        <w:rPr>
          <w:rFonts w:ascii="Times New Roman" w:hAnsi="Times New Roman" w:eastAsia="黑体"/>
          <w:b/>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47241F39">
      <w:pPr>
        <w:spacing w:after="120" w:line="360" w:lineRule="auto"/>
        <w:ind w:firstLine="480"/>
        <w:rPr>
          <w:rFonts w:ascii="Times New Roman" w:hAnsi="Times New Roman" w:eastAsia="宋体"/>
          <w:sz w:val="24"/>
          <w:lang w:eastAsia="zh-CN"/>
        </w:rPr>
      </w:pPr>
      <w:r>
        <w:rPr>
          <w:rFonts w:ascii="Times New Roman" w:hAnsi="Times New Roman" w:eastAsia="宋体"/>
          <w:sz w:val="21"/>
        </w:rPr>
        <w:t>数据来源方面，基金净值、持仓与行业配置数据取自 AKShare 与东方财富，换手率取自 Wind。因变量为 Fama &amp; French 五因子模型调整后的超额收益（Fama &amp; French, 2015），其在中国市场的适用性已有文献检验支持（Li et al., 2017）。研究样本覆盖 2006 年三季度至 2026 年二季度共 80 个季度。在 400 只主动权益基金构建的非平衡面板中，选取存续期不少于 11 个季度（近三年）且具备完整因子数据的 362 只基金，构成基金层核心横截面回归样本。在指标体系设计中，本文首先基于行为金融学理论文献与实际可观测数据，系统梳理并提取了覆盖基本面特征、配置选择、认知偏差、风险应对与交易执行五个维度的全部 25 个候选行为与特征指标。需要特别说明的是，这 25 个指标构成了本文初期探索与实证检验的全局候选池；在后续实证中，经过严格的单变量显著性检验、控制变量剥离、同源性诊断与跨周期稳健性检验后，本文最终从中精选提炼出 16 个具有稳健解释力的核心成分指标，用于构建六维能力画像体系。在汇报实证检验结果之前，表 2 完整汇总了全部 25 个候选指标的理论预期方向、作用渠道与经济学逻辑，作为后续实证检验与有效性筛选的理论对照基准。</w:t>
      </w:r>
    </w:p>
    <w:p w14:paraId="73DD770B">
      <w:pPr>
        <w:keepNext/>
        <w:spacing w:before="60" w:after="20" w:line="312" w:lineRule="auto"/>
        <w:jc w:val="center"/>
      </w:pPr>
      <w:r>
        <w:rPr>
          <w:rFonts w:ascii="Times New Roman" w:hAnsi="Times New Roman" w:eastAsia="黑体"/>
          <w:b/>
          <w:i w:val="0"/>
          <w:sz w:val="21"/>
        </w:rPr>
        <w:t>表 2  各行为指标的理论预期方向</w:t>
      </w:r>
    </w:p>
    <w:tbl>
      <w:tblPr>
        <w:tblStyle w:val="33"/>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60" w:type="dxa"/>
          <w:left w:w="100" w:type="dxa"/>
          <w:bottom w:w="60" w:type="dxa"/>
          <w:right w:w="100" w:type="dxa"/>
        </w:tblCellMar>
      </w:tblPr>
      <w:tblGrid>
        <w:gridCol w:w="1583"/>
        <w:gridCol w:w="1336"/>
        <w:gridCol w:w="2424"/>
        <w:gridCol w:w="1347"/>
        <w:gridCol w:w="2948"/>
      </w:tblGrid>
      <w:tr w14:paraId="1F94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cantSplit/>
          <w:tblHeader/>
          <w:jc w:val="center"/>
        </w:trPr>
        <w:tc>
          <w:tcPr>
            <w:tcW w:w="1512" w:type="dxa"/>
            <w:tcBorders>
              <w:top w:val="single" w:color="000000" w:sz="12" w:space="0"/>
              <w:left w:val="none"/>
              <w:bottom w:val="single" w:color="000000" w:sz="4" w:space="0"/>
              <w:right w:val="none"/>
              <w:tl2br w:val="nil"/>
            </w:tcBorders>
            <w:shd w:val="clear" w:color="auto" w:fill="auto"/>
            <w:vAlign w:val="center"/>
          </w:tcPr>
          <w:p w14:paraId="2192B0E5">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层级</w:t>
            </w:r>
          </w:p>
        </w:tc>
        <w:tc>
          <w:tcPr>
            <w:tcW w:w="1368" w:type="dxa"/>
            <w:tcBorders>
              <w:top w:val="single" w:color="000000" w:sz="12" w:space="0"/>
              <w:left w:val="none"/>
              <w:bottom w:val="single" w:color="000000" w:sz="4" w:space="0"/>
              <w:right w:val="none"/>
            </w:tcBorders>
            <w:shd w:val="clear" w:color="auto" w:fill="auto"/>
            <w:vAlign w:val="center"/>
          </w:tcPr>
          <w:p w14:paraId="1398F3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维度</w:t>
            </w:r>
          </w:p>
        </w:tc>
        <w:tc>
          <w:tcPr>
            <w:tcW w:w="2376" w:type="dxa"/>
            <w:tcBorders>
              <w:top w:val="single" w:color="000000" w:sz="12" w:space="0"/>
              <w:left w:val="none"/>
              <w:bottom w:val="single" w:color="000000" w:sz="4" w:space="0"/>
              <w:right w:val="none"/>
            </w:tcBorders>
            <w:shd w:val="clear" w:color="auto" w:fill="auto"/>
            <w:vAlign w:val="center"/>
          </w:tcPr>
          <w:p w14:paraId="6DB878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指标</w:t>
            </w:r>
          </w:p>
        </w:tc>
        <w:tc>
          <w:tcPr>
            <w:tcW w:w="1368" w:type="dxa"/>
            <w:tcBorders>
              <w:top w:val="single" w:color="000000" w:sz="12" w:space="0"/>
              <w:left w:val="none"/>
              <w:bottom w:val="single" w:color="000000" w:sz="4" w:space="0"/>
              <w:right w:val="none"/>
            </w:tcBorders>
            <w:shd w:val="clear" w:color="auto" w:fill="auto"/>
            <w:vAlign w:val="center"/>
          </w:tcPr>
          <w:p w14:paraId="58EA0A36">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理论预期</w:t>
            </w:r>
          </w:p>
        </w:tc>
        <w:tc>
          <w:tcPr>
            <w:tcW w:w="3024" w:type="dxa"/>
            <w:tcBorders>
              <w:top w:val="single" w:color="000000" w:sz="12" w:space="0"/>
              <w:left w:val="none"/>
              <w:bottom w:val="single" w:color="000000" w:sz="4" w:space="0"/>
              <w:right w:val="none"/>
            </w:tcBorders>
            <w:shd w:val="clear" w:color="auto" w:fill="auto"/>
            <w:vAlign w:val="center"/>
          </w:tcPr>
          <w:p w14:paraId="2596A717">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理由</w:t>
            </w:r>
          </w:p>
        </w:tc>
      </w:tr>
      <w:tr>
        <w:tc>
          <w:tcPr>
            <w:tcW w:type="dxa" w:w="1512"/>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8"/>
              </w:rPr>
              <w:t>基本面特征</w:t>
            </w:r>
          </w:p>
        </w:tc>
        <w:tc>
          <w:tcPr>
            <w:tcW w:type="dxa" w:w="2376"/>
            <w:tcBorders>
              <w:top w:val="single" w:sz="4" w:space="0" w:color="000000"/>
              <w:bottom w:val="none"/>
              <w:left w:val="none"/>
              <w:right w:val="none"/>
            </w:tcBorders>
          </w:tcPr>
          <w:p>
            <w:pPr>
              <w:spacing w:before="40" w:after="40" w:line="252" w:lineRule="auto"/>
              <w:jc w:val="left"/>
            </w:pPr>
            <w:r>
              <w:rPr>
                <w:rFonts w:ascii="Times New Roman" w:hAnsi="Times New Roman" w:eastAsia="宋体"/>
                <w:b w:val="0"/>
                <w:sz w:val="18"/>
              </w:rPr>
              <w:t>任职年限 tenure</w:t>
            </w:r>
          </w:p>
        </w:tc>
        <w:tc>
          <w:tcPr>
            <w:tcW w:type="dxa" w:w="1368"/>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8"/>
              </w:rPr>
              <w:t>负向／不显著</w:t>
            </w:r>
          </w:p>
        </w:tc>
        <w:tc>
          <w:tcPr>
            <w:tcW w:type="dxa" w:w="3024"/>
            <w:tcBorders>
              <w:top w:val="single" w:sz="4" w:space="0" w:color="000000"/>
              <w:bottom w:val="none"/>
              <w:left w:val="none"/>
              <w:right w:val="none"/>
            </w:tcBorders>
          </w:tcPr>
          <w:p>
            <w:pPr>
              <w:spacing w:before="40" w:after="40" w:line="252" w:lineRule="auto"/>
              <w:jc w:val="left"/>
            </w:pPr>
            <w:r>
              <w:rPr>
                <w:rFonts w:ascii="Times New Roman" w:hAnsi="Times New Roman" w:eastAsia="宋体"/>
                <w:b w:val="0"/>
                <w:sz w:val="18"/>
              </w:rPr>
              <w:t>年轻经理职业关注激励强（Chevalier &amp; Ellison, 1999）；资深经理风险规避增加且精力受限</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基本面特征</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基金年龄 log_age</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新设基金建仓灵活且包袱轻；存续久的老基金机制僵化与基数效应拖累业绩</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基本面特征</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基金规模 log_aum</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规模不经济物理约束显著（Berk &amp; Green, 2004）；大资金冲击成本高、流动性受限</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个人背景特征</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性别 male（男=1）</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不显著／负向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行为金融学表明男性更易过度自信与过度交易（Barber &amp; Odean, 2001）；传统金融学预期无显著超额差异</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个人背景特征</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CFA持证 has_CFA</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不显著／正向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专业资格认证反映系统性金融知识储备，但考证知识与实际投资中的心理抗压和实操可能脱节</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个人背景特征</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学历 master_up（硕士及以上）</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不显著</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公募基金经理学历门槛极高（硕士及以上占比超 90%），学历在群体内部高度同质化，缺乏区分度</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基本面层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个人背景特征</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院校层次 top_school（名校毕业）</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不显著／弱正向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名校校友圈层带来信息获取优势与声誉筛选效应，但难以直接决定统计显著的超额投资收益</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配置选择层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行业配置</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行业集中度 ICI</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集中重仓看好行业体现私有信息优势与深度选股自信（Kacperczyk et al., 2005）</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配置选择层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风格稳定</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行业风格漂移 ISDI</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跨行业弹性组频繁横跳反映缺乏稳定投资框架与追逐热点损耗（Chen &amp; Wei, 2025）</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L1 配置选择层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选股偏离</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改进主动份额 AS_improved</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持仓相对基准的主动偏离度高，体现主动选股意愿与创造 Alpha 潜力（Cremers &amp; Petajisto, 2009）</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风险态度</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风险偏好不对称 risk_asym</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盈利期敢于进攻、亏损期严格防守，展现情境适应力与止损纪律</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参考点偏误</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处置效应 de</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售盈持亏心理偏差（Shefrin &amp; Statman, 1985），过早止盈阻断涨幅、死扛亏损放大回撤</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参考点偏误</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高位锚定 anchor_high</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负向（实证为正）</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理论上锚定历史高价拒绝止损损害业绩；实证受 A 股右侧动量追随效应支撑呈现正向</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过度自信</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过度自信 oc_conf</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前期盈利后自负加码频繁交易，摩擦成本与决策失误侵蚀业绩（Gervais &amp; Odean, 2001）</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L2 认知偏差层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趋势外推</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追涨杀跌 rc_mom</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负向／不显著</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追逐近期短期暴涨股票容易买在情绪高点承担泡沫破裂风险（Greenwood &amp; Shleifer, 2014）</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过程应对</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调仓幅度 ARG</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定期报告披露外的主动调仓预示管理能力与短期定价错误捕捉（Kacperczyk et al., 2008）</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过程应对</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下行保护 timing</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大盘下行期主动收缩风险暴露（HM 跌市额外项取反），保本防守能力强（Henriksson &amp; Merton, 1981）</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过程应对</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收益波动率 volatility</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未经风险调整的过高总波动反映持仓博弈剧烈、风险敞口过大，损害长期复利</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过程应对</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风格稳定性 rsstab</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风格回归拟合度 R² 稳定，表明投资风格专一、载荷平稳，利于 Alpha 沉淀</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转化效率</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夏普比率 Sharpe</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单位总风险带来的超额回报，衡量基础风险调整收益能力（Sharpe, 1966）</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转化效率</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索提诺比率 Sortino</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区分上下行风险并专注于惩罚下行波动，衡量下行风险转化质量（Sortino &amp; Price, 1994）</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L3 风险应对层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转化效率</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MPPM测度</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显著正向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以幂效用严惩大额亏损，能有效穿透动态杠杆与极端尾部风险操纵（Goetzmann et al., 2007）</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L4 交易执行层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风格稳定性</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策略偏离指数 SDI</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显著负向</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风格回归隐含权重相邻季度剧烈晃动，净值风格漂移严重损害长期业绩（Wermers, 2012）</w:t>
            </w:r>
          </w:p>
        </w:tc>
      </w:tr>
      <w:tr>
        <w:tc>
          <w:tcPr>
            <w:tcW w:type="dxa" w:w="1512"/>
            <w:tcBorders>
              <w:top w:val="none"/>
              <w:bottom w:val="none"/>
              <w:left w:val="none"/>
              <w:right w:val="none"/>
            </w:tcBorders>
          </w:tcPr>
          <w:p>
            <w:pPr>
              <w:spacing w:before="40" w:after="40" w:line="252" w:lineRule="auto"/>
              <w:jc w:val="center"/>
            </w:pPr>
            <w:r>
              <w:rPr>
                <w:rFonts w:ascii="Times New Roman" w:hAnsi="Times New Roman" w:eastAsia="宋体"/>
                <w:b w:val="0"/>
                <w:sz w:val="18"/>
              </w:rPr>
              <w:t>L4 交易执行层</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交易互动</w:t>
            </w:r>
          </w:p>
        </w:tc>
        <w:tc>
          <w:tcPr>
            <w:tcW w:type="dxa" w:w="2376"/>
            <w:tcBorders>
              <w:top w:val="none"/>
              <w:bottom w:val="none"/>
              <w:left w:val="none"/>
              <w:right w:val="none"/>
            </w:tcBorders>
          </w:tcPr>
          <w:p>
            <w:pPr>
              <w:spacing w:before="40" w:after="40" w:line="252" w:lineRule="auto"/>
              <w:jc w:val="left"/>
            </w:pPr>
            <w:r>
              <w:rPr>
                <w:rFonts w:ascii="Times New Roman" w:hAnsi="Times New Roman" w:eastAsia="宋体"/>
                <w:b w:val="0"/>
                <w:sz w:val="18"/>
              </w:rPr>
              <w:t>交易趋同度 LSV</w:t>
            </w:r>
          </w:p>
        </w:tc>
        <w:tc>
          <w:tcPr>
            <w:tcW w:type="dxa" w:w="1368"/>
            <w:tcBorders>
              <w:top w:val="none"/>
              <w:bottom w:val="none"/>
              <w:left w:val="none"/>
              <w:right w:val="none"/>
            </w:tcBorders>
          </w:tcPr>
          <w:p>
            <w:pPr>
              <w:spacing w:before="40" w:after="40" w:line="252" w:lineRule="auto"/>
              <w:jc w:val="center"/>
            </w:pPr>
            <w:r>
              <w:rPr>
                <w:rFonts w:ascii="Times New Roman" w:hAnsi="Times New Roman" w:eastAsia="宋体"/>
                <w:b w:val="0"/>
                <w:sz w:val="18"/>
              </w:rPr>
              <w:t>负向（实证为正）</w:t>
            </w:r>
          </w:p>
        </w:tc>
        <w:tc>
          <w:tcPr>
            <w:tcW w:type="dxa" w:w="3024"/>
            <w:tcBorders>
              <w:top w:val="none"/>
              <w:bottom w:val="none"/>
              <w:left w:val="none"/>
              <w:right w:val="none"/>
            </w:tcBorders>
          </w:tcPr>
          <w:p>
            <w:pPr>
              <w:spacing w:before="40" w:after="40" w:line="252" w:lineRule="auto"/>
              <w:jc w:val="left"/>
            </w:pPr>
            <w:r>
              <w:rPr>
                <w:rFonts w:ascii="Times New Roman" w:hAnsi="Times New Roman" w:eastAsia="宋体"/>
                <w:b w:val="0"/>
                <w:sz w:val="18"/>
              </w:rPr>
              <w:t>经典理论认为羊群抱团损害定价效率；实证在 A 股机构共识驱动下展现出显著信息与流动性溢价</w:t>
            </w:r>
          </w:p>
        </w:tc>
      </w:tr>
      <w:tr>
        <w:tc>
          <w:tcPr>
            <w:tcW w:type="dxa" w:w="1512"/>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L4 交易执行层</w:t>
            </w:r>
          </w:p>
        </w:tc>
        <w:tc>
          <w:tcPr>
            <w:tcW w:type="dxa" w:w="1368"/>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交易执行</w:t>
            </w:r>
          </w:p>
        </w:tc>
        <w:tc>
          <w:tcPr>
            <w:tcW w:type="dxa" w:w="2376"/>
            <w:tcBorders>
              <w:top w:val="none"/>
              <w:bottom w:val="single" w:sz="12" w:space="0" w:color="000000"/>
              <w:left w:val="none"/>
              <w:right w:val="none"/>
            </w:tcBorders>
          </w:tcPr>
          <w:p>
            <w:pPr>
              <w:spacing w:before="40" w:after="40" w:line="252" w:lineRule="auto"/>
              <w:jc w:val="left"/>
            </w:pPr>
            <w:r>
              <w:rPr>
                <w:rFonts w:ascii="Times New Roman" w:hAnsi="Times New Roman" w:eastAsia="宋体"/>
                <w:b w:val="0"/>
                <w:sz w:val="18"/>
              </w:rPr>
              <w:t>换手率 turnover</w:t>
            </w:r>
          </w:p>
        </w:tc>
        <w:tc>
          <w:tcPr>
            <w:tcW w:type="dxa" w:w="1368"/>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负向</w:t>
            </w:r>
          </w:p>
        </w:tc>
        <w:tc>
          <w:tcPr>
            <w:tcW w:type="dxa" w:w="3024"/>
            <w:tcBorders>
              <w:top w:val="none"/>
              <w:bottom w:val="single" w:sz="12" w:space="0" w:color="000000"/>
              <w:left w:val="none"/>
              <w:right w:val="none"/>
            </w:tcBorders>
          </w:tcPr>
          <w:p>
            <w:pPr>
              <w:spacing w:before="40" w:after="40" w:line="252" w:lineRule="auto"/>
              <w:jc w:val="left"/>
            </w:pPr>
            <w:r>
              <w:rPr>
                <w:rFonts w:ascii="Times New Roman" w:hAnsi="Times New Roman" w:eastAsia="宋体"/>
                <w:b w:val="0"/>
                <w:sz w:val="18"/>
              </w:rPr>
              <w:t>过高换手率增加佣金税费与冲击成本，过度投机损耗组合长期收益</w:t>
            </w:r>
          </w:p>
        </w:tc>
      </w:tr>
    </w:tbl>
    <w:p w14:paraId="7FF7CD6B">
      <w:pPr>
        <w:spacing w:after="80" w:line="324" w:lineRule="auto"/>
        <w:ind w:firstLine="480"/>
        <w:rPr>
          <w:color w:val="auto"/>
          <w:highlight w:val="none"/>
        </w:rPr>
      </w:pPr>
      <w:r>
        <w:rPr>
          <w:color w:val="auto"/>
          <w:highlight w:val="none"/>
        </w:rP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不少于12个季度的362只基金构成横截面回归样本；2015、2018、2022三段下跌与2019–2021结构性上涨均在样本内，结论降低了单一行情依赖。</w:t>
      </w:r>
    </w:p>
    <w:p w14:paraId="33041DEC">
      <w:pPr>
        <w:keepNext/>
        <w:spacing w:before="60" w:after="2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0" w:after="0" w:line="240" w:lineRule="auto"/>
              <w:ind w:firstLine="0"/>
              <w:jc w:val="center"/>
            </w:pPr>
            <w:r>
              <w:rPr>
                <w:rFonts w:ascii="Times New Roman" w:hAnsi="Times New Roman" w:eastAsia="宋体"/>
                <w:b/>
                <w:i w:val="0"/>
                <w:sz w:val="18"/>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0" w:after="0" w:line="240" w:lineRule="auto"/>
              <w:ind w:firstLine="0"/>
              <w:jc w:val="center"/>
            </w:pPr>
            <w:r>
              <w:rPr>
                <w:rFonts w:ascii="Times New Roman" w:hAnsi="Times New Roman" w:eastAsia="宋体"/>
                <w:b/>
                <w:i w:val="0"/>
                <w:sz w:val="18"/>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0" w:after="0" w:line="240" w:lineRule="auto"/>
              <w:ind w:firstLine="0"/>
              <w:jc w:val="center"/>
            </w:pPr>
            <w:r>
              <w:rPr>
                <w:rFonts w:ascii="Times New Roman" w:hAnsi="Times New Roman" w:eastAsia="宋体"/>
                <w:b/>
                <w:i w:val="0"/>
                <w:sz w:val="18"/>
              </w:rPr>
              <w:t>平均规模</w:t>
            </w:r>
            <w:r>
              <w:rPr>
                <w:rFonts w:ascii="Times New Roman" w:hAnsi="Times New Roman" w:eastAsia="宋体"/>
                <w:b/>
                <w:i w:val="0"/>
                <w:sz w:val="18"/>
              </w:rPr>
              <w:br w:type="textWrapping"/>
            </w:r>
            <w:r>
              <w:rPr>
                <w:rFonts w:ascii="Times New Roman" w:hAnsi="Times New Roman" w:eastAsia="宋体"/>
                <w:b/>
                <w:i w:val="0"/>
                <w:sz w:val="18"/>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0" w:after="0" w:line="240" w:lineRule="auto"/>
              <w:ind w:firstLine="0"/>
              <w:jc w:val="center"/>
            </w:pPr>
            <w:r>
              <w:rPr>
                <w:rFonts w:ascii="Times New Roman" w:hAnsi="Times New Roman" w:eastAsia="宋体"/>
                <w:b/>
                <w:i w:val="0"/>
                <w:sz w:val="18"/>
              </w:rPr>
              <w:t>平均换手率</w:t>
            </w:r>
            <w:r>
              <w:rPr>
                <w:rFonts w:ascii="Times New Roman" w:hAnsi="Times New Roman" w:eastAsia="宋体"/>
                <w:b/>
                <w:i w:val="0"/>
                <w:sz w:val="18"/>
              </w:rPr>
              <w:br w:type="textWrapping"/>
            </w:r>
            <w:r>
              <w:rPr>
                <w:rFonts w:ascii="Times New Roman" w:hAnsi="Times New Roman" w:eastAsia="宋体"/>
                <w:b/>
                <w:i w:val="0"/>
                <w:sz w:val="18"/>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0" w:after="0" w:line="240" w:lineRule="auto"/>
              <w:ind w:firstLine="0"/>
              <w:jc w:val="center"/>
            </w:pPr>
            <w:r>
              <w:rPr>
                <w:rFonts w:ascii="Times New Roman" w:hAnsi="Times New Roman" w:eastAsia="宋体"/>
                <w:b/>
                <w:i w:val="0"/>
                <w:sz w:val="18"/>
              </w:rPr>
              <w:t>平均季度收益</w:t>
            </w:r>
            <w:r>
              <w:rPr>
                <w:rFonts w:ascii="Times New Roman" w:hAnsi="Times New Roman" w:eastAsia="宋体"/>
                <w:b/>
                <w:i w:val="0"/>
                <w:sz w:val="18"/>
              </w:rPr>
              <w:br w:type="textWrapping"/>
            </w:r>
            <w:r>
              <w:rPr>
                <w:rFonts w:ascii="Times New Roman" w:hAnsi="Times New Roman" w:eastAsia="宋体"/>
                <w:b/>
                <w:i w:val="0"/>
                <w:sz w:val="18"/>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0" w:after="0" w:line="240" w:lineRule="auto"/>
              <w:ind w:firstLine="0"/>
              <w:jc w:val="center"/>
            </w:pPr>
            <w:r>
              <w:rPr>
                <w:rFonts w:ascii="Times New Roman" w:hAnsi="Times New Roman" w:eastAsia="宋体"/>
                <w:b/>
                <w:i w:val="0"/>
                <w:sz w:val="18"/>
              </w:rPr>
              <w:t>平均超额收益</w:t>
            </w:r>
            <w:r>
              <w:rPr>
                <w:rFonts w:ascii="Times New Roman" w:hAnsi="Times New Roman" w:eastAsia="宋体"/>
                <w:b/>
                <w:i w:val="0"/>
                <w:sz w:val="18"/>
              </w:rPr>
              <w:br w:type="textWrapping"/>
            </w:r>
            <w:r>
              <w:rPr>
                <w:rFonts w:ascii="Times New Roman" w:hAnsi="Times New Roman" w:eastAsia="宋体"/>
                <w:b/>
                <w:i w:val="0"/>
                <w:sz w:val="18"/>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0" w:after="0" w:line="240" w:lineRule="auto"/>
              <w:ind w:firstLine="0"/>
              <w:jc w:val="center"/>
            </w:pPr>
            <w:r>
              <w:rPr>
                <w:rFonts w:ascii="Times New Roman" w:hAnsi="Times New Roman" w:eastAsia="宋体"/>
                <w:b w:val="0"/>
                <w:i w:val="0"/>
                <w:sz w:val="18"/>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0" w:after="0" w:line="240" w:lineRule="auto"/>
              <w:ind w:firstLine="0"/>
              <w:jc w:val="center"/>
            </w:pPr>
            <w:r>
              <w:rPr>
                <w:rFonts w:ascii="Times New Roman" w:hAnsi="Times New Roman" w:eastAsia="宋体"/>
                <w:b w:val="0"/>
                <w:i w:val="0"/>
                <w:sz w:val="18"/>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0" w:after="0" w:line="240" w:lineRule="auto"/>
              <w:ind w:firstLine="0"/>
              <w:jc w:val="center"/>
            </w:pPr>
            <w:r>
              <w:rPr>
                <w:rFonts w:ascii="Times New Roman" w:hAnsi="Times New Roman" w:eastAsia="宋体"/>
                <w:b w:val="0"/>
                <w:i w:val="0"/>
                <w:sz w:val="18"/>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0" w:after="0" w:line="240" w:lineRule="auto"/>
              <w:ind w:firstLine="0"/>
              <w:jc w:val="center"/>
            </w:pPr>
            <w:r>
              <w:rPr>
                <w:rFonts w:ascii="Times New Roman" w:hAnsi="Times New Roman" w:eastAsia="宋体"/>
                <w:b w:val="0"/>
                <w:i w:val="0"/>
                <w:sz w:val="18"/>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0" w:after="0" w:line="240" w:lineRule="auto"/>
              <w:ind w:firstLine="0"/>
              <w:jc w:val="center"/>
            </w:pPr>
            <w:r>
              <w:rPr>
                <w:rFonts w:ascii="Times New Roman" w:hAnsi="Times New Roman" w:eastAsia="宋体"/>
                <w:b w:val="0"/>
                <w:i w:val="0"/>
                <w:sz w:val="18"/>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0" w:after="0" w:line="240" w:lineRule="auto"/>
              <w:ind w:firstLine="0"/>
              <w:jc w:val="center"/>
            </w:pPr>
            <w:r>
              <w:rPr>
                <w:rFonts w:ascii="Times New Roman" w:hAnsi="Times New Roman" w:eastAsia="宋体"/>
                <w:b w:val="0"/>
                <w:i w:val="0"/>
                <w:sz w:val="18"/>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0" w:after="0" w:line="240" w:lineRule="auto"/>
              <w:ind w:firstLine="0"/>
              <w:jc w:val="center"/>
            </w:pPr>
            <w:r>
              <w:rPr>
                <w:rFonts w:ascii="Times New Roman" w:hAnsi="Times New Roman" w:eastAsia="宋体"/>
                <w:b w:val="0"/>
                <w:i w:val="0"/>
                <w:sz w:val="18"/>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0" w:after="0" w:line="240" w:lineRule="auto"/>
              <w:ind w:firstLine="0"/>
              <w:jc w:val="center"/>
            </w:pPr>
            <w:r>
              <w:rPr>
                <w:rFonts w:ascii="Times New Roman" w:hAnsi="Times New Roman" w:eastAsia="宋体"/>
                <w:b w:val="0"/>
                <w:i w:val="0"/>
                <w:sz w:val="18"/>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0" w:after="0" w:line="240" w:lineRule="auto"/>
              <w:ind w:firstLine="0"/>
              <w:jc w:val="center"/>
            </w:pPr>
            <w:r>
              <w:rPr>
                <w:rFonts w:ascii="Times New Roman" w:hAnsi="Times New Roman" w:eastAsia="宋体"/>
                <w:b w:val="0"/>
                <w:i w:val="0"/>
                <w:sz w:val="18"/>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0" w:after="0" w:line="240" w:lineRule="auto"/>
              <w:ind w:firstLine="0"/>
              <w:jc w:val="center"/>
            </w:pPr>
            <w:r>
              <w:rPr>
                <w:rFonts w:ascii="Times New Roman" w:hAnsi="Times New Roman" w:eastAsia="宋体"/>
                <w:b w:val="0"/>
                <w:i w:val="0"/>
                <w:sz w:val="18"/>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0" w:after="0" w:line="240" w:lineRule="auto"/>
              <w:ind w:firstLine="0"/>
              <w:jc w:val="center"/>
            </w:pPr>
            <w:r>
              <w:rPr>
                <w:rFonts w:ascii="Times New Roman" w:hAnsi="Times New Roman" w:eastAsia="宋体"/>
                <w:b w:val="0"/>
                <w:i w:val="0"/>
                <w:sz w:val="18"/>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0" w:after="0" w:line="240" w:lineRule="auto"/>
              <w:ind w:firstLine="0"/>
              <w:jc w:val="center"/>
            </w:pPr>
            <w:r>
              <w:rPr>
                <w:rFonts w:ascii="Times New Roman" w:hAnsi="Times New Roman" w:eastAsia="宋体"/>
                <w:b w:val="0"/>
                <w:i w:val="0"/>
                <w:sz w:val="18"/>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0" w:after="0" w:line="240" w:lineRule="auto"/>
              <w:ind w:firstLine="0"/>
              <w:jc w:val="center"/>
            </w:pPr>
            <w:r>
              <w:rPr>
                <w:rFonts w:ascii="Times New Roman" w:hAnsi="Times New Roman" w:eastAsia="宋体"/>
                <w:b w:val="0"/>
                <w:i w:val="0"/>
                <w:sz w:val="18"/>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0" w:after="0" w:line="240" w:lineRule="auto"/>
              <w:ind w:firstLine="0"/>
              <w:jc w:val="center"/>
            </w:pPr>
            <w:r>
              <w:rPr>
                <w:rFonts w:ascii="Times New Roman" w:hAnsi="Times New Roman" w:eastAsia="宋体"/>
                <w:b w:val="0"/>
                <w:i w:val="0"/>
                <w:sz w:val="18"/>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0" w:after="0" w:line="240" w:lineRule="auto"/>
              <w:ind w:firstLine="0"/>
              <w:jc w:val="center"/>
            </w:pPr>
            <w:r>
              <w:rPr>
                <w:rFonts w:ascii="Times New Roman" w:hAnsi="Times New Roman" w:eastAsia="宋体"/>
                <w:b w:val="0"/>
                <w:i w:val="0"/>
                <w:sz w:val="18"/>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0" w:after="0" w:line="240" w:lineRule="auto"/>
              <w:ind w:firstLine="0"/>
              <w:jc w:val="center"/>
            </w:pPr>
            <w:r>
              <w:rPr>
                <w:rFonts w:ascii="Times New Roman" w:hAnsi="Times New Roman" w:eastAsia="宋体"/>
                <w:b w:val="0"/>
                <w:i w:val="0"/>
                <w:sz w:val="18"/>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0" w:after="0" w:line="240" w:lineRule="auto"/>
              <w:ind w:firstLine="0"/>
              <w:jc w:val="center"/>
            </w:pPr>
            <w:r>
              <w:rPr>
                <w:rFonts w:ascii="Times New Roman" w:hAnsi="Times New Roman" w:eastAsia="宋体"/>
                <w:b w:val="0"/>
                <w:i w:val="0"/>
                <w:sz w:val="18"/>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0" w:after="0" w:line="240" w:lineRule="auto"/>
              <w:ind w:firstLine="0"/>
              <w:jc w:val="center"/>
            </w:pPr>
            <w:r>
              <w:rPr>
                <w:rFonts w:ascii="Times New Roman" w:hAnsi="Times New Roman" w:eastAsia="宋体"/>
                <w:b w:val="0"/>
                <w:i w:val="0"/>
                <w:sz w:val="18"/>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0" w:after="0" w:line="240" w:lineRule="auto"/>
              <w:ind w:firstLine="0"/>
              <w:jc w:val="center"/>
            </w:pPr>
            <w:r>
              <w:rPr>
                <w:rFonts w:ascii="Times New Roman" w:hAnsi="Times New Roman" w:eastAsia="宋体"/>
                <w:b w:val="0"/>
                <w:i w:val="0"/>
                <w:sz w:val="18"/>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0" w:after="0" w:line="240" w:lineRule="auto"/>
              <w:ind w:firstLine="0"/>
              <w:jc w:val="center"/>
            </w:pPr>
            <w:r>
              <w:rPr>
                <w:rFonts w:ascii="Times New Roman" w:hAnsi="Times New Roman" w:eastAsia="宋体"/>
                <w:b w:val="0"/>
                <w:i w:val="0"/>
                <w:sz w:val="18"/>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0" w:after="0" w:line="240" w:lineRule="auto"/>
              <w:ind w:firstLine="0"/>
              <w:jc w:val="center"/>
            </w:pPr>
            <w:r>
              <w:rPr>
                <w:rFonts w:ascii="Times New Roman" w:hAnsi="Times New Roman" w:eastAsia="宋体"/>
                <w:b w:val="0"/>
                <w:i w:val="0"/>
                <w:sz w:val="18"/>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0" w:after="0" w:line="240" w:lineRule="auto"/>
              <w:ind w:firstLine="0"/>
              <w:jc w:val="center"/>
            </w:pPr>
            <w:r>
              <w:rPr>
                <w:rFonts w:ascii="Times New Roman" w:hAnsi="Times New Roman" w:eastAsia="宋体"/>
                <w:b w:val="0"/>
                <w:i w:val="0"/>
                <w:sz w:val="18"/>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0" w:after="0" w:line="240" w:lineRule="auto"/>
              <w:ind w:firstLine="0"/>
              <w:jc w:val="center"/>
            </w:pPr>
            <w:r>
              <w:rPr>
                <w:rFonts w:ascii="Times New Roman" w:hAnsi="Times New Roman" w:eastAsia="宋体"/>
                <w:b w:val="0"/>
                <w:i w:val="0"/>
                <w:sz w:val="18"/>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0" w:after="0" w:line="240" w:lineRule="auto"/>
              <w:ind w:firstLine="0"/>
              <w:jc w:val="center"/>
            </w:pPr>
            <w:r>
              <w:rPr>
                <w:rFonts w:ascii="Times New Roman" w:hAnsi="Times New Roman" w:eastAsia="宋体"/>
                <w:b w:val="0"/>
                <w:i w:val="0"/>
                <w:sz w:val="18"/>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0" w:after="0" w:line="240" w:lineRule="auto"/>
              <w:ind w:firstLine="0"/>
              <w:jc w:val="center"/>
            </w:pPr>
            <w:r>
              <w:rPr>
                <w:rFonts w:ascii="Times New Roman" w:hAnsi="Times New Roman" w:eastAsia="宋体"/>
                <w:b w:val="0"/>
                <w:i w:val="0"/>
                <w:sz w:val="18"/>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0" w:after="0" w:line="240" w:lineRule="auto"/>
              <w:ind w:firstLine="0"/>
              <w:jc w:val="center"/>
            </w:pPr>
            <w:r>
              <w:rPr>
                <w:rFonts w:ascii="Times New Roman" w:hAnsi="Times New Roman" w:eastAsia="宋体"/>
                <w:b w:val="0"/>
                <w:i w:val="0"/>
                <w:sz w:val="18"/>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0" w:after="0" w:line="240" w:lineRule="auto"/>
              <w:ind w:firstLine="0"/>
              <w:jc w:val="center"/>
            </w:pPr>
            <w:r>
              <w:rPr>
                <w:rFonts w:ascii="Times New Roman" w:hAnsi="Times New Roman" w:eastAsia="宋体"/>
                <w:b w:val="0"/>
                <w:i w:val="0"/>
                <w:sz w:val="18"/>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0" w:after="0" w:line="240" w:lineRule="auto"/>
              <w:ind w:firstLine="0"/>
              <w:jc w:val="center"/>
            </w:pPr>
            <w:r>
              <w:rPr>
                <w:rFonts w:ascii="Times New Roman" w:hAnsi="Times New Roman" w:eastAsia="宋体"/>
                <w:b w:val="0"/>
                <w:i w:val="0"/>
                <w:sz w:val="18"/>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0" w:after="0" w:line="240" w:lineRule="auto"/>
              <w:ind w:firstLine="0"/>
              <w:jc w:val="center"/>
            </w:pPr>
            <w:r>
              <w:rPr>
                <w:rFonts w:ascii="Times New Roman" w:hAnsi="Times New Roman" w:eastAsia="宋体"/>
                <w:b w:val="0"/>
                <w:i w:val="0"/>
                <w:sz w:val="18"/>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0" w:after="0" w:line="240" w:lineRule="auto"/>
              <w:ind w:firstLine="0"/>
              <w:jc w:val="center"/>
            </w:pPr>
            <w:r>
              <w:rPr>
                <w:rFonts w:ascii="Times New Roman" w:hAnsi="Times New Roman" w:eastAsia="宋体"/>
                <w:b w:val="0"/>
                <w:i w:val="0"/>
                <w:sz w:val="18"/>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0" w:after="0" w:line="240" w:lineRule="auto"/>
              <w:ind w:firstLine="0"/>
              <w:jc w:val="center"/>
            </w:pPr>
            <w:r>
              <w:rPr>
                <w:rFonts w:ascii="Times New Roman" w:hAnsi="Times New Roman" w:eastAsia="宋体"/>
                <w:b w:val="0"/>
                <w:i w:val="0"/>
                <w:sz w:val="18"/>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0" w:after="0" w:line="240" w:lineRule="auto"/>
              <w:ind w:firstLine="0"/>
              <w:jc w:val="center"/>
            </w:pPr>
            <w:r>
              <w:rPr>
                <w:rFonts w:ascii="Times New Roman" w:hAnsi="Times New Roman" w:eastAsia="宋体"/>
                <w:b w:val="0"/>
                <w:i w:val="0"/>
                <w:sz w:val="18"/>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0" w:after="0" w:line="240" w:lineRule="auto"/>
              <w:ind w:firstLine="0"/>
              <w:jc w:val="center"/>
            </w:pPr>
            <w:r>
              <w:rPr>
                <w:rFonts w:ascii="Times New Roman" w:hAnsi="Times New Roman" w:eastAsia="宋体"/>
                <w:b w:val="0"/>
                <w:i w:val="0"/>
                <w:sz w:val="18"/>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0" w:after="0" w:line="240" w:lineRule="auto"/>
              <w:ind w:firstLine="0"/>
              <w:jc w:val="center"/>
            </w:pPr>
            <w:r>
              <w:rPr>
                <w:rFonts w:ascii="Times New Roman" w:hAnsi="Times New Roman" w:eastAsia="宋体"/>
                <w:b w:val="0"/>
                <w:i w:val="0"/>
                <w:sz w:val="18"/>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0" w:after="0" w:line="240" w:lineRule="auto"/>
              <w:ind w:firstLine="0"/>
              <w:jc w:val="center"/>
            </w:pPr>
            <w:r>
              <w:rPr>
                <w:rFonts w:ascii="Times New Roman" w:hAnsi="Times New Roman" w:eastAsia="宋体"/>
                <w:b w:val="0"/>
                <w:i w:val="0"/>
                <w:sz w:val="18"/>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0" w:after="0" w:line="240" w:lineRule="auto"/>
              <w:ind w:firstLine="0"/>
              <w:jc w:val="center"/>
            </w:pPr>
            <w:r>
              <w:rPr>
                <w:rFonts w:ascii="Times New Roman" w:hAnsi="Times New Roman" w:eastAsia="宋体"/>
                <w:b w:val="0"/>
                <w:i w:val="0"/>
                <w:sz w:val="18"/>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0" w:after="0" w:line="240" w:lineRule="auto"/>
              <w:ind w:firstLine="0"/>
              <w:jc w:val="center"/>
            </w:pPr>
            <w:r>
              <w:rPr>
                <w:rFonts w:ascii="Times New Roman" w:hAnsi="Times New Roman" w:eastAsia="宋体"/>
                <w:b w:val="0"/>
                <w:i w:val="0"/>
                <w:sz w:val="18"/>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0" w:after="0" w:line="240" w:lineRule="auto"/>
              <w:ind w:firstLine="0"/>
              <w:jc w:val="center"/>
            </w:pPr>
            <w:r>
              <w:rPr>
                <w:rFonts w:ascii="Times New Roman" w:hAnsi="Times New Roman" w:eastAsia="宋体"/>
                <w:b w:val="0"/>
                <w:i w:val="0"/>
                <w:sz w:val="18"/>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0" w:after="0" w:line="240" w:lineRule="auto"/>
              <w:ind w:firstLine="0"/>
              <w:jc w:val="center"/>
            </w:pPr>
            <w:r>
              <w:rPr>
                <w:rFonts w:ascii="Times New Roman" w:hAnsi="Times New Roman" w:eastAsia="宋体"/>
                <w:b w:val="0"/>
                <w:i w:val="0"/>
                <w:sz w:val="18"/>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0" w:after="0" w:line="240" w:lineRule="auto"/>
              <w:ind w:firstLine="0"/>
              <w:jc w:val="center"/>
            </w:pPr>
            <w:r>
              <w:rPr>
                <w:rFonts w:ascii="Times New Roman" w:hAnsi="Times New Roman" w:eastAsia="宋体"/>
                <w:b w:val="0"/>
                <w:i w:val="0"/>
                <w:sz w:val="18"/>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0" w:after="0" w:line="240" w:lineRule="auto"/>
              <w:ind w:firstLine="0"/>
              <w:jc w:val="center"/>
            </w:pPr>
            <w:r>
              <w:rPr>
                <w:rFonts w:ascii="Times New Roman" w:hAnsi="Times New Roman" w:eastAsia="宋体"/>
                <w:b w:val="0"/>
                <w:i w:val="0"/>
                <w:sz w:val="18"/>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0" w:after="0" w:line="240" w:lineRule="auto"/>
              <w:ind w:firstLine="0"/>
              <w:jc w:val="center"/>
            </w:pPr>
            <w:r>
              <w:rPr>
                <w:rFonts w:ascii="Times New Roman" w:hAnsi="Times New Roman" w:eastAsia="宋体"/>
                <w:b w:val="0"/>
                <w:i w:val="0"/>
                <w:sz w:val="18"/>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0" w:after="0" w:line="240" w:lineRule="auto"/>
              <w:ind w:firstLine="0"/>
              <w:jc w:val="center"/>
            </w:pPr>
            <w:r>
              <w:rPr>
                <w:rFonts w:ascii="Times New Roman" w:hAnsi="Times New Roman" w:eastAsia="宋体"/>
                <w:b w:val="0"/>
                <w:i w:val="0"/>
                <w:sz w:val="18"/>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0" w:after="0" w:line="240" w:lineRule="auto"/>
              <w:ind w:firstLine="0"/>
              <w:jc w:val="center"/>
            </w:pPr>
            <w:r>
              <w:rPr>
                <w:rFonts w:ascii="Times New Roman" w:hAnsi="Times New Roman" w:eastAsia="宋体"/>
                <w:b w:val="0"/>
                <w:i w:val="0"/>
                <w:sz w:val="18"/>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0" w:after="0" w:line="240" w:lineRule="auto"/>
              <w:ind w:firstLine="0"/>
              <w:jc w:val="center"/>
            </w:pPr>
            <w:r>
              <w:rPr>
                <w:rFonts w:ascii="Times New Roman" w:hAnsi="Times New Roman" w:eastAsia="宋体"/>
                <w:b w:val="0"/>
                <w:i w:val="0"/>
                <w:sz w:val="18"/>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0" w:after="0" w:line="240" w:lineRule="auto"/>
              <w:ind w:firstLine="0"/>
              <w:jc w:val="center"/>
            </w:pPr>
            <w:r>
              <w:rPr>
                <w:rFonts w:ascii="Times New Roman" w:hAnsi="Times New Roman" w:eastAsia="宋体"/>
                <w:b w:val="0"/>
                <w:i w:val="0"/>
                <w:sz w:val="18"/>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0" w:after="0" w:line="240" w:lineRule="auto"/>
              <w:ind w:firstLine="0"/>
              <w:jc w:val="center"/>
            </w:pPr>
            <w:r>
              <w:rPr>
                <w:rFonts w:ascii="Times New Roman" w:hAnsi="Times New Roman" w:eastAsia="宋体"/>
                <w:b w:val="0"/>
                <w:i w:val="0"/>
                <w:sz w:val="18"/>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0" w:after="0" w:line="240" w:lineRule="auto"/>
              <w:ind w:firstLine="0"/>
              <w:jc w:val="center"/>
            </w:pPr>
            <w:r>
              <w:rPr>
                <w:rFonts w:ascii="Times New Roman" w:hAnsi="Times New Roman" w:eastAsia="宋体"/>
                <w:b w:val="0"/>
                <w:i w:val="0"/>
                <w:sz w:val="18"/>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0" w:after="0" w:line="240" w:lineRule="auto"/>
              <w:ind w:firstLine="0"/>
              <w:jc w:val="center"/>
            </w:pPr>
            <w:r>
              <w:rPr>
                <w:rFonts w:ascii="Times New Roman" w:hAnsi="Times New Roman" w:eastAsia="宋体"/>
                <w:b w:val="0"/>
                <w:i w:val="0"/>
                <w:sz w:val="18"/>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0" w:after="0" w:line="240" w:lineRule="auto"/>
              <w:ind w:firstLine="0"/>
              <w:jc w:val="center"/>
            </w:pPr>
            <w:r>
              <w:rPr>
                <w:rFonts w:ascii="Times New Roman" w:hAnsi="Times New Roman" w:eastAsia="宋体"/>
                <w:b w:val="0"/>
                <w:i w:val="0"/>
                <w:sz w:val="18"/>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0" w:after="0" w:line="240" w:lineRule="auto"/>
              <w:ind w:firstLine="0"/>
              <w:jc w:val="center"/>
            </w:pPr>
            <w:r>
              <w:rPr>
                <w:rFonts w:ascii="Times New Roman" w:hAnsi="Times New Roman" w:eastAsia="宋体"/>
                <w:b w:val="0"/>
                <w:i w:val="0"/>
                <w:sz w:val="18"/>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0" w:after="0" w:line="240" w:lineRule="auto"/>
              <w:ind w:firstLine="0"/>
              <w:jc w:val="center"/>
            </w:pPr>
            <w:r>
              <w:rPr>
                <w:rFonts w:ascii="Times New Roman" w:hAnsi="Times New Roman" w:eastAsia="宋体"/>
                <w:b w:val="0"/>
                <w:i w:val="0"/>
                <w:sz w:val="18"/>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0" w:after="0" w:line="240" w:lineRule="auto"/>
              <w:ind w:firstLine="0"/>
              <w:jc w:val="center"/>
            </w:pPr>
            <w:r>
              <w:rPr>
                <w:rFonts w:ascii="Times New Roman" w:hAnsi="Times New Roman" w:eastAsia="宋体"/>
                <w:b w:val="0"/>
                <w:i w:val="0"/>
                <w:sz w:val="18"/>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0" w:after="0" w:line="240" w:lineRule="auto"/>
              <w:ind w:firstLine="0"/>
              <w:jc w:val="center"/>
            </w:pPr>
            <w:r>
              <w:rPr>
                <w:rFonts w:ascii="Times New Roman" w:hAnsi="Times New Roman" w:eastAsia="宋体"/>
                <w:b w:val="0"/>
                <w:i w:val="0"/>
                <w:sz w:val="18"/>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0" w:after="0" w:line="240" w:lineRule="auto"/>
              <w:ind w:firstLine="0"/>
              <w:jc w:val="center"/>
            </w:pPr>
            <w:r>
              <w:rPr>
                <w:rFonts w:ascii="Times New Roman" w:hAnsi="Times New Roman" w:eastAsia="宋体"/>
                <w:b w:val="0"/>
                <w:i w:val="0"/>
                <w:sz w:val="18"/>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0" w:after="0" w:line="240" w:lineRule="auto"/>
              <w:ind w:firstLine="0"/>
              <w:jc w:val="center"/>
            </w:pPr>
            <w:r>
              <w:rPr>
                <w:rFonts w:ascii="Times New Roman" w:hAnsi="Times New Roman" w:eastAsia="宋体"/>
                <w:b w:val="0"/>
                <w:i w:val="0"/>
                <w:sz w:val="18"/>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0" w:after="0" w:line="240" w:lineRule="auto"/>
              <w:ind w:firstLine="0"/>
              <w:jc w:val="center"/>
            </w:pPr>
            <w:r>
              <w:rPr>
                <w:rFonts w:ascii="Times New Roman" w:hAnsi="Times New Roman" w:eastAsia="宋体"/>
                <w:b w:val="0"/>
                <w:i w:val="0"/>
                <w:sz w:val="18"/>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0" w:after="0" w:line="240" w:lineRule="auto"/>
              <w:ind w:firstLine="0"/>
              <w:jc w:val="center"/>
            </w:pPr>
            <w:r>
              <w:rPr>
                <w:rFonts w:ascii="Times New Roman" w:hAnsi="Times New Roman" w:eastAsia="宋体"/>
                <w:b w:val="0"/>
                <w:i w:val="0"/>
                <w:sz w:val="18"/>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0" w:after="0" w:line="240" w:lineRule="auto"/>
              <w:ind w:firstLine="0"/>
              <w:jc w:val="center"/>
            </w:pPr>
            <w:r>
              <w:rPr>
                <w:rFonts w:ascii="Times New Roman" w:hAnsi="Times New Roman" w:eastAsia="宋体"/>
                <w:b w:val="0"/>
                <w:i w:val="0"/>
                <w:sz w:val="18"/>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0" w:after="0" w:line="240" w:lineRule="auto"/>
              <w:ind w:firstLine="0"/>
              <w:jc w:val="center"/>
            </w:pPr>
            <w:r>
              <w:rPr>
                <w:rFonts w:ascii="Times New Roman" w:hAnsi="Times New Roman" w:eastAsia="宋体"/>
                <w:b w:val="0"/>
                <w:i w:val="0"/>
                <w:sz w:val="18"/>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0" w:after="0" w:line="240" w:lineRule="auto"/>
              <w:ind w:firstLine="0"/>
              <w:jc w:val="center"/>
            </w:pPr>
            <w:r>
              <w:rPr>
                <w:rFonts w:ascii="Times New Roman" w:hAnsi="Times New Roman" w:eastAsia="宋体"/>
                <w:b w:val="0"/>
                <w:i w:val="0"/>
                <w:sz w:val="18"/>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0" w:after="0" w:line="240" w:lineRule="auto"/>
              <w:ind w:firstLine="0"/>
              <w:jc w:val="center"/>
            </w:pPr>
            <w:r>
              <w:rPr>
                <w:rFonts w:ascii="Times New Roman" w:hAnsi="Times New Roman" w:eastAsia="宋体"/>
                <w:b w:val="0"/>
                <w:i w:val="0"/>
                <w:sz w:val="18"/>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0" w:after="0" w:line="240" w:lineRule="auto"/>
              <w:ind w:firstLine="0"/>
              <w:jc w:val="center"/>
            </w:pPr>
            <w:r>
              <w:rPr>
                <w:rFonts w:ascii="Times New Roman" w:hAnsi="Times New Roman" w:eastAsia="宋体"/>
                <w:b w:val="0"/>
                <w:i w:val="0"/>
                <w:sz w:val="18"/>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0" w:after="0" w:line="240" w:lineRule="auto"/>
              <w:ind w:firstLine="0"/>
              <w:jc w:val="center"/>
            </w:pPr>
            <w:r>
              <w:rPr>
                <w:rFonts w:ascii="Times New Roman" w:hAnsi="Times New Roman" w:eastAsia="宋体"/>
                <w:b w:val="0"/>
                <w:i w:val="0"/>
                <w:sz w:val="18"/>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0" w:after="0" w:line="240" w:lineRule="auto"/>
              <w:ind w:firstLine="0"/>
              <w:jc w:val="center"/>
            </w:pPr>
            <w:r>
              <w:rPr>
                <w:rFonts w:ascii="Times New Roman" w:hAnsi="Times New Roman" w:eastAsia="宋体"/>
                <w:b w:val="0"/>
                <w:i w:val="0"/>
                <w:sz w:val="18"/>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0" w:after="0" w:line="240" w:lineRule="auto"/>
              <w:ind w:firstLine="0"/>
              <w:jc w:val="center"/>
            </w:pPr>
            <w:r>
              <w:rPr>
                <w:rFonts w:ascii="Times New Roman" w:hAnsi="Times New Roman" w:eastAsia="宋体"/>
                <w:b w:val="0"/>
                <w:i w:val="0"/>
                <w:sz w:val="18"/>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0" w:after="0" w:line="240" w:lineRule="auto"/>
              <w:ind w:firstLine="0"/>
              <w:jc w:val="center"/>
            </w:pPr>
            <w:r>
              <w:rPr>
                <w:rFonts w:ascii="Times New Roman" w:hAnsi="Times New Roman" w:eastAsia="宋体"/>
                <w:b w:val="0"/>
                <w:i w:val="0"/>
                <w:sz w:val="18"/>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0" w:after="0" w:line="240" w:lineRule="auto"/>
              <w:ind w:firstLine="0"/>
              <w:jc w:val="center"/>
            </w:pPr>
            <w:r>
              <w:rPr>
                <w:rFonts w:ascii="Times New Roman" w:hAnsi="Times New Roman" w:eastAsia="宋体"/>
                <w:b w:val="0"/>
                <w:i w:val="0"/>
                <w:sz w:val="18"/>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0" w:after="0" w:line="240" w:lineRule="auto"/>
              <w:ind w:firstLine="0"/>
              <w:jc w:val="center"/>
            </w:pPr>
            <w:r>
              <w:rPr>
                <w:rFonts w:ascii="Times New Roman" w:hAnsi="Times New Roman" w:eastAsia="宋体"/>
                <w:b w:val="0"/>
                <w:i w:val="0"/>
                <w:sz w:val="18"/>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0" w:after="0" w:line="240" w:lineRule="auto"/>
              <w:ind w:firstLine="0"/>
              <w:jc w:val="center"/>
            </w:pPr>
            <w:r>
              <w:rPr>
                <w:rFonts w:ascii="Times New Roman" w:hAnsi="Times New Roman" w:eastAsia="宋体"/>
                <w:b w:val="0"/>
                <w:i w:val="0"/>
                <w:sz w:val="18"/>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0" w:after="0" w:line="240" w:lineRule="auto"/>
              <w:ind w:firstLine="0"/>
              <w:jc w:val="center"/>
            </w:pPr>
            <w:r>
              <w:rPr>
                <w:rFonts w:ascii="Times New Roman" w:hAnsi="Times New Roman" w:eastAsia="宋体"/>
                <w:b w:val="0"/>
                <w:i w:val="0"/>
                <w:sz w:val="18"/>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0" w:after="0" w:line="240" w:lineRule="auto"/>
              <w:ind w:firstLine="0"/>
              <w:jc w:val="center"/>
            </w:pPr>
            <w:r>
              <w:rPr>
                <w:rFonts w:ascii="Times New Roman" w:hAnsi="Times New Roman" w:eastAsia="宋体"/>
                <w:b w:val="0"/>
                <w:i w:val="0"/>
                <w:sz w:val="18"/>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0" w:after="0" w:line="240" w:lineRule="auto"/>
              <w:ind w:firstLine="0"/>
              <w:jc w:val="center"/>
            </w:pPr>
            <w:r>
              <w:rPr>
                <w:rFonts w:ascii="Times New Roman" w:hAnsi="Times New Roman" w:eastAsia="宋体"/>
                <w:b w:val="0"/>
                <w:i w:val="0"/>
                <w:sz w:val="18"/>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0" w:after="0" w:line="240" w:lineRule="auto"/>
              <w:ind w:firstLine="0"/>
              <w:jc w:val="center"/>
            </w:pPr>
            <w:r>
              <w:rPr>
                <w:rFonts w:ascii="Times New Roman" w:hAnsi="Times New Roman" w:eastAsia="宋体"/>
                <w:b w:val="0"/>
                <w:i w:val="0"/>
                <w:sz w:val="18"/>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0" w:after="0" w:line="240" w:lineRule="auto"/>
              <w:ind w:firstLine="0"/>
              <w:jc w:val="center"/>
            </w:pPr>
            <w:r>
              <w:rPr>
                <w:rFonts w:ascii="Times New Roman" w:hAnsi="Times New Roman" w:eastAsia="宋体"/>
                <w:b w:val="0"/>
                <w:i w:val="0"/>
                <w:sz w:val="18"/>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0" w:after="0" w:line="240" w:lineRule="auto"/>
              <w:ind w:firstLine="0"/>
              <w:jc w:val="center"/>
            </w:pPr>
            <w:r>
              <w:rPr>
                <w:rFonts w:ascii="Times New Roman" w:hAnsi="Times New Roman" w:eastAsia="宋体"/>
                <w:b w:val="0"/>
                <w:i w:val="0"/>
                <w:sz w:val="18"/>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0" w:after="0" w:line="240" w:lineRule="auto"/>
              <w:ind w:firstLine="0"/>
              <w:jc w:val="center"/>
            </w:pPr>
            <w:r>
              <w:rPr>
                <w:rFonts w:ascii="Times New Roman" w:hAnsi="Times New Roman" w:eastAsia="宋体"/>
                <w:b w:val="0"/>
                <w:i w:val="0"/>
                <w:sz w:val="18"/>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0" w:after="0" w:line="240" w:lineRule="auto"/>
              <w:ind w:firstLine="0"/>
              <w:jc w:val="center"/>
            </w:pPr>
            <w:r>
              <w:rPr>
                <w:rFonts w:ascii="Times New Roman" w:hAnsi="Times New Roman" w:eastAsia="宋体"/>
                <w:b w:val="0"/>
                <w:i w:val="0"/>
                <w:sz w:val="18"/>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0" w:after="0" w:line="240" w:lineRule="auto"/>
              <w:ind w:firstLine="0"/>
              <w:jc w:val="center"/>
            </w:pPr>
            <w:r>
              <w:rPr>
                <w:rFonts w:ascii="Times New Roman" w:hAnsi="Times New Roman" w:eastAsia="宋体"/>
                <w:b w:val="0"/>
                <w:i w:val="0"/>
                <w:sz w:val="18"/>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0" w:after="0" w:line="240" w:lineRule="auto"/>
              <w:ind w:firstLine="0"/>
              <w:jc w:val="center"/>
            </w:pPr>
            <w:r>
              <w:rPr>
                <w:rFonts w:ascii="Times New Roman" w:hAnsi="Times New Roman" w:eastAsia="宋体"/>
                <w:b w:val="0"/>
                <w:i w:val="0"/>
                <w:sz w:val="18"/>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0" w:after="0" w:line="240" w:lineRule="auto"/>
              <w:ind w:firstLine="0"/>
              <w:jc w:val="center"/>
            </w:pPr>
            <w:r>
              <w:rPr>
                <w:rFonts w:ascii="Times New Roman" w:hAnsi="Times New Roman" w:eastAsia="宋体"/>
                <w:b w:val="0"/>
                <w:i w:val="0"/>
                <w:sz w:val="18"/>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0" w:after="0" w:line="240" w:lineRule="auto"/>
              <w:ind w:firstLine="0"/>
              <w:jc w:val="center"/>
            </w:pPr>
            <w:r>
              <w:rPr>
                <w:rFonts w:ascii="Times New Roman" w:hAnsi="Times New Roman" w:eastAsia="宋体"/>
                <w:b w:val="0"/>
                <w:i w:val="0"/>
                <w:sz w:val="18"/>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0" w:after="0" w:line="240" w:lineRule="auto"/>
              <w:ind w:firstLine="0"/>
              <w:jc w:val="center"/>
            </w:pPr>
            <w:r>
              <w:rPr>
                <w:rFonts w:ascii="Times New Roman" w:hAnsi="Times New Roman" w:eastAsia="宋体"/>
                <w:b w:val="0"/>
                <w:i w:val="0"/>
                <w:sz w:val="18"/>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0" w:after="0" w:line="240" w:lineRule="auto"/>
              <w:ind w:firstLine="0"/>
              <w:jc w:val="center"/>
            </w:pPr>
            <w:r>
              <w:rPr>
                <w:rFonts w:ascii="Times New Roman" w:hAnsi="Times New Roman" w:eastAsia="宋体"/>
                <w:b w:val="0"/>
                <w:i w:val="0"/>
                <w:sz w:val="18"/>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0" w:after="0" w:line="240" w:lineRule="auto"/>
              <w:ind w:firstLine="0"/>
              <w:jc w:val="center"/>
            </w:pPr>
            <w:r>
              <w:rPr>
                <w:rFonts w:ascii="Times New Roman" w:hAnsi="Times New Roman" w:eastAsia="宋体"/>
                <w:b w:val="0"/>
                <w:i w:val="0"/>
                <w:sz w:val="18"/>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0" w:after="0" w:line="240" w:lineRule="auto"/>
              <w:ind w:firstLine="0"/>
              <w:jc w:val="center"/>
            </w:pPr>
            <w:r>
              <w:rPr>
                <w:rFonts w:ascii="Times New Roman" w:hAnsi="Times New Roman" w:eastAsia="宋体"/>
                <w:b w:val="0"/>
                <w:i w:val="0"/>
                <w:sz w:val="18"/>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0" w:after="0" w:line="240" w:lineRule="auto"/>
              <w:ind w:firstLine="0"/>
              <w:jc w:val="center"/>
            </w:pPr>
            <w:r>
              <w:rPr>
                <w:rFonts w:ascii="Times New Roman" w:hAnsi="Times New Roman" w:eastAsia="宋体"/>
                <w:b w:val="0"/>
                <w:i w:val="0"/>
                <w:sz w:val="18"/>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0" w:after="0" w:line="240" w:lineRule="auto"/>
              <w:ind w:firstLine="0"/>
              <w:jc w:val="center"/>
            </w:pPr>
            <w:r>
              <w:rPr>
                <w:rFonts w:ascii="Times New Roman" w:hAnsi="Times New Roman" w:eastAsia="宋体"/>
                <w:b w:val="0"/>
                <w:i w:val="0"/>
                <w:sz w:val="18"/>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0" w:after="0" w:line="240" w:lineRule="auto"/>
              <w:ind w:firstLine="0"/>
              <w:jc w:val="center"/>
            </w:pPr>
            <w:r>
              <w:rPr>
                <w:rFonts w:ascii="Times New Roman" w:hAnsi="Times New Roman" w:eastAsia="宋体"/>
                <w:b w:val="0"/>
                <w:i w:val="0"/>
                <w:sz w:val="18"/>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0" w:after="0" w:line="240" w:lineRule="auto"/>
              <w:ind w:firstLine="0"/>
              <w:jc w:val="center"/>
            </w:pPr>
            <w:r>
              <w:rPr>
                <w:rFonts w:ascii="Times New Roman" w:hAnsi="Times New Roman" w:eastAsia="宋体"/>
                <w:b w:val="0"/>
                <w:i w:val="0"/>
                <w:sz w:val="18"/>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0" w:after="0" w:line="240" w:lineRule="auto"/>
              <w:ind w:firstLine="0"/>
              <w:jc w:val="center"/>
            </w:pPr>
            <w:r>
              <w:rPr>
                <w:rFonts w:ascii="Times New Roman" w:hAnsi="Times New Roman" w:eastAsia="宋体"/>
                <w:b w:val="0"/>
                <w:i w:val="0"/>
                <w:sz w:val="18"/>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0" w:after="0" w:line="240" w:lineRule="auto"/>
              <w:ind w:firstLine="0"/>
              <w:jc w:val="center"/>
            </w:pPr>
            <w:r>
              <w:rPr>
                <w:rFonts w:ascii="Times New Roman" w:hAnsi="Times New Roman" w:eastAsia="宋体"/>
                <w:b w:val="0"/>
                <w:i w:val="0"/>
                <w:sz w:val="18"/>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0" w:after="0" w:line="240" w:lineRule="auto"/>
              <w:ind w:firstLine="0"/>
              <w:jc w:val="center"/>
            </w:pPr>
            <w:r>
              <w:rPr>
                <w:rFonts w:ascii="Times New Roman" w:hAnsi="Times New Roman" w:eastAsia="宋体"/>
                <w:b w:val="0"/>
                <w:i w:val="0"/>
                <w:sz w:val="18"/>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0" w:after="0" w:line="240" w:lineRule="auto"/>
              <w:ind w:firstLine="0"/>
              <w:jc w:val="center"/>
            </w:pPr>
            <w:r>
              <w:rPr>
                <w:rFonts w:ascii="Times New Roman" w:hAnsi="Times New Roman" w:eastAsia="宋体"/>
                <w:b w:val="0"/>
                <w:i w:val="0"/>
                <w:sz w:val="18"/>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0" w:after="0" w:line="240" w:lineRule="auto"/>
              <w:ind w:firstLine="0"/>
              <w:jc w:val="center"/>
            </w:pPr>
            <w:r>
              <w:rPr>
                <w:rFonts w:ascii="Times New Roman" w:hAnsi="Times New Roman" w:eastAsia="宋体"/>
                <w:b w:val="0"/>
                <w:i w:val="0"/>
                <w:sz w:val="18"/>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0" w:after="0" w:line="240" w:lineRule="auto"/>
              <w:ind w:firstLine="0"/>
              <w:jc w:val="center"/>
            </w:pPr>
            <w:r>
              <w:rPr>
                <w:rFonts w:ascii="Times New Roman" w:hAnsi="Times New Roman" w:eastAsia="宋体"/>
                <w:b w:val="0"/>
                <w:i w:val="0"/>
                <w:sz w:val="18"/>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0" w:after="0" w:line="240" w:lineRule="auto"/>
              <w:ind w:firstLine="0"/>
              <w:jc w:val="center"/>
            </w:pPr>
            <w:r>
              <w:rPr>
                <w:rFonts w:ascii="Times New Roman" w:hAnsi="Times New Roman" w:eastAsia="宋体"/>
                <w:b w:val="0"/>
                <w:i w:val="0"/>
                <w:sz w:val="18"/>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0" w:after="0" w:line="240" w:lineRule="auto"/>
              <w:ind w:firstLine="0"/>
              <w:jc w:val="center"/>
            </w:pPr>
            <w:r>
              <w:rPr>
                <w:rFonts w:ascii="Times New Roman" w:hAnsi="Times New Roman" w:eastAsia="宋体"/>
                <w:b w:val="0"/>
                <w:i w:val="0"/>
                <w:sz w:val="18"/>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0" w:after="0" w:line="240" w:lineRule="auto"/>
              <w:ind w:firstLine="0"/>
              <w:jc w:val="center"/>
            </w:pPr>
            <w:r>
              <w:rPr>
                <w:rFonts w:ascii="Times New Roman" w:hAnsi="Times New Roman" w:eastAsia="宋体"/>
                <w:b w:val="0"/>
                <w:i w:val="0"/>
                <w:sz w:val="18"/>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0" w:after="0" w:line="240" w:lineRule="auto"/>
              <w:ind w:firstLine="0"/>
              <w:jc w:val="center"/>
            </w:pPr>
            <w:r>
              <w:rPr>
                <w:rFonts w:ascii="Times New Roman" w:hAnsi="Times New Roman" w:eastAsia="宋体"/>
                <w:b w:val="0"/>
                <w:i w:val="0"/>
                <w:sz w:val="18"/>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0" w:after="0" w:line="240" w:lineRule="auto"/>
              <w:ind w:firstLine="0"/>
              <w:jc w:val="center"/>
            </w:pPr>
            <w:r>
              <w:rPr>
                <w:rFonts w:ascii="Times New Roman" w:hAnsi="Times New Roman" w:eastAsia="宋体"/>
                <w:b w:val="0"/>
                <w:i w:val="0"/>
                <w:sz w:val="18"/>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0" w:after="0" w:line="240" w:lineRule="auto"/>
              <w:ind w:firstLine="0"/>
              <w:jc w:val="center"/>
            </w:pPr>
            <w:r>
              <w:rPr>
                <w:rFonts w:ascii="Times New Roman" w:hAnsi="Times New Roman" w:eastAsia="宋体"/>
                <w:b w:val="0"/>
                <w:i w:val="0"/>
                <w:sz w:val="18"/>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0" w:after="0" w:line="240" w:lineRule="auto"/>
              <w:ind w:firstLine="0"/>
              <w:jc w:val="center"/>
            </w:pPr>
            <w:r>
              <w:rPr>
                <w:rFonts w:ascii="Times New Roman" w:hAnsi="Times New Roman" w:eastAsia="宋体"/>
                <w:b w:val="0"/>
                <w:i w:val="0"/>
                <w:sz w:val="18"/>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0" w:after="0" w:line="240" w:lineRule="auto"/>
              <w:ind w:firstLine="0"/>
              <w:jc w:val="center"/>
            </w:pPr>
            <w:r>
              <w:rPr>
                <w:rFonts w:ascii="Times New Roman" w:hAnsi="Times New Roman" w:eastAsia="宋体"/>
                <w:b w:val="0"/>
                <w:i w:val="0"/>
                <w:sz w:val="18"/>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0" w:after="0" w:line="240" w:lineRule="auto"/>
              <w:ind w:firstLine="0"/>
              <w:jc w:val="center"/>
            </w:pPr>
            <w:r>
              <w:rPr>
                <w:rFonts w:ascii="Times New Roman" w:hAnsi="Times New Roman" w:eastAsia="宋体"/>
                <w:b w:val="0"/>
                <w:i w:val="0"/>
                <w:sz w:val="18"/>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0" w:after="0" w:line="240" w:lineRule="auto"/>
              <w:ind w:firstLine="0"/>
              <w:jc w:val="center"/>
            </w:pPr>
            <w:r>
              <w:rPr>
                <w:rFonts w:ascii="Times New Roman" w:hAnsi="Times New Roman" w:eastAsia="宋体"/>
                <w:b w:val="0"/>
                <w:i w:val="0"/>
                <w:sz w:val="18"/>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0" w:after="0" w:line="240" w:lineRule="auto"/>
              <w:ind w:firstLine="0"/>
              <w:jc w:val="center"/>
            </w:pPr>
            <w:r>
              <w:rPr>
                <w:rFonts w:ascii="Times New Roman" w:hAnsi="Times New Roman" w:eastAsia="宋体"/>
                <w:b w:val="0"/>
                <w:i w:val="0"/>
                <w:sz w:val="18"/>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0" w:after="0" w:line="240" w:lineRule="auto"/>
              <w:ind w:firstLine="0"/>
              <w:jc w:val="center"/>
            </w:pPr>
            <w:r>
              <w:rPr>
                <w:rFonts w:ascii="Times New Roman" w:hAnsi="Times New Roman" w:eastAsia="宋体"/>
                <w:b w:val="0"/>
                <w:i w:val="0"/>
                <w:sz w:val="18"/>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0" w:after="0" w:line="240" w:lineRule="auto"/>
              <w:ind w:firstLine="0"/>
              <w:jc w:val="center"/>
            </w:pPr>
            <w:r>
              <w:rPr>
                <w:sz w:val="18"/>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0" w:after="0" w:line="240" w:lineRule="auto"/>
              <w:ind w:firstLine="0"/>
              <w:jc w:val="center"/>
            </w:pPr>
            <w:r>
              <w:rPr>
                <w:sz w:val="18"/>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0" w:after="0" w:line="240" w:lineRule="auto"/>
              <w:ind w:firstLine="0"/>
              <w:jc w:val="center"/>
            </w:pPr>
            <w:r>
              <w:rPr>
                <w:sz w:val="18"/>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0" w:after="0" w:line="240" w:lineRule="auto"/>
              <w:ind w:firstLine="0"/>
              <w:jc w:val="center"/>
            </w:pPr>
            <w:r>
              <w:rPr>
                <w:sz w:val="18"/>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0" w:after="0" w:line="240" w:lineRule="auto"/>
              <w:ind w:firstLine="0"/>
              <w:jc w:val="center"/>
            </w:pPr>
            <w:r>
              <w:rPr>
                <w:rFonts w:ascii="Times New Roman" w:hAnsi="Times New Roman" w:eastAsia="宋体"/>
                <w:b w:val="0"/>
                <w:i w:val="0"/>
                <w:sz w:val="18"/>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0" w:after="0" w:line="240" w:lineRule="auto"/>
              <w:ind w:firstLine="0"/>
              <w:jc w:val="center"/>
            </w:pPr>
            <w:r>
              <w:rPr>
                <w:sz w:val="18"/>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0" w:after="0" w:line="240" w:lineRule="auto"/>
              <w:ind w:firstLine="0"/>
              <w:jc w:val="center"/>
            </w:pPr>
            <w:r>
              <w:rPr>
                <w:rFonts w:ascii="Times New Roman" w:hAnsi="Times New Roman" w:eastAsia="宋体"/>
                <w:b w:val="0"/>
                <w:i w:val="0"/>
                <w:sz w:val="18"/>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0" w:after="0" w:line="240" w:lineRule="auto"/>
              <w:ind w:firstLine="0"/>
              <w:jc w:val="center"/>
            </w:pPr>
            <w:r>
              <w:rPr>
                <w:sz w:val="18"/>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746F893">
            <w:pPr>
              <w:spacing w:before="0" w:after="0" w:line="240" w:lineRule="auto"/>
              <w:jc w:val="right"/>
            </w:pPr>
            <w:r>
              <w:rPr>
                <w:sz w:val="18"/>
              </w:rP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0" w:after="0" w:line="240" w:lineRule="auto"/>
              <w:ind w:firstLine="0"/>
              <w:jc w:val="center"/>
            </w:pPr>
            <w:r>
              <w:rPr>
                <w:rFonts w:ascii="Times New Roman" w:hAnsi="Times New Roman" w:eastAsia="宋体"/>
                <w:b w:val="0"/>
                <w:i w:val="0"/>
                <w:sz w:val="18"/>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0" w:after="0" w:line="240" w:lineRule="auto"/>
              <w:ind w:firstLine="0"/>
              <w:jc w:val="center"/>
            </w:pPr>
            <w:r>
              <w:rPr>
                <w:sz w:val="18"/>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0" w:after="0" w:line="240" w:lineRule="auto"/>
              <w:ind w:firstLine="0"/>
              <w:jc w:val="center"/>
            </w:pPr>
            <w:r>
              <w:rPr>
                <w:sz w:val="18"/>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0" w:after="0" w:line="240" w:lineRule="auto"/>
              <w:ind w:firstLine="0"/>
              <w:jc w:val="center"/>
            </w:pPr>
            <w:r>
              <w:rPr>
                <w:sz w:val="18"/>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4B01C07D">
            <w:pPr>
              <w:spacing w:before="0" w:after="0" w:line="240" w:lineRule="auto"/>
              <w:jc w:val="right"/>
            </w:pPr>
            <w:r>
              <w:rPr>
                <w:sz w:val="18"/>
              </w:rPr>
              <w:t>+8.16</w:t>
            </w:r>
          </w:p>
        </w:tc>
      </w:tr>
    </w:tbl>
    <w:p w14:paraId="5927E81D">
      <w:pPr>
        <w:spacing w:before="20" w:after="60" w:line="276" w:lineRule="auto"/>
      </w:pPr>
      <w:r>
        <w:rPr>
          <w:sz w:val="17"/>
        </w:rP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285B165">
      <w:pPr>
        <w:spacing w:after="80" w:line="324" w:lineRule="auto"/>
        <w:ind w:firstLine="480"/>
      </w:pPr>
      <w:r>
        <w:rPr>
          <w:rFonts w:ascii="Times New Roman" w:hAnsi="Times New Roman" w:eastAsia="宋体"/>
          <w:b w:val="0"/>
          <w:i w:val="0"/>
          <w:sz w:val="24"/>
        </w:rPr>
        <w:t>其中 Y 为基金全样本期 FF5 alpha，X</w:t>
      </w:r>
      <w:r>
        <w:rPr>
          <w:rFonts w:hint="eastAsia"/>
          <w:b w:val="0"/>
          <w:i w:val="0"/>
          <w:sz w:val="24"/>
          <w:vertAlign w:val="subscript"/>
          <w:lang w:val="en-US" w:eastAsia="zh-CN"/>
        </w:rPr>
        <w:t>k</w:t>
      </w:r>
      <w:r>
        <w:rPr>
          <w:rFonts w:ascii="Times New Roman" w:hAnsi="Times New Roman" w:eastAsia="宋体"/>
          <w:b w:val="0"/>
          <w:i w:val="0"/>
          <w:sz w:val="24"/>
        </w:rPr>
        <w:t>为候选指标时序均值（1%/99% 缩尾，业绩类滞后一期），β</w:t>
      </w:r>
      <w:r>
        <w:rPr>
          <w:rFonts w:hint="eastAsia"/>
          <w:b w:val="0"/>
          <w:i w:val="0"/>
          <w:sz w:val="24"/>
          <w:vertAlign w:val="subscript"/>
          <w:lang w:val="en-US" w:eastAsia="zh-CN"/>
        </w:rPr>
        <w:t>k</w:t>
      </w:r>
      <w:r>
        <w:rPr>
          <w:rFonts w:ascii="Times New Roman" w:hAnsi="Times New Roman" w:eastAsia="宋体"/>
          <w:b w:val="0"/>
          <w:i w:val="0"/>
          <w:sz w:val="24"/>
        </w:rPr>
        <w:t>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2BB57376">
      <w:pPr>
        <w:keepNext/>
        <w:spacing w:before="60" w:after="2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5" w:type="dxa"/>
          <w:left w:w="65" w:type="dxa"/>
          <w:bottom w:w="35" w:type="dxa"/>
          <w:right w:w="65"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5" w:type="dxa"/>
            <w:left w:w="65" w:type="dxa"/>
            <w:bottom w:w="35" w:type="dxa"/>
            <w:right w:w="65" w:type="dxa"/>
          </w:tblCellMar>
        </w:tblPrEx>
        <w:trPr>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0" w:after="0" w:line="240" w:lineRule="auto"/>
              <w:jc w:val="center"/>
            </w:pPr>
            <w:r>
              <w:rPr>
                <w:rFonts w:ascii="Times New Roman" w:hAnsi="Times New Roman" w:eastAsia="宋体"/>
                <w:b/>
                <w:sz w:val="18"/>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0" w:after="0" w:line="240" w:lineRule="auto"/>
              <w:jc w:val="center"/>
            </w:pPr>
            <w:r>
              <w:rPr>
                <w:rFonts w:ascii="Times New Roman" w:hAnsi="Times New Roman" w:eastAsia="宋体"/>
                <w:b/>
                <w:sz w:val="18"/>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0" w:after="0" w:line="240" w:lineRule="auto"/>
              <w:jc w:val="center"/>
            </w:pPr>
            <w:r>
              <w:rPr>
                <w:rFonts w:ascii="Times New Roman" w:hAnsi="Times New Roman" w:eastAsia="宋体"/>
                <w:b/>
                <w:sz w:val="18"/>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0" w:after="0" w:line="240" w:lineRule="auto"/>
              <w:jc w:val="center"/>
            </w:pPr>
            <w:r>
              <w:rPr>
                <w:rFonts w:ascii="Times New Roman" w:hAnsi="Times New Roman" w:eastAsia="宋体"/>
                <w:b/>
                <w:sz w:val="18"/>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0" w:after="0" w:line="240" w:lineRule="auto"/>
              <w:jc w:val="center"/>
            </w:pPr>
            <w:r>
              <w:rPr>
                <w:rFonts w:ascii="Times New Roman" w:hAnsi="Times New Roman" w:eastAsia="宋体"/>
                <w:b/>
                <w:sz w:val="18"/>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0" w:after="0" w:line="240" w:lineRule="auto"/>
              <w:jc w:val="center"/>
            </w:pPr>
            <w:r>
              <w:rPr>
                <w:rFonts w:ascii="Times New Roman" w:hAnsi="Times New Roman" w:eastAsia="宋体"/>
                <w:b/>
                <w:sz w:val="18"/>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0" w:after="0" w:line="240" w:lineRule="auto"/>
              <w:jc w:val="cente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0" w:after="0" w:line="240" w:lineRule="auto"/>
              <w:jc w:val="center"/>
            </w:pPr>
            <w:r>
              <w:rPr>
                <w:rFonts w:ascii="Times New Roman" w:hAnsi="Times New Roman" w:eastAsia="宋体"/>
                <w:b w:val="0"/>
                <w:sz w:val="18"/>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0" w:after="0" w:line="240" w:lineRule="auto"/>
              <w:jc w:val="center"/>
            </w:pPr>
            <w:r>
              <w:rPr>
                <w:rFonts w:ascii="Times New Roman" w:hAnsi="Times New Roman" w:eastAsia="宋体"/>
                <w:b w:val="0"/>
                <w:sz w:val="18"/>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0" w:after="0" w:line="240" w:lineRule="auto"/>
              <w:jc w:val="center"/>
            </w:pPr>
            <w:r>
              <w:rPr>
                <w:rFonts w:ascii="Times New Roman" w:hAnsi="Times New Roman" w:eastAsia="宋体"/>
                <w:b w:val="0"/>
                <w:sz w:val="18"/>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0" w:after="0" w:line="240" w:lineRule="auto"/>
              <w:jc w:val="center"/>
            </w:pPr>
            <w:r>
              <w:rPr>
                <w:rFonts w:ascii="Times New Roman" w:hAnsi="Times New Roman" w:eastAsia="宋体"/>
                <w:b w:val="0"/>
                <w:sz w:val="18"/>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0" w:after="0" w:line="240" w:lineRule="auto"/>
              <w:jc w:val="center"/>
            </w:pPr>
            <w:r>
              <w:rPr>
                <w:rFonts w:ascii="Times New Roman" w:hAnsi="Times New Roman" w:eastAsia="宋体"/>
                <w:b w:val="0"/>
                <w:sz w:val="18"/>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0" w:after="0" w:line="240" w:lineRule="auto"/>
              <w:jc w:val="center"/>
            </w:pPr>
            <w:r>
              <w:rPr>
                <w:rFonts w:ascii="Times New Roman" w:hAnsi="Times New Roman" w:eastAsia="宋体"/>
                <w:b w:val="0"/>
                <w:sz w:val="18"/>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0" w:after="0" w:line="240" w:lineRule="auto"/>
              <w:jc w:val="center"/>
            </w:pPr>
            <w:r>
              <w:rPr>
                <w:rFonts w:ascii="Times New Roman" w:hAnsi="Times New Roman" w:eastAsia="宋体"/>
                <w:b w:val="0"/>
                <w:sz w:val="18"/>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0" w:after="0" w:line="240" w:lineRule="auto"/>
              <w:jc w:val="center"/>
            </w:pPr>
            <w:r>
              <w:rPr>
                <w:rFonts w:ascii="Times New Roman" w:hAnsi="Times New Roman" w:eastAsia="宋体"/>
                <w:b w:val="0"/>
                <w:sz w:val="18"/>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0" w:after="0" w:line="240" w:lineRule="auto"/>
              <w:jc w:val="center"/>
            </w:pPr>
            <w:r>
              <w:rPr>
                <w:rFonts w:ascii="Times New Roman" w:hAnsi="Times New Roman" w:eastAsia="宋体"/>
                <w:b w:val="0"/>
                <w:sz w:val="18"/>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0" w:after="0" w:line="240" w:lineRule="auto"/>
              <w:jc w:val="center"/>
            </w:pPr>
            <w:r>
              <w:rPr>
                <w:rFonts w:ascii="Times New Roman" w:hAnsi="Times New Roman" w:eastAsia="宋体"/>
                <w:b w:val="0"/>
                <w:sz w:val="18"/>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0" w:after="0" w:line="240" w:lineRule="auto"/>
              <w:jc w:val="center"/>
            </w:pPr>
            <w:r>
              <w:rPr>
                <w:rFonts w:ascii="Times New Roman" w:hAnsi="Times New Roman" w:eastAsia="宋体"/>
                <w:b w:val="0"/>
                <w:sz w:val="18"/>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0" w:after="0" w:line="240" w:lineRule="auto"/>
              <w:jc w:val="center"/>
            </w:pPr>
            <w:r>
              <w:rPr>
                <w:rFonts w:ascii="Times New Roman" w:hAnsi="Times New Roman" w:eastAsia="宋体"/>
                <w:b w:val="0"/>
                <w:sz w:val="18"/>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0" w:after="0" w:line="240" w:lineRule="auto"/>
              <w:jc w:val="center"/>
            </w:pPr>
            <w:r>
              <w:rPr>
                <w:rFonts w:ascii="Times New Roman" w:hAnsi="Times New Roman" w:eastAsia="宋体"/>
                <w:b w:val="0"/>
                <w:sz w:val="18"/>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0" w:after="0" w:line="240" w:lineRule="auto"/>
              <w:jc w:val="center"/>
            </w:pPr>
            <w:r>
              <w:rPr>
                <w:rFonts w:ascii="Times New Roman" w:hAnsi="Times New Roman" w:eastAsia="宋体"/>
                <w:b w:val="0"/>
                <w:sz w:val="18"/>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0" w:after="0" w:line="240" w:lineRule="auto"/>
              <w:jc w:val="center"/>
            </w:pPr>
            <w:r>
              <w:rPr>
                <w:rFonts w:ascii="Times New Roman" w:hAnsi="Times New Roman" w:eastAsia="宋体"/>
                <w:b w:val="0"/>
                <w:sz w:val="18"/>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0" w:after="0" w:line="240" w:lineRule="auto"/>
              <w:jc w:val="center"/>
            </w:pPr>
            <w:r>
              <w:rPr>
                <w:rFonts w:ascii="Times New Roman" w:hAnsi="Times New Roman" w:eastAsia="宋体"/>
                <w:b w:val="0"/>
                <w:sz w:val="18"/>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0" w:after="0" w:line="240" w:lineRule="auto"/>
              <w:jc w:val="center"/>
            </w:pPr>
            <w:r>
              <w:rPr>
                <w:rFonts w:ascii="Times New Roman" w:hAnsi="Times New Roman" w:eastAsia="宋体"/>
                <w:b w:val="0"/>
                <w:sz w:val="18"/>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0" w:after="0" w:line="240" w:lineRule="auto"/>
              <w:jc w:val="center"/>
            </w:pPr>
            <w:r>
              <w:rPr>
                <w:rFonts w:ascii="Times New Roman" w:hAnsi="Times New Roman" w:eastAsia="宋体"/>
                <w:b w:val="0"/>
                <w:sz w:val="18"/>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0" w:after="0" w:line="240" w:lineRule="auto"/>
              <w:jc w:val="center"/>
            </w:pPr>
            <w:r>
              <w:rPr>
                <w:rFonts w:ascii="Times New Roman" w:hAnsi="Times New Roman" w:eastAsia="宋体"/>
                <w:b w:val="0"/>
                <w:sz w:val="18"/>
              </w:rPr>
              <w:t>—</w:t>
            </w:r>
          </w:p>
        </w:tc>
      </w:tr>
      <w:tr w14:paraId="4E145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right w:val="nil"/>
            </w:tcBorders>
            <w:shd w:val="clear"/>
            <w:tcMar>
              <w:top w:w="60" w:type="dxa"/>
              <w:left w:w="90" w:type="dxa"/>
              <w:bottom w:w="60" w:type="dxa"/>
              <w:right w:w="90" w:type="dxa"/>
            </w:tcMar>
            <w:vAlign w:val="center"/>
          </w:tcPr>
          <w:p w14:paraId="536D2575">
            <w:pPr>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814" w:type="dxa"/>
            <w:tcBorders>
              <w:top w:val="nil"/>
              <w:left w:val="nil"/>
              <w:bottom w:val="single" w:color="CBD5E1" w:sz="4" w:space="0"/>
              <w:right w:val="nil"/>
            </w:tcBorders>
            <w:shd w:val="clear"/>
            <w:tcMar>
              <w:top w:w="20" w:type="dxa"/>
              <w:left w:w="45" w:type="dxa"/>
              <w:bottom w:w="20" w:type="dxa"/>
              <w:right w:w="45" w:type="dxa"/>
            </w:tcMar>
            <w:vAlign w:val="center"/>
          </w:tcPr>
          <w:p w14:paraId="5DB5596B">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行业集中度</w:t>
            </w:r>
          </w:p>
        </w:tc>
        <w:tc>
          <w:tcPr>
            <w:tcW w:w="1531" w:type="dxa"/>
            <w:tcBorders>
              <w:top w:val="nil"/>
              <w:left w:val="nil"/>
              <w:bottom w:val="single" w:color="CBD5E1" w:sz="4" w:space="0"/>
              <w:right w:val="nil"/>
            </w:tcBorders>
            <w:shd w:val="clear"/>
            <w:tcMar>
              <w:top w:w="20" w:type="dxa"/>
              <w:left w:w="45" w:type="dxa"/>
              <w:bottom w:w="20" w:type="dxa"/>
              <w:right w:w="45" w:type="dxa"/>
            </w:tcMar>
            <w:vAlign w:val="center"/>
          </w:tcPr>
          <w:p w14:paraId="2CEB80E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+0.05***</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26B6AA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0.101</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5A051865">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tcMar>
              <w:top w:w="20" w:type="dxa"/>
              <w:left w:w="45" w:type="dxa"/>
              <w:bottom w:w="20" w:type="dxa"/>
              <w:right w:w="45" w:type="dxa"/>
            </w:tcMar>
            <w:vAlign w:val="center"/>
          </w:tcPr>
          <w:p w14:paraId="413B915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+4.3***</w:t>
            </w:r>
          </w:p>
        </w:tc>
      </w:tr>
      <w:tr w14:paraId="5D06BE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right w:val="nil"/>
            </w:tcBorders>
            <w:tcMar>
              <w:top w:w="60" w:type="dxa"/>
              <w:left w:w="90" w:type="dxa"/>
              <w:bottom w:w="60" w:type="dxa"/>
              <w:right w:w="90" w:type="dxa"/>
            </w:tcMar>
            <w:vAlign w:val="center"/>
          </w:tcPr>
          <w:p w14:paraId="6BEFA9D2">
            <w:pPr>
              <w:jc w:val="center"/>
            </w:pPr>
          </w:p>
        </w:tc>
        <w:tc>
          <w:tcPr>
            <w:tcW w:w="1814" w:type="dxa"/>
            <w:tcBorders>
              <w:top w:val="nil"/>
              <w:left w:val="nil"/>
              <w:bottom w:val="single" w:color="CBD5E1" w:sz="4" w:space="0"/>
              <w:right w:val="nil"/>
            </w:tcBorders>
            <w:shd w:val="clear"/>
            <w:tcMar>
              <w:top w:w="20" w:type="dxa"/>
              <w:left w:w="45" w:type="dxa"/>
              <w:bottom w:w="20" w:type="dxa"/>
              <w:right w:w="45" w:type="dxa"/>
            </w:tcMar>
            <w:vAlign w:val="center"/>
          </w:tcPr>
          <w:p w14:paraId="42838C1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行业风格漂移</w:t>
            </w:r>
          </w:p>
        </w:tc>
        <w:tc>
          <w:tcPr>
            <w:tcW w:w="1531" w:type="dxa"/>
            <w:tcBorders>
              <w:top w:val="nil"/>
              <w:left w:val="nil"/>
              <w:bottom w:val="single" w:color="CBD5E1" w:sz="4" w:space="0"/>
              <w:right w:val="nil"/>
            </w:tcBorders>
            <w:shd w:val="clear"/>
            <w:tcMar>
              <w:top w:w="20" w:type="dxa"/>
              <w:left w:w="45" w:type="dxa"/>
              <w:bottom w:w="20" w:type="dxa"/>
              <w:right w:w="45" w:type="dxa"/>
            </w:tcMar>
            <w:vAlign w:val="center"/>
          </w:tcPr>
          <w:p w14:paraId="26CBE784">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-0.04***</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235CD99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0.061</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691D0B77">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tcMar>
              <w:top w:w="20" w:type="dxa"/>
              <w:left w:w="45" w:type="dxa"/>
              <w:bottom w:w="20" w:type="dxa"/>
              <w:right w:w="45" w:type="dxa"/>
            </w:tcMar>
            <w:vAlign w:val="center"/>
          </w:tcPr>
          <w:p w14:paraId="2FD5A62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-0.7</w:t>
            </w:r>
          </w:p>
        </w:tc>
      </w:tr>
      <w:tr w14:paraId="2B384A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bottom w:val="single" w:color="CBD5E1" w:sz="4" w:space="0"/>
              <w:right w:val="nil"/>
            </w:tcBorders>
            <w:tcMar>
              <w:top w:w="60" w:type="dxa"/>
              <w:left w:w="90" w:type="dxa"/>
              <w:bottom w:w="60" w:type="dxa"/>
              <w:right w:w="90" w:type="dxa"/>
            </w:tcMar>
            <w:vAlign w:val="center"/>
          </w:tcPr>
          <w:p w14:paraId="0C534622">
            <w:pPr>
              <w:jc w:val="center"/>
            </w:pPr>
          </w:p>
        </w:tc>
        <w:tc>
          <w:tcPr>
            <w:tcW w:w="1814" w:type="dxa"/>
            <w:tcBorders>
              <w:top w:val="nil"/>
              <w:left w:val="nil"/>
              <w:bottom w:val="single" w:color="CBD5E1" w:sz="4" w:space="0"/>
              <w:right w:val="nil"/>
            </w:tcBorders>
            <w:shd w:val="clear"/>
            <w:tcMar>
              <w:top w:w="20" w:type="dxa"/>
              <w:left w:w="45" w:type="dxa"/>
              <w:bottom w:w="20" w:type="dxa"/>
              <w:right w:w="45" w:type="dxa"/>
            </w:tcMar>
            <w:vAlign w:val="center"/>
          </w:tcPr>
          <w:p w14:paraId="29EB561A">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改进主动份额</w:t>
            </w:r>
          </w:p>
        </w:tc>
        <w:tc>
          <w:tcPr>
            <w:tcW w:w="1531" w:type="dxa"/>
            <w:tcBorders>
              <w:top w:val="nil"/>
              <w:left w:val="nil"/>
              <w:bottom w:val="single" w:color="CBD5E1" w:sz="4" w:space="0"/>
              <w:right w:val="nil"/>
            </w:tcBorders>
            <w:shd w:val="clear"/>
            <w:tcMar>
              <w:top w:w="20" w:type="dxa"/>
              <w:left w:w="45" w:type="dxa"/>
              <w:bottom w:w="20" w:type="dxa"/>
              <w:right w:w="45" w:type="dxa"/>
            </w:tcMar>
            <w:vAlign w:val="center"/>
          </w:tcPr>
          <w:p w14:paraId="394CE3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-0.004</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73C08822">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0.000</w:t>
            </w:r>
          </w:p>
        </w:tc>
        <w:tc>
          <w:tcPr>
            <w:tcW w:w="1247" w:type="dxa"/>
            <w:tcBorders>
              <w:top w:val="nil"/>
              <w:left w:val="nil"/>
              <w:bottom w:val="single" w:color="CBD5E1" w:sz="4" w:space="0"/>
              <w:right w:val="nil"/>
            </w:tcBorders>
            <w:shd w:val="clear"/>
            <w:tcMar>
              <w:top w:w="20" w:type="dxa"/>
              <w:left w:w="45" w:type="dxa"/>
              <w:bottom w:w="20" w:type="dxa"/>
              <w:right w:w="45" w:type="dxa"/>
            </w:tcMar>
            <w:vAlign w:val="center"/>
          </w:tcPr>
          <w:p w14:paraId="1459736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tcMar>
              <w:top w:w="20" w:type="dxa"/>
              <w:left w:w="45" w:type="dxa"/>
              <w:bottom w:w="20" w:type="dxa"/>
              <w:right w:w="45" w:type="dxa"/>
            </w:tcMar>
            <w:vAlign w:val="center"/>
          </w:tcPr>
          <w:p w14:paraId="1CEB99E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-3.8***</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0" w:after="0" w:line="240" w:lineRule="auto"/>
              <w:jc w:val="cente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0" w:after="0" w:line="240" w:lineRule="auto"/>
              <w:jc w:val="center"/>
            </w:pPr>
            <w:r>
              <w:rPr>
                <w:rFonts w:ascii="Times New Roman" w:hAnsi="Times New Roman" w:eastAsia="宋体"/>
                <w:b w:val="0"/>
                <w:sz w:val="18"/>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0" w:after="0" w:line="240" w:lineRule="auto"/>
              <w:jc w:val="center"/>
            </w:pPr>
            <w:r>
              <w:rPr>
                <w:rFonts w:ascii="Times New Roman" w:hAnsi="Times New Roman" w:eastAsia="宋体"/>
                <w:b w:val="0"/>
                <w:sz w:val="18"/>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0" w:after="0" w:line="240" w:lineRule="auto"/>
              <w:jc w:val="center"/>
            </w:pPr>
            <w:r>
              <w:rPr>
                <w:rFonts w:ascii="Times New Roman" w:hAnsi="Times New Roman" w:eastAsia="宋体"/>
                <w:b w:val="0"/>
                <w:sz w:val="18"/>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0" w:after="0" w:line="240" w:lineRule="auto"/>
              <w:jc w:val="center"/>
            </w:pPr>
            <w:r>
              <w:rPr>
                <w:rFonts w:ascii="Times New Roman" w:hAnsi="Times New Roman" w:eastAsia="宋体"/>
                <w:b w:val="0"/>
                <w:sz w:val="18"/>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0" w:after="0" w:line="240" w:lineRule="auto"/>
              <w:jc w:val="center"/>
            </w:pPr>
            <w:r>
              <w:rPr>
                <w:rFonts w:ascii="Times New Roman" w:hAnsi="Times New Roman" w:eastAsia="宋体"/>
                <w:b w:val="0"/>
                <w:sz w:val="18"/>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0" w:after="0" w:line="240" w:lineRule="auto"/>
              <w:jc w:val="center"/>
            </w:pPr>
            <w:r>
              <w:rPr>
                <w:rFonts w:ascii="Times New Roman" w:hAnsi="Times New Roman" w:eastAsia="宋体"/>
                <w:b w:val="0"/>
                <w:sz w:val="18"/>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0" w:after="0" w:line="240" w:lineRule="auto"/>
              <w:jc w:val="center"/>
            </w:pPr>
            <w:r>
              <w:rPr>
                <w:rFonts w:ascii="Times New Roman" w:hAnsi="Times New Roman" w:eastAsia="宋体"/>
                <w:b w:val="0"/>
                <w:sz w:val="18"/>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0" w:after="0" w:line="240" w:lineRule="auto"/>
              <w:jc w:val="center"/>
            </w:pPr>
            <w:r>
              <w:rPr>
                <w:rFonts w:ascii="Times New Roman" w:hAnsi="Times New Roman" w:eastAsia="宋体"/>
                <w:b w:val="0"/>
                <w:sz w:val="18"/>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0" w:after="0" w:line="240" w:lineRule="auto"/>
              <w:jc w:val="center"/>
            </w:pPr>
            <w:r>
              <w:rPr>
                <w:rFonts w:ascii="Times New Roman" w:hAnsi="Times New Roman" w:eastAsia="宋体"/>
                <w:b w:val="0"/>
                <w:sz w:val="18"/>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0" w:after="0" w:line="240" w:lineRule="auto"/>
              <w:jc w:val="center"/>
            </w:pPr>
            <w:r>
              <w:rPr>
                <w:rFonts w:ascii="Times New Roman" w:hAnsi="Times New Roman" w:eastAsia="宋体"/>
                <w:b w:val="0"/>
                <w:sz w:val="18"/>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0" w:after="0" w:line="240" w:lineRule="auto"/>
              <w:jc w:val="center"/>
            </w:pPr>
            <w:r>
              <w:rPr>
                <w:rFonts w:ascii="Times New Roman" w:hAnsi="Times New Roman" w:eastAsia="宋体"/>
                <w:b w:val="0"/>
                <w:sz w:val="18"/>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0" w:after="0" w:line="240" w:lineRule="auto"/>
              <w:jc w:val="center"/>
            </w:pPr>
            <w:r>
              <w:rPr>
                <w:rFonts w:ascii="Times New Roman" w:hAnsi="Times New Roman" w:eastAsia="宋体"/>
                <w:b w:val="0"/>
                <w:sz w:val="18"/>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0" w:after="0" w:line="240" w:lineRule="auto"/>
              <w:jc w:val="center"/>
            </w:pPr>
            <w:r>
              <w:rPr>
                <w:rFonts w:ascii="Times New Roman" w:hAnsi="Times New Roman" w:eastAsia="宋体"/>
                <w:b w:val="0"/>
                <w:sz w:val="18"/>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0" w:after="0" w:line="240" w:lineRule="auto"/>
              <w:jc w:val="center"/>
            </w:pPr>
            <w:r>
              <w:rPr>
                <w:rFonts w:ascii="Times New Roman" w:hAnsi="Times New Roman" w:eastAsia="宋体"/>
                <w:b w:val="0"/>
                <w:sz w:val="18"/>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0" w:after="0" w:line="240" w:lineRule="auto"/>
              <w:jc w:val="center"/>
            </w:pPr>
            <w:r>
              <w:rPr>
                <w:rFonts w:ascii="Times New Roman" w:hAnsi="Times New Roman" w:eastAsia="宋体"/>
                <w:b w:val="0"/>
                <w:sz w:val="18"/>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0" w:after="0" w:line="240" w:lineRule="auto"/>
              <w:jc w:val="center"/>
            </w:pPr>
            <w:r>
              <w:rPr>
                <w:rFonts w:ascii="Times New Roman" w:hAnsi="Times New Roman" w:eastAsia="宋体"/>
                <w:b w:val="0"/>
                <w:sz w:val="18"/>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0" w:after="0" w:line="240" w:lineRule="auto"/>
              <w:jc w:val="center"/>
            </w:pPr>
            <w:r>
              <w:rPr>
                <w:rFonts w:ascii="Times New Roman" w:hAnsi="Times New Roman" w:eastAsia="宋体"/>
                <w:b w:val="0"/>
                <w:sz w:val="18"/>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0" w:after="0" w:line="240" w:lineRule="auto"/>
              <w:jc w:val="center"/>
            </w:pPr>
            <w:r>
              <w:rPr>
                <w:rFonts w:ascii="Times New Roman" w:hAnsi="Times New Roman" w:eastAsia="宋体"/>
                <w:b w:val="0"/>
                <w:sz w:val="18"/>
              </w:rPr>
              <w:t>+1.3</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0" w:after="0" w:line="240" w:lineRule="auto"/>
              <w:jc w:val="center"/>
            </w:pPr>
            <w:r>
              <w:rPr>
                <w:rFonts w:ascii="Times New Roman" w:hAnsi="Times New Roman" w:eastAsia="宋体"/>
                <w:b w:val="0"/>
                <w:sz w:val="18"/>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0" w:after="0" w:line="240" w:lineRule="auto"/>
              <w:jc w:val="center"/>
            </w:pPr>
            <w:r>
              <w:rPr>
                <w:rFonts w:ascii="Times New Roman" w:hAnsi="Times New Roman" w:eastAsia="宋体"/>
                <w:b w:val="0"/>
                <w:sz w:val="18"/>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0" w:after="0" w:line="240" w:lineRule="auto"/>
              <w:jc w:val="center"/>
            </w:pPr>
            <w:r>
              <w:rPr>
                <w:rFonts w:ascii="Times New Roman" w:hAnsi="Times New Roman" w:eastAsia="宋体"/>
                <w:b w:val="0"/>
                <w:sz w:val="18"/>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0" w:after="0" w:line="240" w:lineRule="auto"/>
              <w:jc w:val="center"/>
            </w:pPr>
            <w:r>
              <w:rPr>
                <w:rFonts w:ascii="Times New Roman" w:hAnsi="Times New Roman" w:eastAsia="宋体"/>
                <w:b w:val="0"/>
                <w:sz w:val="18"/>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0" w:after="0" w:line="240" w:lineRule="auto"/>
              <w:jc w:val="center"/>
            </w:pPr>
            <w:r>
              <w:rPr>
                <w:rFonts w:ascii="Times New Roman" w:hAnsi="Times New Roman" w:eastAsia="宋体"/>
                <w:b w:val="0"/>
                <w:sz w:val="18"/>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0" w:after="0" w:line="240" w:lineRule="auto"/>
              <w:jc w:val="center"/>
            </w:pPr>
            <w:r>
              <w:rPr>
                <w:rFonts w:ascii="Times New Roman" w:hAnsi="Times New Roman" w:eastAsia="宋体"/>
                <w:b w:val="0"/>
                <w:sz w:val="18"/>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0" w:after="0" w:line="240" w:lineRule="auto"/>
              <w:jc w:val="center"/>
            </w:pPr>
            <w:r>
              <w:rPr>
                <w:rFonts w:ascii="Times New Roman" w:hAnsi="Times New Roman" w:eastAsia="宋体"/>
                <w:b w:val="0"/>
                <w:sz w:val="18"/>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0" w:after="0" w:line="240" w:lineRule="auto"/>
              <w:jc w:val="center"/>
            </w:pPr>
            <w:r>
              <w:rPr>
                <w:rFonts w:ascii="Times New Roman" w:hAnsi="Times New Roman" w:eastAsia="宋体"/>
                <w:b w:val="0"/>
                <w:sz w:val="18"/>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0" w:after="0" w:line="240" w:lineRule="auto"/>
              <w:jc w:val="center"/>
            </w:pPr>
            <w:r>
              <w:rPr>
                <w:rFonts w:ascii="Times New Roman" w:hAnsi="Times New Roman" w:eastAsia="宋体"/>
                <w:b w:val="0"/>
                <w:sz w:val="18"/>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0" w:after="0" w:line="240" w:lineRule="auto"/>
              <w:jc w:val="center"/>
            </w:pPr>
            <w:r>
              <w:rPr>
                <w:rFonts w:ascii="Times New Roman" w:hAnsi="Times New Roman" w:eastAsia="宋体"/>
                <w:b w:val="0"/>
                <w:sz w:val="18"/>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0" w:after="0" w:line="240" w:lineRule="auto"/>
              <w:jc w:val="center"/>
            </w:pPr>
            <w:r>
              <w:rPr>
                <w:rFonts w:ascii="Times New Roman" w:hAnsi="Times New Roman" w:eastAsia="宋体"/>
                <w:b w:val="0"/>
                <w:sz w:val="18"/>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0" w:after="0" w:line="240" w:lineRule="auto"/>
              <w:jc w:val="center"/>
            </w:pPr>
            <w:r>
              <w:rPr>
                <w:rFonts w:ascii="Times New Roman" w:hAnsi="Times New Roman" w:eastAsia="宋体"/>
                <w:b w:val="0"/>
                <w:sz w:val="18"/>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0" w:after="0" w:line="240" w:lineRule="auto"/>
              <w:jc w:val="center"/>
            </w:pPr>
            <w:r>
              <w:rPr>
                <w:rFonts w:ascii="Times New Roman" w:hAnsi="Times New Roman" w:eastAsia="宋体"/>
                <w:b w:val="0"/>
                <w:sz w:val="18"/>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0" w:after="0" w:line="240" w:lineRule="auto"/>
              <w:jc w:val="center"/>
            </w:pPr>
            <w:r>
              <w:rPr>
                <w:rFonts w:ascii="Times New Roman" w:hAnsi="Times New Roman" w:eastAsia="宋体"/>
                <w:b w:val="0"/>
                <w:sz w:val="18"/>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0" w:after="0" w:line="240" w:lineRule="auto"/>
              <w:jc w:val="center"/>
            </w:pPr>
            <w:r>
              <w:rPr>
                <w:rFonts w:ascii="Times New Roman" w:hAnsi="Times New Roman" w:eastAsia="宋体"/>
                <w:b w:val="0"/>
                <w:sz w:val="18"/>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0" w:after="0" w:line="240" w:lineRule="auto"/>
              <w:jc w:val="center"/>
            </w:pPr>
            <w:r>
              <w:rPr>
                <w:rFonts w:ascii="Times New Roman" w:hAnsi="Times New Roman" w:eastAsia="宋体"/>
                <w:b w:val="0"/>
                <w:sz w:val="18"/>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0" w:after="0" w:line="240" w:lineRule="auto"/>
              <w:jc w:val="center"/>
            </w:pPr>
            <w:r>
              <w:rPr>
                <w:rFonts w:ascii="Times New Roman" w:hAnsi="Times New Roman" w:eastAsia="宋体"/>
                <w:b w:val="0"/>
                <w:sz w:val="18"/>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0" w:after="0" w:line="240" w:lineRule="auto"/>
              <w:jc w:val="center"/>
            </w:pPr>
            <w:r>
              <w:rPr>
                <w:rFonts w:ascii="Times New Roman" w:hAnsi="Times New Roman" w:eastAsia="宋体"/>
                <w:b w:val="0"/>
                <w:sz w:val="18"/>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0" w:after="0" w:line="240" w:lineRule="auto"/>
              <w:jc w:val="center"/>
            </w:pPr>
            <w:r>
              <w:rPr>
                <w:rFonts w:ascii="Times New Roman" w:hAnsi="Times New Roman" w:eastAsia="宋体"/>
                <w:b w:val="0"/>
                <w:sz w:val="18"/>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0" w:after="0" w:line="240" w:lineRule="auto"/>
              <w:jc w:val="center"/>
            </w:pPr>
            <w:r>
              <w:rPr>
                <w:rFonts w:ascii="Times New Roman" w:hAnsi="Times New Roman" w:eastAsia="宋体"/>
                <w:b w:val="0"/>
                <w:sz w:val="18"/>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0" w:after="0" w:line="240" w:lineRule="auto"/>
              <w:jc w:val="center"/>
            </w:pPr>
            <w:r>
              <w:rPr>
                <w:rFonts w:ascii="Times New Roman" w:hAnsi="Times New Roman" w:eastAsia="宋体"/>
                <w:b w:val="0"/>
                <w:sz w:val="18"/>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0" w:after="0" w:line="240" w:lineRule="auto"/>
              <w:jc w:val="center"/>
            </w:pPr>
            <w:r>
              <w:rPr>
                <w:rFonts w:ascii="Times New Roman" w:hAnsi="Times New Roman" w:eastAsia="宋体"/>
                <w:b w:val="0"/>
                <w:sz w:val="18"/>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0" w:after="0" w:line="240" w:lineRule="auto"/>
              <w:jc w:val="center"/>
            </w:pPr>
            <w:r>
              <w:rPr>
                <w:rFonts w:ascii="Times New Roman" w:hAnsi="Times New Roman" w:eastAsia="宋体"/>
                <w:b w:val="0"/>
                <w:sz w:val="18"/>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0" w:after="0" w:line="240" w:lineRule="auto"/>
              <w:jc w:val="center"/>
            </w:pPr>
            <w:r>
              <w:rPr>
                <w:rFonts w:ascii="Times New Roman" w:hAnsi="Times New Roman" w:eastAsia="宋体"/>
                <w:b w:val="0"/>
                <w:sz w:val="18"/>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0" w:after="0" w:line="240" w:lineRule="auto"/>
              <w:jc w:val="center"/>
            </w:pPr>
            <w:r>
              <w:rPr>
                <w:rFonts w:ascii="Times New Roman" w:hAnsi="Times New Roman" w:eastAsia="宋体"/>
                <w:b w:val="0"/>
                <w:sz w:val="18"/>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0" w:after="0" w:line="240" w:lineRule="auto"/>
              <w:jc w:val="center"/>
            </w:pPr>
            <w:r>
              <w:rPr>
                <w:rFonts w:ascii="Times New Roman" w:hAnsi="Times New Roman" w:eastAsia="宋体"/>
                <w:b w:val="0"/>
                <w:sz w:val="18"/>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0" w:after="0" w:line="240" w:lineRule="auto"/>
              <w:jc w:val="center"/>
            </w:pPr>
            <w:r>
              <w:rPr>
                <w:rFonts w:ascii="Times New Roman" w:hAnsi="Times New Roman" w:eastAsia="宋体"/>
                <w:b w:val="0"/>
                <w:sz w:val="18"/>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0" w:after="0" w:line="240" w:lineRule="auto"/>
              <w:jc w:val="center"/>
            </w:pPr>
            <w:r>
              <w:rPr>
                <w:rFonts w:ascii="Times New Roman" w:hAnsi="Times New Roman" w:eastAsia="宋体"/>
                <w:b w:val="0"/>
                <w:sz w:val="18"/>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0" w:after="0" w:line="240" w:lineRule="auto"/>
              <w:jc w:val="center"/>
            </w:pPr>
            <w:r>
              <w:rPr>
                <w:rFonts w:ascii="Times New Roman" w:hAnsi="Times New Roman" w:eastAsia="宋体"/>
                <w:b w:val="0"/>
                <w:sz w:val="18"/>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0" w:after="0" w:line="240" w:lineRule="auto"/>
              <w:jc w:val="center"/>
            </w:pPr>
            <w:r>
              <w:rPr>
                <w:rFonts w:ascii="Times New Roman" w:hAnsi="Times New Roman" w:eastAsia="宋体"/>
                <w:b w:val="0"/>
                <w:sz w:val="18"/>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0" w:after="0" w:line="240" w:lineRule="auto"/>
              <w:jc w:val="center"/>
            </w:pPr>
            <w:r>
              <w:rPr>
                <w:rFonts w:ascii="Times New Roman" w:hAnsi="Times New Roman" w:eastAsia="宋体"/>
                <w:b w:val="0"/>
                <w:sz w:val="18"/>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0" w:after="0" w:line="240" w:lineRule="auto"/>
              <w:jc w:val="center"/>
            </w:pPr>
            <w:r>
              <w:rPr>
                <w:rFonts w:ascii="Times New Roman" w:hAnsi="Times New Roman" w:eastAsia="宋体"/>
                <w:b w:val="0"/>
                <w:sz w:val="18"/>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0" w:after="0" w:line="240" w:lineRule="auto"/>
              <w:jc w:val="center"/>
            </w:pPr>
            <w:r>
              <w:rPr>
                <w:rFonts w:ascii="Times New Roman" w:hAnsi="Times New Roman" w:eastAsia="宋体"/>
                <w:b w:val="0"/>
                <w:sz w:val="18"/>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0" w:after="0" w:line="240" w:lineRule="auto"/>
              <w:jc w:val="center"/>
            </w:pPr>
            <w:r>
              <w:rPr>
                <w:rFonts w:ascii="Times New Roman" w:hAnsi="Times New Roman" w:eastAsia="宋体"/>
                <w:b w:val="0"/>
                <w:sz w:val="18"/>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0" w:after="0" w:line="240" w:lineRule="auto"/>
              <w:jc w:val="center"/>
            </w:pPr>
            <w:r>
              <w:rPr>
                <w:rFonts w:ascii="Times New Roman" w:hAnsi="Times New Roman" w:eastAsia="宋体"/>
                <w:b w:val="0"/>
                <w:sz w:val="18"/>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0" w:after="0" w:line="240" w:lineRule="auto"/>
              <w:jc w:val="center"/>
            </w:pPr>
            <w:r>
              <w:rPr>
                <w:rFonts w:ascii="Times New Roman" w:hAnsi="Times New Roman" w:eastAsia="宋体"/>
                <w:b/>
                <w:sz w:val="18"/>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0" w:after="0" w:line="240" w:lineRule="auto"/>
              <w:jc w:val="center"/>
            </w:pPr>
            <w:r>
              <w:rPr>
                <w:rFonts w:ascii="Times New Roman" w:hAnsi="Times New Roman" w:eastAsia="宋体"/>
                <w:b/>
                <w:sz w:val="18"/>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0" w:after="0" w:line="240" w:lineRule="auto"/>
              <w:jc w:val="center"/>
            </w:pPr>
            <w:r>
              <w:rPr>
                <w:rFonts w:ascii="Times New Roman" w:hAnsi="Times New Roman" w:eastAsia="宋体"/>
                <w:b/>
                <w:sz w:val="18"/>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0" w:after="0" w:line="240" w:lineRule="auto"/>
              <w:jc w:val="center"/>
            </w:pPr>
            <w:r>
              <w:rPr>
                <w:rFonts w:ascii="Times New Roman" w:hAnsi="Times New Roman" w:eastAsia="宋体"/>
                <w:b/>
                <w:sz w:val="18"/>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0" w:after="0" w:line="240" w:lineRule="auto"/>
              <w:jc w:val="center"/>
            </w:pPr>
            <w:r>
              <w:rPr>
                <w:rFonts w:ascii="Times New Roman" w:hAnsi="Times New Roman" w:eastAsia="宋体"/>
                <w:b/>
                <w:sz w:val="18"/>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0" w:after="0" w:line="240" w:lineRule="auto"/>
              <w:jc w:val="center"/>
            </w:pPr>
            <w:r>
              <w:rPr>
                <w:rFonts w:ascii="Times New Roman" w:hAnsi="Times New Roman" w:eastAsia="宋体"/>
                <w:b/>
                <w:sz w:val="18"/>
              </w:rPr>
              <w:t>F=42.18*** (p&lt;0.001)</w:t>
            </w:r>
          </w:p>
        </w:tc>
      </w:tr>
    </w:tbl>
    <w:p w14:paraId="60A2A458">
      <w:pPr>
        <w:spacing w:before="20" w:after="60" w:line="276" w:lineRule="auto"/>
        <w:jc w:val="left"/>
      </w:pPr>
      <w:r>
        <w:rPr>
          <w:sz w:val="17"/>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rPr>
          <w:rFonts w:ascii="Times New Roman" w:hAnsi="Times New Roman" w:eastAsia="宋体"/>
          <w:b w:val="0"/>
          <w:sz w:val="21"/>
        </w:rPr>
        <w:t>t 值回答“是否显著”，系数回答“值多少钱”。标准差换算后（年化）：处置效应恶化 1 个标准差吞噬季度超额约 0.54 个百分点（占季度均值约四分之一，年化约 2.2%），行业集中度与 Sharpe 则分别贡献季度约 0.73 与 0.85 个百分点（年化约 +2.9% 与 +3.7%）。在全部 25 个候选指标中，12 个核心行为指标单变量高度显著且符合理论机制预期（见表 4 及附表 2 单变量回归矩阵对角线）：集中押注（ICI）、盈利进攻（risk_asym）、报表外调仓（ARG）、跌市防守（timing）、三项转化比率（Sharpe、Sortino、MPPM）及高位持仓（anchor_high，β=+0.09***）显著为正，其中高位持仓反映持仓贴近前期高点的右侧动量追随效应；处置效应（de）、过度自信（oc_conf）、风格漂移（ISDI）与策略偏离（SDI）显著为负。基本面特征均为负向，与规模不经济物理约束一致；个人背景标签无独立解释力。联立全模型 R² 跃升至 0.7141，ARG、timing、MPPM 与 ICI 净效应稳固，印证多维行为协同价值。</w:t>
      </w:r>
    </w:p>
    <w:p w14:paraId="1A0F08A7">
      <w:pPr>
        <w:spacing w:after="80" w:line="324" w:lineRule="auto"/>
        <w:ind w:firstLine="480"/>
        <w:jc w:val="center"/>
        <w:rPr>
          <w:rFonts w:hint="eastAsia" w:ascii="黑体" w:hAnsi="黑体" w:eastAsia="黑体" w:cs="黑体"/>
          <w:b/>
          <w:bCs/>
          <w:sz w:val="21"/>
          <w:highlight w:val="none"/>
          <w:lang w:eastAsia="zh-CN"/>
        </w:rPr>
      </w:pPr>
      <w:r>
        <w:rPr>
          <w:rFonts w:hint="eastAsia" w:ascii="黑体" w:hAnsi="黑体" w:eastAsia="黑体" w:cs="黑体"/>
          <w:b/>
          <w:bCs/>
          <w:sz w:val="21"/>
          <w:highlight w:val="none"/>
          <w:lang w:eastAsia="zh-CN"/>
        </w:rPr>
        <w:t xml:space="preserve">表 </w:t>
      </w:r>
      <w:r>
        <w:rPr>
          <w:rFonts w:hint="eastAsia" w:ascii="黑体" w:hAnsi="黑体" w:eastAsia="黑体" w:cs="黑体"/>
          <w:b/>
          <w:bCs/>
          <w:sz w:val="21"/>
          <w:highlight w:val="none"/>
          <w:lang w:val="en-US" w:eastAsia="zh-CN"/>
        </w:rPr>
        <w:t>5</w:t>
      </w:r>
      <w:r>
        <w:rPr>
          <w:rFonts w:hint="eastAsia" w:ascii="黑体" w:hAnsi="黑体" w:eastAsia="黑体" w:cs="黑体"/>
          <w:b/>
          <w:bCs/>
          <w:sz w:val="21"/>
          <w:highlight w:val="none"/>
          <w:lang w:eastAsia="zh-CN"/>
        </w:rPr>
        <w:t xml:space="preserve">  1</w:t>
      </w:r>
      <w:r>
        <w:rPr>
          <w:rFonts w:hint="eastAsia" w:ascii="黑体" w:hAnsi="黑体" w:eastAsia="黑体" w:cs="黑体"/>
          <w:b/>
          <w:bCs/>
          <w:sz w:val="21"/>
          <w:highlight w:val="none"/>
          <w:lang w:val="en-US" w:eastAsia="zh-CN"/>
        </w:rPr>
        <w:t>6</w:t>
      </w:r>
      <w:r>
        <w:rPr>
          <w:rFonts w:hint="eastAsia" w:ascii="黑体" w:hAnsi="黑体" w:eastAsia="黑体" w:cs="黑体"/>
          <w:b/>
          <w:bCs/>
          <w:sz w:val="21"/>
          <w:highlight w:val="none"/>
          <w:lang w:eastAsia="zh-CN"/>
        </w:rPr>
        <w:t xml:space="preserve"> 个</w:t>
      </w:r>
      <w:r>
        <w:rPr>
          <w:rFonts w:hint="eastAsia" w:ascii="黑体" w:hAnsi="黑体" w:eastAsia="黑体" w:cs="黑体"/>
          <w:b/>
          <w:bCs/>
          <w:sz w:val="21"/>
          <w:highlight w:val="none"/>
          <w:lang w:val="en-US" w:eastAsia="zh-CN"/>
        </w:rPr>
        <w:t>有效</w:t>
      </w:r>
      <w:r>
        <w:rPr>
          <w:rFonts w:hint="eastAsia" w:ascii="黑体" w:hAnsi="黑体" w:eastAsia="黑体" w:cs="黑体"/>
          <w:b/>
          <w:bCs/>
          <w:sz w:val="21"/>
          <w:highlight w:val="none"/>
          <w:lang w:eastAsia="zh-CN"/>
        </w:rPr>
        <w:t>成分指标的单变量显著性结果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92"/>
        <w:gridCol w:w="1792"/>
        <w:gridCol w:w="1792"/>
        <w:gridCol w:w="1792"/>
        <w:gridCol w:w="1792"/>
      </w:tblGrid>
      <w:tr w14:paraId="2D15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tcBorders>
              <w:top w:val="single" w:color="000000" w:sz="12" w:space="0"/>
              <w:left w:val="none"/>
              <w:bottom w:val="single" w:color="000000" w:sz="4" w:space="0"/>
              <w:right w:val="none"/>
              <w:tl2br w:val="nil"/>
            </w:tcBorders>
            <w:shd w:val="clear" w:color="auto" w:fill="auto"/>
            <w:vAlign w:val="center"/>
          </w:tcPr>
          <w:p w14:paraId="1C85BAE5">
            <w:pPr>
              <w:spacing w:after="40" w:line="276" w:lineRule="auto"/>
              <w:jc w:val="center"/>
              <w:rPr>
                <w:b w:val="0"/>
                <w:color w:val="000000"/>
              </w:rPr>
            </w:pPr>
            <w:r>
              <w:rPr>
                <w:rFonts w:ascii="Times New Roman" w:hAnsi="Times New Roman" w:eastAsia="宋体"/>
                <w:b w:val="0"/>
                <w:color w:val="000000"/>
                <w:sz w:val="18"/>
              </w:rPr>
              <w:t>层级</w:t>
            </w:r>
          </w:p>
        </w:tc>
        <w:tc>
          <w:tcPr>
            <w:tcW w:w="1792" w:type="dxa"/>
            <w:tcBorders>
              <w:top w:val="single" w:color="000000" w:sz="12" w:space="0"/>
              <w:left w:val="none"/>
              <w:bottom w:val="single" w:color="000000" w:sz="4" w:space="0"/>
              <w:right w:val="none"/>
            </w:tcBorders>
            <w:shd w:val="clear" w:color="auto" w:fill="auto"/>
            <w:vAlign w:val="center"/>
          </w:tcPr>
          <w:p w14:paraId="515FA6A1">
            <w:pPr>
              <w:spacing w:after="40" w:line="276" w:lineRule="auto"/>
              <w:jc w:val="center"/>
              <w:rPr>
                <w:b w:val="0"/>
                <w:color w:val="000000"/>
              </w:rPr>
            </w:pPr>
            <w:r>
              <w:rPr>
                <w:rFonts w:ascii="Times New Roman" w:hAnsi="Times New Roman" w:eastAsia="宋体"/>
                <w:b w:val="0"/>
                <w:color w:val="000000"/>
                <w:sz w:val="18"/>
              </w:rPr>
              <w:t>指标</w:t>
            </w:r>
          </w:p>
        </w:tc>
        <w:tc>
          <w:tcPr>
            <w:tcW w:w="1792" w:type="dxa"/>
            <w:tcBorders>
              <w:top w:val="single" w:color="000000" w:sz="12" w:space="0"/>
              <w:left w:val="none"/>
              <w:bottom w:val="single" w:color="000000" w:sz="4" w:space="0"/>
              <w:right w:val="none"/>
            </w:tcBorders>
            <w:shd w:val="clear" w:color="auto" w:fill="auto"/>
            <w:vAlign w:val="center"/>
          </w:tcPr>
          <w:p w14:paraId="5D883FBF">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横截面</w:t>
            </w:r>
            <w:r>
              <w:rPr>
                <w:rFonts w:hint="eastAsia" w:ascii="Times New Roman" w:hAnsi="Times New Roman" w:eastAsia="宋体"/>
                <w:b w:val="0"/>
                <w:color w:val="000000"/>
                <w:sz w:val="18"/>
                <w:lang w:eastAsia="zh-CN"/>
              </w:rPr>
              <w:t>回归</w:t>
            </w:r>
          </w:p>
        </w:tc>
        <w:tc>
          <w:tcPr>
            <w:tcW w:w="1792" w:type="dxa"/>
            <w:tcBorders>
              <w:top w:val="single" w:color="000000" w:sz="12" w:space="0"/>
              <w:left w:val="none"/>
              <w:bottom w:val="single" w:color="000000" w:sz="4" w:space="0"/>
              <w:right w:val="none"/>
            </w:tcBorders>
            <w:shd w:val="clear" w:color="auto" w:fill="auto"/>
            <w:vAlign w:val="center"/>
          </w:tcPr>
          <w:p w14:paraId="4F026F08">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面板</w:t>
            </w:r>
            <w:r>
              <w:rPr>
                <w:rFonts w:hint="eastAsia" w:ascii="Times New Roman" w:hAnsi="Times New Roman" w:eastAsia="宋体"/>
                <w:b w:val="0"/>
                <w:color w:val="000000"/>
                <w:sz w:val="18"/>
                <w:lang w:eastAsia="zh-CN"/>
              </w:rPr>
              <w:t>回归</w:t>
            </w:r>
          </w:p>
        </w:tc>
        <w:tc>
          <w:tcPr>
            <w:tcW w:w="1792" w:type="dxa"/>
            <w:tcBorders>
              <w:top w:val="single" w:color="000000" w:sz="12" w:space="0"/>
              <w:left w:val="none"/>
              <w:bottom w:val="single" w:color="000000" w:sz="4" w:space="0"/>
              <w:right w:val="none"/>
            </w:tcBorders>
            <w:shd w:val="clear" w:color="auto" w:fill="auto"/>
            <w:vAlign w:val="center"/>
          </w:tcPr>
          <w:p w14:paraId="2B6A6E48">
            <w:pPr>
              <w:spacing w:after="40" w:line="276" w:lineRule="auto"/>
              <w:jc w:val="center"/>
              <w:rPr>
                <w:b w:val="0"/>
                <w:color w:val="000000"/>
              </w:rPr>
            </w:pPr>
            <w:r>
              <w:rPr>
                <w:rFonts w:ascii="Times New Roman" w:hAnsi="Times New Roman" w:eastAsia="宋体"/>
                <w:b w:val="0"/>
                <w:color w:val="000000"/>
                <w:sz w:val="18"/>
              </w:rPr>
              <w:t>经济含义</w:t>
            </w:r>
          </w:p>
        </w:tc>
      </w:tr>
      <w:tr w14:paraId="1597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color="000000" w:sz="4" w:space="0"/>
              <w:left w:val="none"/>
              <w:right w:val="none"/>
              <w:bottom w:val="none"/>
            </w:tcBorders>
            <w:shd w:val="clear" w:color="auto" w:fill="auto"/>
            <w:vAlign w:val="center"/>
          </w:tcPr>
          <w:p w14:paraId="22CC66D3">
            <w:pPr>
              <w:spacing w:after="40" w:line="276" w:lineRule="auto"/>
              <w:jc w:val="center"/>
              <w:rPr>
                <w:b w:val="0"/>
                <w:color w:val="000000"/>
              </w:rP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792" w:type="dxa"/>
            <w:tcBorders>
              <w:top w:val="single" w:color="000000" w:sz="4" w:space="0"/>
              <w:left w:val="none"/>
              <w:bottom w:val="none"/>
              <w:right w:val="none"/>
            </w:tcBorders>
            <w:shd w:val="clear" w:color="auto" w:fill="auto"/>
            <w:vAlign w:val="center"/>
          </w:tcPr>
          <w:p w14:paraId="285019AB">
            <w:pPr>
              <w:spacing w:after="40" w:line="276" w:lineRule="auto"/>
              <w:jc w:val="center"/>
              <w:rPr>
                <w:b w:val="0"/>
                <w:color w:val="000000"/>
              </w:rPr>
            </w:pPr>
            <w:r>
              <w:rPr>
                <w:rFonts w:ascii="Times New Roman" w:hAnsi="Times New Roman" w:eastAsia="宋体"/>
                <w:b w:val="0"/>
                <w:color w:val="000000"/>
                <w:sz w:val="18"/>
              </w:rPr>
              <w:t>任职年限</w:t>
            </w:r>
          </w:p>
        </w:tc>
        <w:tc>
          <w:tcPr>
            <w:tcW w:w="1792" w:type="dxa"/>
            <w:tcBorders>
              <w:top w:val="single" w:color="000000" w:sz="4" w:space="0"/>
              <w:left w:val="none"/>
              <w:bottom w:val="none"/>
              <w:right w:val="none"/>
            </w:tcBorders>
            <w:shd w:val="clear" w:color="auto" w:fill="auto"/>
            <w:vAlign w:val="center"/>
          </w:tcPr>
          <w:p w14:paraId="23F58838">
            <w:pPr>
              <w:spacing w:after="40" w:line="276" w:lineRule="auto"/>
              <w:jc w:val="center"/>
              <w:rPr>
                <w:b w:val="0"/>
                <w:color w:val="000000"/>
              </w:rPr>
            </w:pPr>
            <w:r>
              <w:rPr>
                <w:rFonts w:ascii="Times New Roman" w:hAnsi="Times New Roman" w:eastAsia="宋体"/>
                <w:b w:val="0"/>
                <w:color w:val="000000"/>
                <w:sz w:val="18"/>
              </w:rPr>
              <w:t>t=-1.85*</w:t>
            </w:r>
          </w:p>
        </w:tc>
        <w:tc>
          <w:tcPr>
            <w:tcW w:w="1792" w:type="dxa"/>
            <w:tcBorders>
              <w:top w:val="single" w:color="000000" w:sz="4" w:space="0"/>
              <w:left w:val="none"/>
              <w:bottom w:val="none"/>
              <w:right w:val="none"/>
            </w:tcBorders>
            <w:shd w:val="clear" w:color="auto" w:fill="auto"/>
            <w:vAlign w:val="center"/>
          </w:tcPr>
          <w:p w14:paraId="1D7790AE">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single" w:color="000000" w:sz="4" w:space="0"/>
              <w:left w:val="none"/>
              <w:bottom w:val="none"/>
              <w:right w:val="none"/>
            </w:tcBorders>
            <w:shd w:val="clear" w:color="auto" w:fill="auto"/>
            <w:vAlign w:val="center"/>
          </w:tcPr>
          <w:p w14:paraId="0EF62FDE">
            <w:pPr>
              <w:spacing w:after="40" w:line="276" w:lineRule="auto"/>
              <w:jc w:val="center"/>
              <w:rPr>
                <w:b w:val="0"/>
                <w:color w:val="000000"/>
                <w:lang w:eastAsia="zh-CN"/>
              </w:rPr>
            </w:pPr>
            <w:r>
              <w:rPr>
                <w:rFonts w:hint="eastAsia" w:ascii="Times New Roman" w:hAnsi="Times New Roman" w:eastAsia="宋体"/>
                <w:b w:val="0"/>
                <w:color w:val="000000"/>
                <w:sz w:val="18"/>
              </w:rPr>
              <w:t>任职越久 alpha 反而越低</w:t>
            </w:r>
          </w:p>
        </w:tc>
      </w:tr>
      <w:tr w14:paraId="11B3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5D874853">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29EE712B">
            <w:pPr>
              <w:spacing w:after="40" w:line="276" w:lineRule="auto"/>
              <w:jc w:val="center"/>
              <w:rPr>
                <w:b w:val="0"/>
                <w:color w:val="000000"/>
              </w:rPr>
            </w:pPr>
            <w:r>
              <w:rPr>
                <w:rFonts w:ascii="Times New Roman" w:hAnsi="Times New Roman" w:eastAsia="宋体"/>
                <w:b w:val="0"/>
                <w:color w:val="000000"/>
                <w:sz w:val="18"/>
              </w:rPr>
              <w:t>log基金年龄</w:t>
            </w:r>
          </w:p>
        </w:tc>
        <w:tc>
          <w:tcPr>
            <w:tcW w:w="1792" w:type="dxa"/>
            <w:tcBorders>
              <w:top w:val="none"/>
              <w:left w:val="none"/>
              <w:bottom w:val="none"/>
              <w:right w:val="none"/>
            </w:tcBorders>
            <w:shd w:val="clear" w:color="auto" w:fill="auto"/>
            <w:vAlign w:val="center"/>
          </w:tcPr>
          <w:p w14:paraId="3B78505E">
            <w:pPr>
              <w:spacing w:after="40" w:line="276" w:lineRule="auto"/>
              <w:jc w:val="center"/>
              <w:rPr>
                <w:b w:val="0"/>
                <w:color w:val="000000"/>
              </w:rPr>
            </w:pPr>
            <w:r>
              <w:rPr>
                <w:rFonts w:ascii="Times New Roman" w:hAnsi="Times New Roman" w:eastAsia="宋体"/>
                <w:b w:val="0"/>
                <w:color w:val="000000"/>
                <w:sz w:val="18"/>
              </w:rPr>
              <w:t>t=-4.13***</w:t>
            </w:r>
          </w:p>
        </w:tc>
        <w:tc>
          <w:tcPr>
            <w:tcW w:w="1792" w:type="dxa"/>
            <w:tcBorders>
              <w:top w:val="none"/>
              <w:left w:val="none"/>
              <w:bottom w:val="none"/>
              <w:right w:val="none"/>
            </w:tcBorders>
            <w:shd w:val="clear" w:color="auto" w:fill="auto"/>
            <w:vAlign w:val="center"/>
          </w:tcPr>
          <w:p w14:paraId="11B00682">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one"/>
              <w:left w:val="none"/>
              <w:bottom w:val="none"/>
              <w:right w:val="none"/>
            </w:tcBorders>
            <w:shd w:val="clear" w:color="auto" w:fill="auto"/>
            <w:vAlign w:val="center"/>
          </w:tcPr>
          <w:p w14:paraId="28F67355">
            <w:pPr>
              <w:spacing w:after="40" w:line="276" w:lineRule="auto"/>
              <w:jc w:val="center"/>
              <w:rPr>
                <w:b w:val="0"/>
                <w:color w:val="000000"/>
              </w:rPr>
            </w:pPr>
            <w:r>
              <w:rPr>
                <w:rFonts w:ascii="Times New Roman" w:hAnsi="Times New Roman" w:eastAsia="宋体"/>
                <w:b w:val="0"/>
                <w:color w:val="000000"/>
                <w:sz w:val="18"/>
              </w:rPr>
              <w:t>新基金 alpha 更高</w:t>
            </w:r>
          </w:p>
        </w:tc>
      </w:tr>
      <w:tr w14:paraId="773F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2711252F">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57CC485A">
            <w:pPr>
              <w:spacing w:after="40" w:line="276" w:lineRule="auto"/>
              <w:jc w:val="center"/>
              <w:rPr>
                <w:b w:val="0"/>
                <w:color w:val="000000"/>
              </w:rPr>
            </w:pPr>
            <w:r>
              <w:rPr>
                <w:rFonts w:ascii="Times New Roman" w:hAnsi="Times New Roman" w:eastAsia="宋体"/>
                <w:b w:val="0"/>
                <w:color w:val="000000"/>
                <w:sz w:val="18"/>
              </w:rPr>
              <w:t>log基金规模</w:t>
            </w:r>
          </w:p>
        </w:tc>
        <w:tc>
          <w:tcPr>
            <w:tcW w:w="1792" w:type="dxa"/>
            <w:tcBorders>
              <w:top w:val="none"/>
              <w:left w:val="none"/>
              <w:bottom w:val="none"/>
              <w:right w:val="none"/>
            </w:tcBorders>
            <w:shd w:val="clear" w:color="auto" w:fill="auto"/>
            <w:vAlign w:val="center"/>
          </w:tcPr>
          <w:p w14:paraId="53007B16">
            <w:pPr>
              <w:spacing w:after="40" w:line="276" w:lineRule="auto"/>
              <w:jc w:val="center"/>
              <w:rPr>
                <w:b w:val="0"/>
                <w:color w:val="000000"/>
              </w:rPr>
            </w:pPr>
            <w:r>
              <w:rPr>
                <w:rFonts w:ascii="Times New Roman" w:hAnsi="Times New Roman" w:eastAsia="宋体"/>
                <w:b w:val="0"/>
                <w:color w:val="000000"/>
                <w:sz w:val="18"/>
              </w:rPr>
              <w:t>t=-1.16</w:t>
            </w:r>
          </w:p>
        </w:tc>
        <w:tc>
          <w:tcPr>
            <w:tcW w:w="1792" w:type="dxa"/>
            <w:tcBorders>
              <w:top w:val="none"/>
              <w:left w:val="none"/>
              <w:bottom w:val="none"/>
              <w:right w:val="none"/>
            </w:tcBorders>
            <w:shd w:val="clear" w:color="auto" w:fill="auto"/>
            <w:vAlign w:val="center"/>
          </w:tcPr>
          <w:p w14:paraId="547EE564">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one"/>
              <w:left w:val="none"/>
              <w:bottom w:val="none"/>
              <w:right w:val="none"/>
            </w:tcBorders>
            <w:shd w:val="clear" w:color="auto" w:fill="auto"/>
            <w:vAlign w:val="center"/>
          </w:tcPr>
          <w:p w14:paraId="23330479">
            <w:pPr>
              <w:spacing w:after="40" w:line="276" w:lineRule="auto"/>
              <w:jc w:val="center"/>
              <w:rPr>
                <w:b w:val="0"/>
                <w:color w:val="000000"/>
                <w:lang w:eastAsia="zh-CN"/>
              </w:rPr>
            </w:pPr>
            <w:r>
              <w:rPr>
                <w:rFonts w:hint="eastAsia" w:ascii="Times New Roman" w:hAnsi="Times New Roman" w:eastAsia="宋体"/>
                <w:b w:val="0"/>
                <w:color w:val="000000"/>
                <w:sz w:val="18"/>
              </w:rPr>
              <w:t>规模越小 alpha 越高</w:t>
            </w:r>
          </w:p>
        </w:tc>
      </w:tr>
      <w:tr w14:paraId="6D45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left w:val="none"/>
              <w:right w:val="none"/>
              <w:bottom w:val="none"/>
            </w:tcBorders>
            <w:shd w:val="clear" w:color="auto" w:fill="auto"/>
            <w:vAlign w:val="center"/>
          </w:tcPr>
          <w:p w14:paraId="272B734E">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792" w:type="dxa"/>
            <w:tcBorders>
              <w:top w:val="none"/>
              <w:left w:val="none"/>
              <w:bottom w:val="none"/>
              <w:right w:val="none"/>
            </w:tcBorders>
            <w:shd w:val="clear" w:color="auto" w:fill="auto"/>
            <w:vAlign w:val="center"/>
          </w:tcPr>
          <w:p w14:paraId="597BB037">
            <w:pPr>
              <w:spacing w:after="40" w:line="276" w:lineRule="auto"/>
              <w:jc w:val="center"/>
              <w:rPr>
                <w:b w:val="0"/>
                <w:color w:val="000000"/>
              </w:rPr>
            </w:pPr>
            <w:r>
              <w:rPr>
                <w:rFonts w:ascii="Times New Roman" w:hAnsi="Times New Roman" w:eastAsia="宋体"/>
                <w:b w:val="0"/>
                <w:color w:val="000000"/>
                <w:sz w:val="18"/>
              </w:rPr>
              <w:t>行业集中度ICI</w:t>
            </w:r>
          </w:p>
        </w:tc>
        <w:tc>
          <w:tcPr>
            <w:tcW w:w="1792" w:type="dxa"/>
            <w:tcBorders>
              <w:top w:val="none"/>
              <w:left w:val="none"/>
              <w:bottom w:val="none"/>
              <w:right w:val="none"/>
            </w:tcBorders>
            <w:shd w:val="clear" w:color="auto" w:fill="auto"/>
            <w:vAlign w:val="center"/>
          </w:tcPr>
          <w:p w14:paraId="79240C63">
            <w:pPr>
              <w:spacing w:after="40" w:line="276" w:lineRule="auto"/>
              <w:jc w:val="center"/>
              <w:rPr>
                <w:b w:val="0"/>
                <w:color w:val="000000"/>
              </w:rPr>
            </w:pPr>
            <w:r>
              <w:rPr>
                <w:rFonts w:ascii="Times New Roman" w:hAnsi="Times New Roman" w:eastAsia="宋体"/>
                <w:b w:val="0"/>
                <w:color w:val="000000"/>
                <w:sz w:val="18"/>
              </w:rPr>
              <w:t>t=+4.43***</w:t>
            </w:r>
          </w:p>
        </w:tc>
        <w:tc>
          <w:tcPr>
            <w:tcW w:w="1792" w:type="dxa"/>
            <w:tcBorders>
              <w:top w:val="none"/>
              <w:left w:val="none"/>
              <w:bottom w:val="none"/>
              <w:right w:val="none"/>
            </w:tcBorders>
            <w:shd w:val="clear" w:color="auto" w:fill="auto"/>
            <w:vAlign w:val="center"/>
          </w:tcPr>
          <w:p w14:paraId="76FC2D12">
            <w:pPr>
              <w:spacing w:after="40" w:line="276" w:lineRule="auto"/>
              <w:jc w:val="center"/>
              <w:rPr>
                <w:b w:val="0"/>
                <w:color w:val="000000"/>
              </w:rPr>
            </w:pPr>
            <w:r>
              <w:rPr>
                <w:rFonts w:ascii="Times New Roman" w:hAnsi="Times New Roman" w:eastAsia="宋体"/>
                <w:b w:val="0"/>
                <w:color w:val="000000"/>
                <w:sz w:val="18"/>
              </w:rPr>
              <w:t>t=+8.80***</w:t>
            </w:r>
          </w:p>
        </w:tc>
        <w:tc>
          <w:tcPr>
            <w:tcW w:w="1792" w:type="dxa"/>
            <w:tcBorders>
              <w:top w:val="none"/>
              <w:left w:val="none"/>
              <w:bottom w:val="none"/>
              <w:right w:val="none"/>
            </w:tcBorders>
            <w:shd w:val="clear" w:color="auto" w:fill="auto"/>
            <w:vAlign w:val="center"/>
          </w:tcPr>
          <w:p w14:paraId="4359F62A">
            <w:pPr>
              <w:spacing w:after="40" w:line="276" w:lineRule="auto"/>
              <w:jc w:val="center"/>
              <w:rPr>
                <w:b w:val="0"/>
                <w:color w:val="000000"/>
              </w:rPr>
            </w:pPr>
            <w:r>
              <w:rPr>
                <w:rFonts w:ascii="Times New Roman" w:hAnsi="Times New Roman" w:eastAsia="宋体"/>
                <w:b w:val="0"/>
                <w:color w:val="000000"/>
                <w:sz w:val="18"/>
              </w:rPr>
              <w:t>集中押注=信息优势</w:t>
            </w:r>
          </w:p>
        </w:tc>
      </w:tr>
      <w:tr w14:paraId="0DA6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1BC0CA6A">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4E2215F4">
            <w:pPr>
              <w:spacing w:after="40" w:line="276" w:lineRule="auto"/>
              <w:jc w:val="center"/>
              <w:rPr>
                <w:b w:val="0"/>
                <w:color w:val="000000"/>
                <w:lang w:eastAsia="zh-CN"/>
              </w:rPr>
            </w:pPr>
            <w:r>
              <w:rPr>
                <w:rFonts w:ascii="Times New Roman" w:hAnsi="Times New Roman" w:eastAsia="宋体"/>
                <w:b w:val="0"/>
                <w:color w:val="000000"/>
                <w:sz w:val="18"/>
                <w:lang w:eastAsia="zh-CN"/>
              </w:rPr>
              <w:t>行业风格漂移ISDI</w:t>
            </w:r>
          </w:p>
        </w:tc>
        <w:tc>
          <w:tcPr>
            <w:tcW w:w="1792" w:type="dxa"/>
            <w:tcBorders>
              <w:top w:val="none"/>
              <w:left w:val="none"/>
              <w:bottom w:val="none"/>
              <w:right w:val="none"/>
            </w:tcBorders>
            <w:shd w:val="clear" w:color="auto" w:fill="auto"/>
            <w:vAlign w:val="center"/>
          </w:tcPr>
          <w:p w14:paraId="0CB11C7E">
            <w:pPr>
              <w:spacing w:after="40" w:line="276" w:lineRule="auto"/>
              <w:jc w:val="center"/>
              <w:rPr>
                <w:b w:val="0"/>
                <w:color w:val="000000"/>
              </w:rPr>
            </w:pPr>
            <w:r>
              <w:rPr>
                <w:rFonts w:ascii="Times New Roman" w:hAnsi="Times New Roman" w:eastAsia="宋体"/>
                <w:b w:val="0"/>
                <w:color w:val="000000"/>
                <w:sz w:val="18"/>
              </w:rPr>
              <w:t>t=-3.33***</w:t>
            </w:r>
          </w:p>
        </w:tc>
        <w:tc>
          <w:tcPr>
            <w:tcW w:w="1792" w:type="dxa"/>
            <w:tcBorders>
              <w:top w:val="none"/>
              <w:left w:val="none"/>
              <w:bottom w:val="none"/>
              <w:right w:val="none"/>
            </w:tcBorders>
            <w:shd w:val="clear" w:color="auto" w:fill="auto"/>
            <w:vAlign w:val="center"/>
          </w:tcPr>
          <w:p w14:paraId="019EC201">
            <w:pPr>
              <w:spacing w:after="40" w:line="276" w:lineRule="auto"/>
              <w:jc w:val="center"/>
              <w:rPr>
                <w:b w:val="0"/>
                <w:color w:val="000000"/>
              </w:rPr>
            </w:pPr>
            <w:r>
              <w:rPr>
                <w:rFonts w:ascii="Times New Roman" w:hAnsi="Times New Roman" w:eastAsia="宋体"/>
                <w:b w:val="0"/>
                <w:color w:val="000000"/>
                <w:sz w:val="18"/>
              </w:rPr>
              <w:t>t=-5.77***</w:t>
            </w:r>
          </w:p>
        </w:tc>
        <w:tc>
          <w:tcPr>
            <w:tcW w:w="1792" w:type="dxa"/>
            <w:tcBorders>
              <w:top w:val="none"/>
              <w:left w:val="none"/>
              <w:bottom w:val="none"/>
              <w:right w:val="none"/>
            </w:tcBorders>
            <w:shd w:val="clear" w:color="auto" w:fill="auto"/>
            <w:vAlign w:val="center"/>
          </w:tcPr>
          <w:p w14:paraId="428544A1">
            <w:pPr>
              <w:spacing w:after="40" w:line="276" w:lineRule="auto"/>
              <w:jc w:val="center"/>
              <w:rPr>
                <w:b w:val="0"/>
                <w:color w:val="000000"/>
              </w:rPr>
            </w:pPr>
            <w:r>
              <w:rPr>
                <w:rFonts w:hint="eastAsia" w:ascii="Times New Roman" w:hAnsi="Times New Roman" w:eastAsia="宋体"/>
                <w:b w:val="0"/>
                <w:color w:val="000000"/>
                <w:sz w:val="18"/>
              </w:rPr>
              <w:t>风格横跳伤业绩</w:t>
            </w:r>
          </w:p>
        </w:tc>
      </w:tr>
      <w:tr w14:paraId="0DEF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left w:val="none"/>
              <w:right w:val="none"/>
              <w:bottom w:val="none"/>
            </w:tcBorders>
            <w:shd w:val="clear" w:color="auto" w:fill="auto"/>
            <w:vAlign w:val="center"/>
          </w:tcPr>
          <w:p>
            <w:pPr>
              <w:spacing w:before="40" w:after="40" w:line="252" w:lineRule="auto"/>
              <w:jc w:val="center"/>
            </w:pPr>
            <w:r>
              <w:rPr>
                <w:rFonts w:ascii="Times New Roman" w:hAnsi="Times New Roman" w:eastAsia="宋体"/>
                <w:b w:val="0"/>
                <w:sz w:val="18"/>
              </w:rPr>
              <w:t>L2 认知偏差层</w:t>
            </w:r>
          </w:p>
        </w:tc>
        <w:tc>
          <w:tcPr>
            <w:tcW w:w="1792" w:type="dxa"/>
            <w:tcBorders>
              <w:top w:val="none"/>
              <w:left w:val="none"/>
              <w:bottom w:val="none"/>
              <w:right w:val="none"/>
            </w:tcBorders>
            <w:shd w:val="clear" w:color="auto" w:fill="auto"/>
            <w:vAlign w:val="center"/>
          </w:tcPr>
          <w:p w14:paraId="5EB109D9">
            <w:pPr>
              <w:spacing w:after="40" w:line="276" w:lineRule="auto"/>
              <w:jc w:val="center"/>
              <w:rPr>
                <w:b w:val="0"/>
                <w:color w:val="000000"/>
              </w:rPr>
            </w:pPr>
            <w:r>
              <w:rPr>
                <w:rFonts w:ascii="Times New Roman" w:hAnsi="Times New Roman" w:eastAsia="宋体"/>
                <w:b w:val="0"/>
                <w:color w:val="000000"/>
                <w:sz w:val="18"/>
              </w:rPr>
              <w:t>风险偏好不对称risk_asym</w:t>
            </w:r>
          </w:p>
        </w:tc>
        <w:tc>
          <w:tcPr>
            <w:tcW w:w="1792" w:type="dxa"/>
            <w:tcBorders>
              <w:top w:val="none"/>
              <w:left w:val="none"/>
              <w:bottom w:val="none"/>
              <w:right w:val="none"/>
            </w:tcBorders>
            <w:shd w:val="clear" w:color="auto" w:fill="auto"/>
            <w:vAlign w:val="center"/>
          </w:tcPr>
          <w:p w14:paraId="48D3C397">
            <w:pPr>
              <w:spacing w:after="40" w:line="276" w:lineRule="auto"/>
              <w:jc w:val="center"/>
              <w:rPr>
                <w:b w:val="0"/>
                <w:color w:val="000000"/>
              </w:rPr>
            </w:pPr>
            <w:r>
              <w:rPr>
                <w:rFonts w:ascii="Times New Roman" w:hAnsi="Times New Roman" w:eastAsia="宋体"/>
                <w:b w:val="0"/>
                <w:color w:val="000000"/>
                <w:sz w:val="18"/>
              </w:rPr>
              <w:t>t=+3.10***</w:t>
            </w:r>
          </w:p>
        </w:tc>
        <w:tc>
          <w:tcPr>
            <w:tcW w:w="1792" w:type="dxa"/>
            <w:tcBorders>
              <w:top w:val="none"/>
              <w:left w:val="none"/>
              <w:bottom w:val="none"/>
              <w:right w:val="none"/>
            </w:tcBorders>
            <w:shd w:val="clear" w:color="auto" w:fill="auto"/>
            <w:vAlign w:val="center"/>
          </w:tcPr>
          <w:p w14:paraId="7F03580F">
            <w:pPr>
              <w:spacing w:after="40" w:line="276" w:lineRule="auto"/>
              <w:jc w:val="center"/>
              <w:rPr>
                <w:b w:val="0"/>
                <w:color w:val="000000"/>
              </w:rPr>
            </w:pPr>
            <w:r>
              <w:rPr>
                <w:rFonts w:ascii="Times New Roman" w:hAnsi="Times New Roman" w:eastAsia="宋体"/>
                <w:b w:val="0"/>
                <w:color w:val="000000"/>
                <w:sz w:val="18"/>
              </w:rPr>
              <w:t>t=+11.68***</w:t>
            </w:r>
          </w:p>
        </w:tc>
        <w:tc>
          <w:tcPr>
            <w:tcW w:w="1792" w:type="dxa"/>
            <w:tcBorders>
              <w:top w:val="none"/>
              <w:left w:val="none"/>
              <w:bottom w:val="none"/>
              <w:right w:val="none"/>
            </w:tcBorders>
            <w:shd w:val="clear" w:color="auto" w:fill="auto"/>
            <w:vAlign w:val="center"/>
          </w:tcPr>
          <w:p w14:paraId="3E564058">
            <w:pPr>
              <w:spacing w:after="40" w:line="276" w:lineRule="auto"/>
              <w:jc w:val="center"/>
              <w:rPr>
                <w:b w:val="0"/>
                <w:color w:val="000000"/>
              </w:rPr>
            </w:pPr>
            <w:r>
              <w:rPr>
                <w:rFonts w:ascii="Times New Roman" w:hAnsi="Times New Roman" w:eastAsia="宋体"/>
                <w:b w:val="0"/>
                <w:color w:val="000000"/>
                <w:sz w:val="18"/>
              </w:rPr>
              <w:t>盈攻亏守为正向贡献</w:t>
            </w:r>
          </w:p>
        </w:tc>
      </w:tr>
      <w:tr w14:paraId="22D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2F20652F">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08D68B47">
            <w:pPr>
              <w:spacing w:after="40" w:line="276" w:lineRule="auto"/>
              <w:jc w:val="center"/>
              <w:rPr>
                <w:b w:val="0"/>
                <w:color w:val="000000"/>
              </w:rPr>
            </w:pPr>
            <w:r>
              <w:rPr>
                <w:rFonts w:ascii="Times New Roman" w:hAnsi="Times New Roman" w:eastAsia="宋体"/>
                <w:b w:val="0"/>
                <w:color w:val="000000"/>
                <w:sz w:val="18"/>
              </w:rPr>
              <w:t>处置效应de</w:t>
            </w:r>
          </w:p>
        </w:tc>
        <w:tc>
          <w:tcPr>
            <w:tcW w:w="1792" w:type="dxa"/>
            <w:tcBorders>
              <w:top w:val="none"/>
              <w:left w:val="none"/>
              <w:bottom w:val="none"/>
              <w:right w:val="none"/>
            </w:tcBorders>
            <w:shd w:val="clear" w:color="auto" w:fill="auto"/>
            <w:vAlign w:val="center"/>
          </w:tcPr>
          <w:p w14:paraId="29A9D60C">
            <w:pPr>
              <w:spacing w:after="40" w:line="276" w:lineRule="auto"/>
              <w:jc w:val="center"/>
              <w:rPr>
                <w:b w:val="0"/>
                <w:color w:val="000000"/>
              </w:rPr>
            </w:pPr>
            <w:r>
              <w:rPr>
                <w:rFonts w:ascii="Times New Roman" w:hAnsi="Times New Roman" w:eastAsia="宋体"/>
                <w:b w:val="0"/>
                <w:color w:val="000000"/>
                <w:sz w:val="18"/>
              </w:rPr>
              <w:t>t=-4.46***</w:t>
            </w:r>
          </w:p>
        </w:tc>
        <w:tc>
          <w:tcPr>
            <w:tcW w:w="1792" w:type="dxa"/>
            <w:tcBorders>
              <w:top w:val="none"/>
              <w:left w:val="none"/>
              <w:bottom w:val="none"/>
              <w:right w:val="none"/>
            </w:tcBorders>
            <w:shd w:val="clear" w:color="auto" w:fill="auto"/>
            <w:vAlign w:val="center"/>
          </w:tcPr>
          <w:p w14:paraId="73854720">
            <w:pPr>
              <w:spacing w:after="40" w:line="276" w:lineRule="auto"/>
              <w:jc w:val="center"/>
              <w:rPr>
                <w:b w:val="0"/>
                <w:color w:val="000000"/>
              </w:rPr>
            </w:pPr>
            <w:r>
              <w:rPr>
                <w:rFonts w:ascii="Times New Roman" w:hAnsi="Times New Roman" w:eastAsia="宋体"/>
                <w:b w:val="0"/>
                <w:color w:val="000000"/>
                <w:sz w:val="18"/>
              </w:rPr>
              <w:t>t=-10.17***</w:t>
            </w:r>
          </w:p>
        </w:tc>
        <w:tc>
          <w:tcPr>
            <w:tcW w:w="1792" w:type="dxa"/>
            <w:tcBorders>
              <w:top w:val="none"/>
              <w:left w:val="none"/>
              <w:bottom w:val="none"/>
              <w:right w:val="none"/>
            </w:tcBorders>
            <w:shd w:val="clear" w:color="auto" w:fill="auto"/>
            <w:vAlign w:val="center"/>
          </w:tcPr>
          <w:p w14:paraId="5B067C60">
            <w:pPr>
              <w:spacing w:after="40" w:line="276" w:lineRule="auto"/>
              <w:jc w:val="center"/>
              <w:rPr>
                <w:b w:val="0"/>
                <w:color w:val="000000"/>
              </w:rPr>
            </w:pPr>
            <w:r>
              <w:rPr>
                <w:rFonts w:ascii="Times New Roman" w:hAnsi="Times New Roman" w:eastAsia="宋体"/>
                <w:b w:val="0"/>
                <w:color w:val="000000"/>
                <w:sz w:val="18"/>
              </w:rPr>
              <w:t>处置倾向损害业绩</w:t>
            </w:r>
          </w:p>
        </w:tc>
      </w:tr>
      <w:tr w14:paraId="2D92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487539AA">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543209F2">
            <w:pPr>
              <w:spacing w:after="40" w:line="276" w:lineRule="auto"/>
              <w:jc w:val="center"/>
              <w:rPr>
                <w:b w:val="0"/>
                <w:color w:val="000000"/>
              </w:rPr>
            </w:pPr>
            <w:r>
              <w:rPr>
                <w:rFonts w:ascii="Times New Roman" w:hAnsi="Times New Roman" w:eastAsia="宋体"/>
                <w:b w:val="0"/>
                <w:color w:val="000000"/>
                <w:sz w:val="18"/>
              </w:rPr>
              <w:t>过度自信oc_conf</w:t>
            </w:r>
          </w:p>
        </w:tc>
        <w:tc>
          <w:tcPr>
            <w:tcW w:w="1792" w:type="dxa"/>
            <w:tcBorders>
              <w:top w:val="none"/>
              <w:left w:val="none"/>
              <w:bottom w:val="none"/>
              <w:right w:val="none"/>
            </w:tcBorders>
            <w:shd w:val="clear" w:color="auto" w:fill="auto"/>
            <w:vAlign w:val="center"/>
          </w:tcPr>
          <w:p w14:paraId="1EB464EE">
            <w:pPr>
              <w:spacing w:after="40" w:line="276" w:lineRule="auto"/>
              <w:jc w:val="center"/>
              <w:rPr>
                <w:b w:val="0"/>
                <w:color w:val="000000"/>
              </w:rPr>
            </w:pPr>
            <w:r>
              <w:rPr>
                <w:rFonts w:ascii="Times New Roman" w:hAnsi="Times New Roman" w:eastAsia="宋体"/>
                <w:b w:val="0"/>
                <w:color w:val="000000"/>
                <w:sz w:val="18"/>
              </w:rPr>
              <w:t>t=-4.11***</w:t>
            </w:r>
          </w:p>
        </w:tc>
        <w:tc>
          <w:tcPr>
            <w:tcW w:w="1792" w:type="dxa"/>
            <w:tcBorders>
              <w:top w:val="none"/>
              <w:left w:val="none"/>
              <w:bottom w:val="none"/>
              <w:right w:val="none"/>
            </w:tcBorders>
            <w:shd w:val="clear" w:color="auto" w:fill="auto"/>
            <w:vAlign w:val="center"/>
          </w:tcPr>
          <w:p w14:paraId="0990B40A">
            <w:pPr>
              <w:spacing w:after="40" w:line="276" w:lineRule="auto"/>
              <w:jc w:val="center"/>
              <w:rPr>
                <w:b w:val="0"/>
                <w:color w:val="000000"/>
              </w:rPr>
            </w:pPr>
            <w:r>
              <w:rPr>
                <w:rFonts w:ascii="Times New Roman" w:hAnsi="Times New Roman" w:eastAsia="宋体"/>
                <w:b w:val="0"/>
                <w:color w:val="000000"/>
                <w:sz w:val="18"/>
              </w:rPr>
              <w:t>t=-0.47</w:t>
            </w:r>
          </w:p>
        </w:tc>
        <w:tc>
          <w:tcPr>
            <w:tcW w:w="1792" w:type="dxa"/>
            <w:tcBorders>
              <w:top w:val="none"/>
              <w:left w:val="none"/>
              <w:bottom w:val="none"/>
              <w:right w:val="none"/>
            </w:tcBorders>
            <w:shd w:val="clear" w:color="auto" w:fill="auto"/>
            <w:vAlign w:val="center"/>
          </w:tcPr>
          <w:p w14:paraId="0F57923E">
            <w:pPr>
              <w:spacing w:after="40" w:line="276" w:lineRule="auto"/>
              <w:jc w:val="center"/>
              <w:rPr>
                <w:b w:val="0"/>
                <w:color w:val="000000"/>
              </w:rPr>
            </w:pPr>
            <w:r>
              <w:rPr>
                <w:rFonts w:ascii="Times New Roman" w:hAnsi="Times New Roman" w:eastAsia="宋体"/>
                <w:b w:val="0"/>
                <w:color w:val="000000"/>
                <w:sz w:val="18"/>
              </w:rPr>
              <w:t>过度交易损害业绩</w:t>
            </w:r>
          </w:p>
        </w:tc>
      </w:tr>
      <w:tr w14:paraId="40DF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708D3279">
            <w:pPr>
              <w:spacing w:after="40" w:line="276" w:lineRule="auto"/>
              <w:jc w:val="center"/>
              <w:rPr>
                <w:rFonts w:ascii="Times New Roman" w:hAnsi="Times New Roman" w:eastAsia="宋体"/>
                <w:b w:val="0"/>
                <w:color w:val="000000"/>
                <w:sz w:val="18"/>
              </w:rPr>
            </w:pPr>
          </w:p>
        </w:tc>
        <w:tc>
          <w:tcPr>
            <w:tcW w:w="1792" w:type="dxa"/>
            <w:tcBorders>
              <w:top w:val="none"/>
              <w:left w:val="none"/>
              <w:bottom w:val="none"/>
              <w:right w:val="none"/>
            </w:tcBorders>
            <w:shd w:val="clear" w:color="auto" w:fill="auto"/>
            <w:vAlign w:val="center"/>
          </w:tcPr>
          <w:p>
            <w:pPr>
              <w:spacing w:before="40" w:after="40" w:line="252" w:lineRule="auto"/>
              <w:jc w:val="left"/>
            </w:pPr>
            <w:r>
              <w:rPr>
                <w:rFonts w:ascii="Times New Roman" w:hAnsi="Times New Roman" w:eastAsia="宋体"/>
                <w:b w:val="0"/>
                <w:sz w:val="18"/>
              </w:rPr>
              <w:t>高位锚定anchor_high</w:t>
            </w:r>
          </w:p>
        </w:tc>
        <w:tc>
          <w:tcPr>
            <w:tcW w:w="1792" w:type="dxa"/>
            <w:tcBorders>
              <w:top w:val="none"/>
              <w:left w:val="none"/>
              <w:bottom w:val="none"/>
              <w:right w:val="none"/>
            </w:tcBorders>
            <w:shd w:val="clear" w:color="auto" w:fill="auto"/>
            <w:vAlign w:val="center"/>
          </w:tcPr>
          <w:p>
            <w:pPr>
              <w:spacing w:before="40" w:after="40" w:line="252" w:lineRule="auto"/>
              <w:jc w:val="center"/>
            </w:pPr>
            <w:r>
              <w:rPr>
                <w:rFonts w:ascii="Times New Roman" w:hAnsi="Times New Roman" w:eastAsia="宋体"/>
                <w:b w:val="0"/>
                <w:sz w:val="18"/>
              </w:rPr>
              <w:t>t=+3.28***</w:t>
            </w:r>
          </w:p>
        </w:tc>
        <w:tc>
          <w:tcPr>
            <w:tcW w:w="1792" w:type="dxa"/>
            <w:tcBorders>
              <w:top w:val="none"/>
              <w:left w:val="none"/>
              <w:bottom w:val="none"/>
              <w:right w:val="none"/>
            </w:tcBorders>
            <w:shd w:val="clear" w:color="auto" w:fill="auto"/>
            <w:vAlign w:val="center"/>
          </w:tcPr>
          <w:p>
            <w:pPr>
              <w:spacing w:before="40" w:after="40" w:line="252" w:lineRule="auto"/>
              <w:jc w:val="center"/>
            </w:pPr>
            <w:r>
              <w:rPr>
                <w:rFonts w:ascii="Times New Roman" w:hAnsi="Times New Roman" w:eastAsia="宋体"/>
                <w:b w:val="0"/>
                <w:sz w:val="18"/>
              </w:rPr>
              <w:t>t=+17.60***</w:t>
            </w:r>
          </w:p>
        </w:tc>
        <w:tc>
          <w:tcPr>
            <w:tcW w:w="1792" w:type="dxa"/>
            <w:tcBorders>
              <w:top w:val="none"/>
              <w:left w:val="none"/>
              <w:bottom w:val="none"/>
              <w:right w:val="none"/>
            </w:tcBorders>
            <w:shd w:val="clear" w:color="auto" w:fill="auto"/>
            <w:vAlign w:val="center"/>
          </w:tcPr>
          <w:p>
            <w:pPr>
              <w:spacing w:before="40" w:after="40" w:line="252" w:lineRule="auto"/>
              <w:jc w:val="left"/>
            </w:pPr>
            <w:r>
              <w:rPr>
                <w:rFonts w:ascii="Times New Roman" w:hAnsi="Times New Roman" w:eastAsia="宋体"/>
                <w:b w:val="0"/>
                <w:sz w:val="18"/>
              </w:rPr>
              <w:t>高位持仓具动量效应</w:t>
            </w:r>
          </w:p>
        </w:tc>
      </w:tr>
      <w:tr w14:paraId="1EC6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left w:val="none"/>
              <w:right w:val="none"/>
              <w:bottom w:val="none"/>
            </w:tcBorders>
            <w:shd w:val="clear" w:color="auto" w:fill="auto"/>
            <w:vAlign w:val="center"/>
          </w:tcPr>
          <w:p w14:paraId="1AF0B39A">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792" w:type="dxa"/>
            <w:tcBorders>
              <w:top w:val="none"/>
              <w:left w:val="none"/>
              <w:bottom w:val="none"/>
              <w:right w:val="none"/>
            </w:tcBorders>
            <w:shd w:val="clear" w:color="auto" w:fill="auto"/>
            <w:vAlign w:val="center"/>
          </w:tcPr>
          <w:p w14:paraId="16A4B1F8">
            <w:pPr>
              <w:spacing w:after="40" w:line="276" w:lineRule="auto"/>
              <w:jc w:val="center"/>
              <w:rPr>
                <w:b w:val="0"/>
                <w:color w:val="000000"/>
              </w:rPr>
            </w:pPr>
            <w:r>
              <w:rPr>
                <w:rFonts w:ascii="Times New Roman" w:hAnsi="Times New Roman" w:eastAsia="宋体"/>
                <w:b w:val="0"/>
                <w:color w:val="000000"/>
                <w:sz w:val="18"/>
              </w:rPr>
              <w:t>调仓幅度ARG</w:t>
            </w:r>
          </w:p>
        </w:tc>
        <w:tc>
          <w:tcPr>
            <w:tcW w:w="1792" w:type="dxa"/>
            <w:tcBorders>
              <w:top w:val="none"/>
              <w:left w:val="none"/>
              <w:bottom w:val="none"/>
              <w:right w:val="none"/>
            </w:tcBorders>
            <w:shd w:val="clear" w:color="auto" w:fill="auto"/>
            <w:vAlign w:val="center"/>
          </w:tcPr>
          <w:p w14:paraId="474C4193">
            <w:pPr>
              <w:spacing w:after="40" w:line="276" w:lineRule="auto"/>
              <w:jc w:val="center"/>
              <w:rPr>
                <w:b w:val="0"/>
                <w:color w:val="000000"/>
              </w:rPr>
            </w:pPr>
            <w:r>
              <w:rPr>
                <w:rFonts w:ascii="Times New Roman" w:hAnsi="Times New Roman" w:eastAsia="宋体"/>
                <w:b w:val="0"/>
                <w:color w:val="000000"/>
                <w:sz w:val="18"/>
              </w:rPr>
              <w:t>t=+3.06***</w:t>
            </w:r>
          </w:p>
        </w:tc>
        <w:tc>
          <w:tcPr>
            <w:tcW w:w="1792" w:type="dxa"/>
            <w:tcBorders>
              <w:top w:val="none"/>
              <w:left w:val="none"/>
              <w:bottom w:val="none"/>
              <w:right w:val="none"/>
            </w:tcBorders>
            <w:shd w:val="clear" w:color="auto" w:fill="auto"/>
            <w:vAlign w:val="center"/>
          </w:tcPr>
          <w:p w14:paraId="537C6D02">
            <w:pPr>
              <w:spacing w:after="40" w:line="276" w:lineRule="auto"/>
              <w:jc w:val="center"/>
              <w:rPr>
                <w:b w:val="0"/>
                <w:color w:val="000000"/>
              </w:rPr>
            </w:pPr>
            <w:r>
              <w:rPr>
                <w:rFonts w:ascii="Times New Roman" w:hAnsi="Times New Roman" w:eastAsia="宋体"/>
                <w:b w:val="0"/>
                <w:color w:val="000000"/>
                <w:sz w:val="18"/>
              </w:rPr>
              <w:t>t=+14.87***</w:t>
            </w:r>
          </w:p>
        </w:tc>
        <w:tc>
          <w:tcPr>
            <w:tcW w:w="1792" w:type="dxa"/>
            <w:tcBorders>
              <w:top w:val="none"/>
              <w:left w:val="none"/>
              <w:bottom w:val="none"/>
              <w:right w:val="none"/>
            </w:tcBorders>
            <w:shd w:val="clear" w:color="auto" w:fill="auto"/>
            <w:vAlign w:val="center"/>
          </w:tcPr>
          <w:p w14:paraId="676EBFF0">
            <w:pPr>
              <w:spacing w:after="40" w:line="276" w:lineRule="auto"/>
              <w:jc w:val="center"/>
              <w:rPr>
                <w:b w:val="0"/>
                <w:color w:val="000000"/>
              </w:rPr>
            </w:pPr>
            <w:r>
              <w:rPr>
                <w:rFonts w:ascii="Times New Roman" w:hAnsi="Times New Roman" w:eastAsia="宋体"/>
                <w:b w:val="0"/>
                <w:color w:val="000000"/>
                <w:sz w:val="18"/>
              </w:rPr>
              <w:t>披露外操作预示能力</w:t>
            </w:r>
          </w:p>
        </w:tc>
      </w:tr>
      <w:tr w14:paraId="7BF2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38C6142D">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2200D273">
            <w:pPr>
              <w:spacing w:after="40" w:line="276" w:lineRule="auto"/>
              <w:jc w:val="center"/>
              <w:rPr>
                <w:b w:val="0"/>
                <w:color w:val="000000"/>
              </w:rPr>
            </w:pPr>
            <w:r>
              <w:rPr>
                <w:rFonts w:ascii="Times New Roman" w:hAnsi="Times New Roman" w:eastAsia="宋体"/>
                <w:b w:val="0"/>
                <w:color w:val="000000"/>
                <w:sz w:val="18"/>
              </w:rPr>
              <w:t>下行保护timing</w:t>
            </w:r>
          </w:p>
        </w:tc>
        <w:tc>
          <w:tcPr>
            <w:tcW w:w="1792" w:type="dxa"/>
            <w:tcBorders>
              <w:top w:val="none"/>
              <w:left w:val="none"/>
              <w:bottom w:val="none"/>
              <w:right w:val="none"/>
            </w:tcBorders>
            <w:shd w:val="clear" w:color="auto" w:fill="auto"/>
            <w:vAlign w:val="center"/>
          </w:tcPr>
          <w:p w14:paraId="14963FED">
            <w:pPr>
              <w:spacing w:after="40" w:line="276" w:lineRule="auto"/>
              <w:jc w:val="center"/>
              <w:rPr>
                <w:b w:val="0"/>
                <w:color w:val="000000"/>
              </w:rPr>
            </w:pPr>
            <w:r>
              <w:rPr>
                <w:rFonts w:ascii="Times New Roman" w:hAnsi="Times New Roman" w:eastAsia="宋体"/>
                <w:b w:val="0"/>
                <w:color w:val="000000"/>
                <w:sz w:val="18"/>
              </w:rPr>
              <w:t>t=+5.19***（n=355）</w:t>
            </w:r>
          </w:p>
        </w:tc>
        <w:tc>
          <w:tcPr>
            <w:tcW w:w="1792" w:type="dxa"/>
            <w:tcBorders>
              <w:top w:val="none"/>
              <w:left w:val="none"/>
              <w:bottom w:val="none"/>
              <w:right w:val="none"/>
            </w:tcBorders>
            <w:shd w:val="clear" w:color="auto" w:fill="auto"/>
            <w:vAlign w:val="center"/>
          </w:tcPr>
          <w:p w14:paraId="631F18C6">
            <w:pPr>
              <w:spacing w:after="40" w:line="276" w:lineRule="auto"/>
              <w:jc w:val="center"/>
              <w:rPr>
                <w:b w:val="0"/>
                <w:color w:val="000000"/>
              </w:rPr>
            </w:pPr>
            <w:r>
              <w:rPr>
                <w:rFonts w:ascii="Times New Roman" w:hAnsi="Times New Roman" w:eastAsia="宋体"/>
                <w:b w:val="0"/>
                <w:color w:val="000000"/>
                <w:sz w:val="18"/>
              </w:rPr>
              <w:t>—（年度口径）</w:t>
            </w:r>
          </w:p>
        </w:tc>
        <w:tc>
          <w:tcPr>
            <w:tcW w:w="1792" w:type="dxa"/>
            <w:tcBorders>
              <w:top w:val="none"/>
              <w:left w:val="none"/>
              <w:bottom w:val="none"/>
              <w:right w:val="none"/>
            </w:tcBorders>
            <w:shd w:val="clear" w:color="auto" w:fill="auto"/>
            <w:vAlign w:val="center"/>
          </w:tcPr>
          <w:p w14:paraId="3B064E2E">
            <w:pPr>
              <w:spacing w:after="40" w:line="276" w:lineRule="auto"/>
              <w:jc w:val="center"/>
              <w:rPr>
                <w:b w:val="0"/>
                <w:color w:val="000000"/>
              </w:rPr>
            </w:pPr>
            <w:r>
              <w:rPr>
                <w:rFonts w:ascii="Times New Roman" w:hAnsi="Times New Roman" w:eastAsia="宋体"/>
                <w:b w:val="0"/>
                <w:color w:val="000000"/>
                <w:sz w:val="18"/>
              </w:rPr>
              <w:t>下行防御提升业绩</w:t>
            </w:r>
          </w:p>
        </w:tc>
      </w:tr>
      <w:tr w14:paraId="446B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0E8D139C">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5535F4DA">
            <w:pPr>
              <w:spacing w:after="40" w:line="276" w:lineRule="auto"/>
              <w:jc w:val="center"/>
              <w:rPr>
                <w:b w:val="0"/>
                <w:color w:val="000000"/>
              </w:rPr>
            </w:pPr>
            <w:r>
              <w:rPr>
                <w:rFonts w:ascii="Times New Roman" w:hAnsi="Times New Roman" w:eastAsia="宋体"/>
                <w:b w:val="0"/>
                <w:color w:val="000000"/>
                <w:sz w:val="18"/>
              </w:rPr>
              <w:t>MPPM（滞后）</w:t>
            </w:r>
          </w:p>
        </w:tc>
        <w:tc>
          <w:tcPr>
            <w:tcW w:w="1792" w:type="dxa"/>
            <w:tcBorders>
              <w:top w:val="none"/>
              <w:left w:val="none"/>
              <w:bottom w:val="none"/>
              <w:right w:val="none"/>
            </w:tcBorders>
            <w:shd w:val="clear" w:color="auto" w:fill="auto"/>
            <w:vAlign w:val="center"/>
          </w:tcPr>
          <w:p w14:paraId="11FF3D58">
            <w:pPr>
              <w:spacing w:after="40" w:line="276" w:lineRule="auto"/>
              <w:jc w:val="center"/>
              <w:rPr>
                <w:b w:val="0"/>
                <w:color w:val="000000"/>
              </w:rPr>
            </w:pPr>
            <w:r>
              <w:rPr>
                <w:rFonts w:ascii="Times New Roman" w:hAnsi="Times New Roman" w:eastAsia="宋体"/>
                <w:b w:val="0"/>
                <w:color w:val="000000"/>
                <w:sz w:val="18"/>
              </w:rPr>
              <w:t>t=+11.22***</w:t>
            </w:r>
          </w:p>
        </w:tc>
        <w:tc>
          <w:tcPr>
            <w:tcW w:w="1792" w:type="dxa"/>
            <w:tcBorders>
              <w:top w:val="none"/>
              <w:left w:val="none"/>
              <w:bottom w:val="none"/>
              <w:right w:val="none"/>
            </w:tcBorders>
            <w:shd w:val="clear" w:color="auto" w:fill="auto"/>
            <w:vAlign w:val="center"/>
          </w:tcPr>
          <w:p w14:paraId="07E10CE6">
            <w:pPr>
              <w:spacing w:after="40" w:line="276" w:lineRule="auto"/>
              <w:jc w:val="center"/>
              <w:rPr>
                <w:b w:val="0"/>
                <w:color w:val="000000"/>
              </w:rPr>
            </w:pPr>
            <w:r>
              <w:rPr>
                <w:rFonts w:ascii="Times New Roman" w:hAnsi="Times New Roman" w:eastAsia="宋体"/>
                <w:b w:val="0"/>
                <w:color w:val="000000"/>
                <w:sz w:val="18"/>
              </w:rPr>
              <w:t>t=+4.92***</w:t>
            </w:r>
          </w:p>
        </w:tc>
        <w:tc>
          <w:tcPr>
            <w:tcW w:w="1792" w:type="dxa"/>
            <w:tcBorders>
              <w:top w:val="none"/>
              <w:left w:val="none"/>
              <w:bottom w:val="none"/>
              <w:right w:val="none"/>
            </w:tcBorders>
            <w:shd w:val="clear" w:color="auto" w:fill="auto"/>
            <w:vAlign w:val="center"/>
          </w:tcPr>
          <w:p w14:paraId="5FB8824F">
            <w:pPr>
              <w:spacing w:after="40" w:line="276" w:lineRule="auto"/>
              <w:jc w:val="center"/>
              <w:rPr>
                <w:b w:val="0"/>
                <w:color w:val="000000"/>
                <w:lang w:eastAsia="zh-CN"/>
              </w:rPr>
            </w:pPr>
            <w:r>
              <w:rPr>
                <w:rFonts w:hint="eastAsia" w:ascii="Times New Roman" w:hAnsi="Times New Roman" w:eastAsia="宋体"/>
                <w:b w:val="0"/>
                <w:color w:val="000000"/>
                <w:sz w:val="18"/>
                <w:lang w:eastAsia="zh-CN"/>
              </w:rPr>
              <w:t>抗操纵业绩越好 alpha 越高</w:t>
            </w:r>
          </w:p>
        </w:tc>
      </w:tr>
      <w:tr w14:paraId="7C2F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7D0B6B0A">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3A1661FC">
            <w:pPr>
              <w:spacing w:after="40" w:line="276" w:lineRule="auto"/>
              <w:jc w:val="center"/>
              <w:rPr>
                <w:b w:val="0"/>
                <w:color w:val="000000"/>
              </w:rPr>
            </w:pPr>
            <w:r>
              <w:rPr>
                <w:rFonts w:ascii="Times New Roman" w:hAnsi="Times New Roman" w:eastAsia="宋体"/>
                <w:b w:val="0"/>
                <w:color w:val="000000"/>
                <w:sz w:val="18"/>
              </w:rPr>
              <w:t>Sortino比率（滞后）</w:t>
            </w:r>
          </w:p>
        </w:tc>
        <w:tc>
          <w:tcPr>
            <w:tcW w:w="1792" w:type="dxa"/>
            <w:tcBorders>
              <w:top w:val="none"/>
              <w:left w:val="none"/>
              <w:bottom w:val="none"/>
              <w:right w:val="none"/>
            </w:tcBorders>
            <w:shd w:val="clear" w:color="auto" w:fill="auto"/>
            <w:vAlign w:val="center"/>
          </w:tcPr>
          <w:p w14:paraId="07B9C410">
            <w:pPr>
              <w:spacing w:after="40" w:line="276" w:lineRule="auto"/>
              <w:jc w:val="center"/>
              <w:rPr>
                <w:b w:val="0"/>
                <w:color w:val="000000"/>
              </w:rPr>
            </w:pPr>
            <w:r>
              <w:rPr>
                <w:rFonts w:ascii="Times New Roman" w:hAnsi="Times New Roman" w:eastAsia="宋体"/>
                <w:b w:val="0"/>
                <w:color w:val="000000"/>
                <w:sz w:val="18"/>
              </w:rPr>
              <w:t>t=+5.18***</w:t>
            </w:r>
          </w:p>
        </w:tc>
        <w:tc>
          <w:tcPr>
            <w:tcW w:w="1792" w:type="dxa"/>
            <w:tcBorders>
              <w:top w:val="none"/>
              <w:left w:val="none"/>
              <w:bottom w:val="none"/>
              <w:right w:val="none"/>
            </w:tcBorders>
            <w:shd w:val="clear" w:color="auto" w:fill="auto"/>
            <w:vAlign w:val="center"/>
          </w:tcPr>
          <w:p w14:paraId="7CA3402C">
            <w:pPr>
              <w:spacing w:after="40" w:line="276" w:lineRule="auto"/>
              <w:jc w:val="center"/>
              <w:rPr>
                <w:b w:val="0"/>
                <w:color w:val="000000"/>
              </w:rPr>
            </w:pPr>
            <w:r>
              <w:rPr>
                <w:rFonts w:ascii="Times New Roman" w:hAnsi="Times New Roman" w:eastAsia="宋体"/>
                <w:b w:val="0"/>
                <w:color w:val="000000"/>
                <w:sz w:val="18"/>
              </w:rPr>
              <w:t>t=+5.38***</w:t>
            </w:r>
          </w:p>
        </w:tc>
        <w:tc>
          <w:tcPr>
            <w:tcW w:w="1792" w:type="dxa"/>
            <w:tcBorders>
              <w:top w:val="none"/>
              <w:left w:val="none"/>
              <w:bottom w:val="none"/>
              <w:right w:val="none"/>
            </w:tcBorders>
            <w:shd w:val="clear" w:color="auto" w:fill="auto"/>
            <w:vAlign w:val="center"/>
          </w:tcPr>
          <w:p w14:paraId="1DE1D830">
            <w:pPr>
              <w:spacing w:after="40" w:line="276" w:lineRule="auto"/>
              <w:jc w:val="center"/>
              <w:rPr>
                <w:b w:val="0"/>
                <w:color w:val="000000"/>
              </w:rPr>
            </w:pPr>
            <w:r>
              <w:rPr>
                <w:rFonts w:hint="eastAsia" w:ascii="Times New Roman" w:hAnsi="Times New Roman" w:eastAsia="宋体"/>
                <w:b w:val="0"/>
                <w:color w:val="000000"/>
                <w:sz w:val="18"/>
              </w:rPr>
              <w:t>下行风险换收益越好</w:t>
            </w:r>
          </w:p>
        </w:tc>
      </w:tr>
      <w:tr w14:paraId="4F84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44959A6F">
            <w:pPr>
              <w:spacing w:after="40" w:line="276" w:lineRule="auto"/>
              <w:jc w:val="center"/>
              <w:rPr>
                <w:b w:val="0"/>
                <w:color w:val="000000"/>
              </w:rPr>
            </w:pPr>
          </w:p>
        </w:tc>
        <w:tc>
          <w:tcPr>
            <w:tcW w:w="1792" w:type="dxa"/>
            <w:tcBorders>
              <w:top w:val="none"/>
              <w:left w:val="none"/>
              <w:bottom w:val="none"/>
              <w:right w:val="none"/>
            </w:tcBorders>
            <w:shd w:val="clear" w:color="auto" w:fill="auto"/>
            <w:vAlign w:val="center"/>
          </w:tcPr>
          <w:p w14:paraId="3A525E94">
            <w:pPr>
              <w:spacing w:after="40" w:line="276" w:lineRule="auto"/>
              <w:jc w:val="center"/>
              <w:rPr>
                <w:b w:val="0"/>
                <w:color w:val="000000"/>
              </w:rPr>
            </w:pPr>
            <w:r>
              <w:rPr>
                <w:rFonts w:ascii="Times New Roman" w:hAnsi="Times New Roman" w:eastAsia="宋体"/>
                <w:b w:val="0"/>
                <w:color w:val="000000"/>
                <w:sz w:val="18"/>
              </w:rPr>
              <w:t>Sharpe比率（滞后）</w:t>
            </w:r>
          </w:p>
        </w:tc>
        <w:tc>
          <w:tcPr>
            <w:tcW w:w="1792" w:type="dxa"/>
            <w:tcBorders>
              <w:top w:val="none"/>
              <w:left w:val="none"/>
              <w:bottom w:val="none"/>
              <w:right w:val="none"/>
            </w:tcBorders>
            <w:shd w:val="clear" w:color="auto" w:fill="auto"/>
            <w:vAlign w:val="center"/>
          </w:tcPr>
          <w:p w14:paraId="05032DD5">
            <w:pPr>
              <w:spacing w:after="40" w:line="276" w:lineRule="auto"/>
              <w:jc w:val="center"/>
              <w:rPr>
                <w:b w:val="0"/>
                <w:color w:val="000000"/>
              </w:rPr>
            </w:pPr>
            <w:r>
              <w:rPr>
                <w:rFonts w:ascii="Times New Roman" w:hAnsi="Times New Roman" w:eastAsia="宋体"/>
                <w:b w:val="0"/>
                <w:color w:val="000000"/>
                <w:sz w:val="18"/>
              </w:rPr>
              <w:t>t=+7.89***</w:t>
            </w:r>
          </w:p>
        </w:tc>
        <w:tc>
          <w:tcPr>
            <w:tcW w:w="1792" w:type="dxa"/>
            <w:tcBorders>
              <w:top w:val="none"/>
              <w:left w:val="none"/>
              <w:bottom w:val="none"/>
              <w:right w:val="none"/>
            </w:tcBorders>
            <w:shd w:val="clear" w:color="auto" w:fill="auto"/>
            <w:vAlign w:val="center"/>
          </w:tcPr>
          <w:p w14:paraId="66020497">
            <w:pPr>
              <w:spacing w:after="40" w:line="276" w:lineRule="auto"/>
              <w:jc w:val="center"/>
              <w:rPr>
                <w:b w:val="0"/>
                <w:color w:val="000000"/>
              </w:rPr>
            </w:pPr>
            <w:r>
              <w:rPr>
                <w:rFonts w:ascii="Times New Roman" w:hAnsi="Times New Roman" w:eastAsia="宋体"/>
                <w:b w:val="0"/>
                <w:color w:val="000000"/>
                <w:sz w:val="18"/>
              </w:rPr>
              <w:t>t=+3.00***</w:t>
            </w:r>
          </w:p>
        </w:tc>
        <w:tc>
          <w:tcPr>
            <w:tcW w:w="1792" w:type="dxa"/>
            <w:tcBorders>
              <w:top w:val="none"/>
              <w:left w:val="none"/>
              <w:bottom w:val="none"/>
              <w:right w:val="none"/>
            </w:tcBorders>
            <w:shd w:val="clear" w:color="auto" w:fill="auto"/>
            <w:vAlign w:val="center"/>
          </w:tcPr>
          <w:p w14:paraId="7677083E">
            <w:pPr>
              <w:spacing w:after="40" w:line="276" w:lineRule="auto"/>
              <w:jc w:val="center"/>
              <w:rPr>
                <w:b w:val="0"/>
                <w:color w:val="000000"/>
              </w:rPr>
            </w:pPr>
            <w:r>
              <w:rPr>
                <w:rFonts w:hint="eastAsia" w:ascii="Times New Roman" w:hAnsi="Times New Roman" w:eastAsia="宋体"/>
                <w:b w:val="0"/>
                <w:color w:val="000000"/>
                <w:sz w:val="18"/>
              </w:rPr>
              <w:t>总风险换收益越好</w:t>
            </w:r>
          </w:p>
        </w:tc>
      </w:tr>
      <w:tr w14:paraId="64A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one"/>
              <w:left w:val="none"/>
              <w:right w:val="none"/>
              <w:bottom w:val="single" w:sz="12" w:space="0" w:color="000000"/>
            </w:tcBorders>
            <w:shd w:val="clear" w:color="auto" w:fill="auto"/>
            <w:vAlign w:val="center"/>
          </w:tcPr>
          <w:p w14:paraId="1FD405A2">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792" w:type="dxa"/>
            <w:tcBorders>
              <w:top w:val="none"/>
              <w:left w:val="none"/>
              <w:bottom w:val="none"/>
              <w:right w:val="none"/>
            </w:tcBorders>
            <w:shd w:val="clear" w:color="auto" w:fill="auto"/>
            <w:vAlign w:val="center"/>
          </w:tcPr>
          <w:p w14:paraId="0A5AAA18">
            <w:pPr>
              <w:spacing w:after="40" w:line="276" w:lineRule="auto"/>
              <w:jc w:val="center"/>
              <w:rPr>
                <w:b w:val="0"/>
                <w:color w:val="000000"/>
              </w:rPr>
            </w:pPr>
            <w:r>
              <w:rPr>
                <w:rFonts w:ascii="Times New Roman" w:hAnsi="Times New Roman" w:eastAsia="宋体"/>
                <w:b w:val="0"/>
                <w:color w:val="000000"/>
                <w:sz w:val="18"/>
              </w:rPr>
              <w:t>策略偏离指数SDI</w:t>
            </w:r>
          </w:p>
        </w:tc>
        <w:tc>
          <w:tcPr>
            <w:tcW w:w="1792" w:type="dxa"/>
            <w:tcBorders>
              <w:top w:val="none"/>
              <w:left w:val="none"/>
              <w:bottom w:val="none"/>
              <w:right w:val="none"/>
            </w:tcBorders>
            <w:shd w:val="clear" w:color="auto" w:fill="auto"/>
            <w:vAlign w:val="center"/>
          </w:tcPr>
          <w:p w14:paraId="533C16BC">
            <w:pPr>
              <w:spacing w:after="40" w:line="276" w:lineRule="auto"/>
              <w:jc w:val="center"/>
              <w:rPr>
                <w:b w:val="0"/>
                <w:color w:val="000000"/>
              </w:rPr>
            </w:pPr>
            <w:r>
              <w:rPr>
                <w:rFonts w:ascii="Times New Roman" w:hAnsi="Times New Roman" w:eastAsia="宋体"/>
                <w:b w:val="0"/>
                <w:color w:val="000000"/>
                <w:sz w:val="18"/>
              </w:rPr>
              <w:t>t=-2.12**</w:t>
            </w:r>
          </w:p>
        </w:tc>
        <w:tc>
          <w:tcPr>
            <w:tcW w:w="1792" w:type="dxa"/>
            <w:tcBorders>
              <w:top w:val="none"/>
              <w:left w:val="none"/>
              <w:bottom w:val="none"/>
              <w:right w:val="none"/>
            </w:tcBorders>
            <w:shd w:val="clear" w:color="auto" w:fill="auto"/>
            <w:vAlign w:val="center"/>
          </w:tcPr>
          <w:p w14:paraId="43411718">
            <w:pPr>
              <w:spacing w:after="40" w:line="276" w:lineRule="auto"/>
              <w:jc w:val="center"/>
              <w:rPr>
                <w:b w:val="0"/>
                <w:color w:val="000000"/>
              </w:rPr>
            </w:pPr>
            <w:r>
              <w:rPr>
                <w:rFonts w:ascii="Times New Roman" w:hAnsi="Times New Roman" w:eastAsia="宋体"/>
                <w:b w:val="0"/>
                <w:color w:val="000000"/>
                <w:sz w:val="18"/>
              </w:rPr>
              <w:t>t=-3.99***</w:t>
            </w:r>
          </w:p>
        </w:tc>
        <w:tc>
          <w:tcPr>
            <w:tcW w:w="1792" w:type="dxa"/>
            <w:tcBorders>
              <w:top w:val="none"/>
              <w:left w:val="none"/>
              <w:bottom w:val="none"/>
              <w:right w:val="none"/>
            </w:tcBorders>
            <w:shd w:val="clear" w:color="auto" w:fill="auto"/>
            <w:vAlign w:val="center"/>
          </w:tcPr>
          <w:p w14:paraId="331FC3AB">
            <w:pPr>
              <w:spacing w:after="40" w:line="276" w:lineRule="auto"/>
              <w:jc w:val="center"/>
              <w:rPr>
                <w:b w:val="0"/>
                <w:color w:val="000000"/>
              </w:rPr>
            </w:pPr>
            <w:r>
              <w:rPr>
                <w:rFonts w:hint="eastAsia" w:ascii="Times New Roman" w:hAnsi="Times New Roman" w:eastAsia="宋体"/>
                <w:b w:val="0"/>
                <w:color w:val="000000"/>
                <w:sz w:val="18"/>
              </w:rPr>
              <w:t>风格漂移伤业绩</w:t>
            </w:r>
          </w:p>
        </w:tc>
      </w:tr>
      <w:tr w14:paraId="5666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single" w:color="000000" w:sz="12" w:space="0"/>
              <w:right w:val="nil"/>
            </w:tcBorders>
            <w:shd w:val="clear" w:color="auto" w:fill="auto"/>
            <w:vAlign w:val="center"/>
          </w:tcPr>
          <w:p w14:paraId="40F1EB95">
            <w:pPr>
              <w:spacing w:after="40" w:line="276" w:lineRule="auto"/>
              <w:jc w:val="center"/>
              <w:rPr>
                <w:b w:val="0"/>
                <w:color w:val="000000"/>
              </w:rPr>
            </w:pPr>
          </w:p>
        </w:tc>
        <w:tc>
          <w:tcPr>
            <w:tcW w:w="1792" w:type="dxa"/>
            <w:tcBorders>
              <w:top w:val="none"/>
              <w:left w:val="none"/>
              <w:bottom w:val="single" w:color="000000" w:sz="12" w:space="0"/>
              <w:right w:val="none"/>
            </w:tcBorders>
            <w:shd w:val="clear" w:color="auto" w:fill="auto"/>
            <w:vAlign w:val="center"/>
          </w:tcPr>
          <w:p w14:paraId="1BE79CA1">
            <w:pPr>
              <w:spacing w:after="40" w:line="276" w:lineRule="auto"/>
              <w:jc w:val="center"/>
              <w:rPr>
                <w:b w:val="0"/>
                <w:color w:val="000000"/>
              </w:rPr>
            </w:pPr>
            <w:r>
              <w:rPr>
                <w:rFonts w:ascii="Times New Roman" w:hAnsi="Times New Roman" w:eastAsia="宋体"/>
                <w:b w:val="0"/>
                <w:color w:val="000000"/>
                <w:sz w:val="18"/>
              </w:rPr>
              <w:t>交易趋同度LSV</w:t>
            </w:r>
          </w:p>
        </w:tc>
        <w:tc>
          <w:tcPr>
            <w:tcW w:w="1792" w:type="dxa"/>
            <w:tcBorders>
              <w:top w:val="none"/>
              <w:left w:val="none"/>
              <w:bottom w:val="single" w:color="000000" w:sz="12" w:space="0"/>
              <w:right w:val="none"/>
            </w:tcBorders>
            <w:shd w:val="clear" w:color="auto" w:fill="auto"/>
            <w:vAlign w:val="center"/>
          </w:tcPr>
          <w:p w14:paraId="1F709CBD">
            <w:pPr>
              <w:spacing w:after="40" w:line="276" w:lineRule="auto"/>
              <w:jc w:val="center"/>
              <w:rPr>
                <w:b w:val="0"/>
                <w:color w:val="000000"/>
              </w:rPr>
            </w:pPr>
            <w:r>
              <w:rPr>
                <w:rFonts w:ascii="Times New Roman" w:hAnsi="Times New Roman" w:eastAsia="宋体"/>
                <w:b w:val="0"/>
                <w:color w:val="000000"/>
                <w:sz w:val="18"/>
              </w:rPr>
              <w:t>t=+1.99**</w:t>
            </w:r>
          </w:p>
        </w:tc>
        <w:tc>
          <w:tcPr>
            <w:tcW w:w="1792" w:type="dxa"/>
            <w:tcBorders>
              <w:top w:val="none"/>
              <w:left w:val="none"/>
              <w:bottom w:val="single" w:color="000000" w:sz="12" w:space="0"/>
              <w:right w:val="none"/>
            </w:tcBorders>
            <w:shd w:val="clear" w:color="auto" w:fill="auto"/>
            <w:vAlign w:val="center"/>
          </w:tcPr>
          <w:p w14:paraId="3E39C6BE">
            <w:pPr>
              <w:spacing w:after="40" w:line="276" w:lineRule="auto"/>
              <w:jc w:val="center"/>
              <w:rPr>
                <w:b w:val="0"/>
                <w:color w:val="000000"/>
              </w:rPr>
            </w:pPr>
            <w:r>
              <w:rPr>
                <w:rFonts w:ascii="Times New Roman" w:hAnsi="Times New Roman" w:eastAsia="宋体"/>
                <w:b w:val="0"/>
                <w:color w:val="000000"/>
                <w:sz w:val="18"/>
              </w:rPr>
              <w:t>t=+1.19</w:t>
            </w:r>
          </w:p>
        </w:tc>
        <w:tc>
          <w:tcPr>
            <w:tcW w:w="1792" w:type="dxa"/>
            <w:tcBorders>
              <w:top w:val="none"/>
              <w:left w:val="none"/>
              <w:bottom w:val="single" w:color="000000" w:sz="12" w:space="0"/>
              <w:right w:val="none"/>
            </w:tcBorders>
            <w:shd w:val="clear" w:color="auto" w:fill="auto"/>
            <w:vAlign w:val="center"/>
          </w:tcPr>
          <w:p w14:paraId="498A36D2">
            <w:pPr>
              <w:spacing w:after="40" w:line="276" w:lineRule="auto"/>
              <w:jc w:val="center"/>
              <w:rPr>
                <w:b w:val="0"/>
                <w:color w:val="000000"/>
                <w:lang w:eastAsia="zh-CN"/>
              </w:rPr>
            </w:pPr>
            <w:r>
              <w:rPr>
                <w:rFonts w:hint="eastAsia" w:ascii="Times New Roman" w:hAnsi="Times New Roman" w:eastAsia="宋体"/>
                <w:b w:val="0"/>
                <w:color w:val="000000"/>
                <w:sz w:val="18"/>
                <w:lang w:eastAsia="zh-CN"/>
              </w:rPr>
              <w:t>交易趋同是正的（与经典理论相反）</w:t>
            </w:r>
          </w:p>
        </w:tc>
      </w:tr>
    </w:tbl>
    <w:p w14:paraId="4CB5A140">
      <w:pPr>
        <w:spacing w:after="80" w:line="324" w:lineRule="auto"/>
        <w:ind w:firstLine="480"/>
        <w:rPr>
          <w:rFonts w:ascii="Times New Roman" w:hAnsi="Times New Roman" w:eastAsia="宋体"/>
          <w:b w:val="0"/>
          <w:i w:val="0"/>
          <w:sz w:val="24"/>
        </w:rPr>
      </w:pPr>
      <w:r>
        <w:rPr>
          <w:rFonts w:ascii="Times New Roman" w:hAnsi="Times New Roman" w:eastAsia="宋体"/>
          <w:b w:val="0"/>
          <w:sz w:val="21"/>
        </w:rPr>
        <w:t>切换因变量揭示两类信息（见附表 1）：其一，稳健真信号——核心行为指标在三种口径下方向与显著性高度一致，是归并主力；其二，风格伪信号——部分指标在简单超额下显著但剥离五因子后失效，表明其仅为特定风格暴露；反如下行保护在剥离风格噪声后显著性大幅提升（t=+1.65 → +4.91），展现出真实技能。「三口径方向一致且控制风格后显著」遂成筛选准绳。</w:t>
      </w:r>
    </w:p>
    <w:p w14:paraId="60C22CBF">
      <w:pPr>
        <w:spacing w:before="240" w:after="160" w:line="336" w:lineRule="auto"/>
        <w:rPr>
          <w:lang w:eastAsia="zh-CN"/>
        </w:rPr>
      </w:pPr>
      <w:r>
        <w:rPr>
          <w:rFonts w:ascii="Times New Roman" w:hAnsi="Times New Roman" w:eastAsia="黑体"/>
          <w:b/>
          <w:sz w:val="24"/>
          <w:lang w:eastAsia="zh-CN"/>
        </w:rPr>
        <w:t>（三）指标筛选的稳健性说明</w:t>
      </w:r>
    </w:p>
    <w:p w14:paraId="5020CED7">
      <w:pPr>
        <w:spacing w:after="120" w:line="360" w:lineRule="auto"/>
        <w:ind w:firstLine="480"/>
        <w:rPr>
          <w:rFonts w:ascii="Times New Roman" w:hAnsi="Times New Roman" w:eastAsia="宋体"/>
          <w:b w:val="0"/>
          <w:i w:val="0"/>
          <w:sz w:val="24"/>
        </w:rPr>
      </w:pPr>
      <w:r>
        <w:rPr>
          <w:rFonts w:ascii="Times New Roman" w:hAnsi="Times New Roman" w:eastAsia="宋体"/>
          <w:sz w:val="24"/>
          <w:lang w:eastAsia="zh-CN"/>
        </w:rPr>
        <w:t>进入画像体系的指标须同时满足方向稳定、显著性稳健与群体差异显著三项标准，</w:t>
      </w:r>
      <w:r>
        <w:rPr>
          <w:rFonts w:hint="eastAsia" w:ascii="Times New Roman" w:hAnsi="Times New Roman" w:eastAsia="宋体"/>
          <w:sz w:val="24"/>
          <w:lang w:eastAsia="zh-CN"/>
        </w:rPr>
        <w:t>即符号在不同口径间来回翻转、显著性要依赖控制变量、或者好经理和差经理没有差异的，将予以剔除。</w:t>
      </w:r>
    </w:p>
    <w:p w14:paraId="7CD911E5">
      <w:pPr>
        <w:keepNext/>
        <w:spacing w:before="180" w:after="80" w:line="324" w:lineRule="auto"/>
      </w:pPr>
      <w:r>
        <w:rPr>
          <w:rFonts w:ascii="Times New Roman" w:hAnsi="Times New Roman" w:eastAsia="黑体"/>
          <w:b/>
          <w:i w:val="0"/>
          <w:sz w:val="24"/>
        </w:rPr>
        <w:t>（</w:t>
      </w:r>
      <w:r>
        <w:rPr>
          <w:rFonts w:hint="eastAsia" w:eastAsia="黑体"/>
          <w:b/>
          <w:i w:val="0"/>
          <w:sz w:val="24"/>
          <w:lang w:val="en-US" w:eastAsia="zh-CN"/>
        </w:rPr>
        <w:t>四</w:t>
      </w:r>
      <w:r>
        <w:rPr>
          <w:rFonts w:ascii="Times New Roman" w:hAnsi="Times New Roman" w:eastAsia="黑体"/>
          <w:b/>
          <w:i w:val="0"/>
          <w:sz w:val="24"/>
        </w:rPr>
        <w:t>）维度复合与业绩预测</w:t>
      </w:r>
    </w:p>
    <w:p w14:paraId="5F668F72">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2906749D">
      <w:pPr>
        <w:spacing w:before="120" w:after="160"/>
        <w:jc w:val="center"/>
        <w:rPr>
          <w:rFonts w:ascii="Times New Roman" w:hAnsi="Times New Roman" w:eastAsia="宋体"/>
          <w:b w:val="0"/>
          <w:i w:val="0"/>
          <w:sz w:val="24"/>
        </w:rPr>
      </w:pPr>
      <m:oMathPara>
        <m:oMath>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 ∈ d</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 xml:space="preserve"> · z(</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p w14:paraId="2B86BC62">
      <w:pPr>
        <w:spacing w:after="80" w:line="324" w:lineRule="auto"/>
        <w:ind w:firstLine="480"/>
      </w:pPr>
      <w:r>
        <w:t>其中 s</w:t>
      </w:r>
      <w:r>
        <w:rPr>
          <w:rFonts w:hint="eastAsia"/>
          <w:vertAlign w:val="subscript"/>
          <w:lang w:val="en-US" w:eastAsia="zh-CN"/>
        </w:rPr>
        <w:t>j</w:t>
      </w:r>
      <w:r>
        <w:t xml:space="preserve"> 为定向符号（取自表 1 实证方向），z(·) 为横截面标准化，n</w:t>
      </w:r>
      <w:r>
        <w:rPr>
          <w:rFonts w:hint="eastAsia"/>
          <w:vertAlign w:val="subscript"/>
          <w:lang w:val="en-US" w:eastAsia="zh-CN"/>
        </w:rPr>
        <w:t>d</w:t>
      </w:r>
      <w:r>
        <w:t>为维度内有值成分数——缺失不填 0，“算不出 Sortino”的基金不会被数据可得性压低；维度内等权避免单成分主导，六维等权复合为综合能力分；风险应对拆为过程与转化两维，实得 2/6≈1/3 权重。高位持仓（anchor_high）按实证显著正向关系赋予正向权重并入认知维度，体现持仓贴近高点的动量延续效应与突破买入能力（George &amp; Hwang, 2004）。</w:t>
      </w:r>
    </w:p>
    <w:p w14:paraId="5757CD1A">
      <w:pPr>
        <w:spacing w:after="80" w:line="324" w:lineRule="auto"/>
        <w:ind w:firstLine="480"/>
      </w:pPr>
      <w:r>
        <w:t>把六个维度得分同时放入回归（主回归方程；联立口径不含三控制，见表6注，方程γ项仅用于单维对照）：</w:t>
      </w:r>
    </w:p>
    <w:p w14:paraId="416B5A47">
      <w:pPr>
        <w:spacing w:after="80" w:line="324" w:lineRule="auto"/>
        <w:ind w:firstLine="480"/>
      </w:pPr>
      <m:oMathPara>
        <m:oMath>
          <m:sSub>
            <m:sSubPr>
              <m:ctrlPr>
                <w:rPr>
                  <w:rFonts w:ascii="Cambria Math" w:hAnsi="Cambria Math"/>
                </w:rPr>
              </m:ctrlPr>
            </m:sSubPr>
            <m:e>
              <m:r>
                <m:rPr/>
                <w:rPr>
                  <w:rFonts w:ascii="Cambria Math" w:hAnsi="Cambria Math"/>
                </w:rPr>
                <m:t>FF5α</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r>
            <m:rPr/>
            <w:rPr>
              <w:rFonts w:ascii="Cambria Math" w:hAnsi="Cambria Math"/>
            </w:rPr>
            <m:t>c</m:t>
          </m:r>
          <m:r>
            <m:rPr>
              <m:sty m:val="p"/>
            </m:rPr>
            <w:rPr>
              <w:rFonts w:ascii="Cambria Math" w:hAnsi="Cambria Math"/>
            </w:rPr>
            <m:t xml:space="preserve"> + </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 xml:space="preserve"> = 1</m:t>
              </m:r>
              <m:ctrlPr>
                <w:rPr>
                  <w:rFonts w:ascii="Cambria Math" w:hAnsi="Cambria Math"/>
                </w:rPr>
              </m:ctrlPr>
            </m:sub>
            <m:sup>
              <m:r>
                <m:rPr/>
                <w:rPr>
                  <w:rFonts w:ascii="Cambria Math" w:hAnsi="Cambria Math"/>
                </w:rPr>
                <m:t>6</m:t>
              </m:r>
              <m:ctrlPr>
                <w:rPr>
                  <w:rFonts w:ascii="Cambria Math" w:hAnsi="Cambria Math"/>
                </w:rPr>
              </m:ctrlPr>
            </m:sup>
            <m:e>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ctrlPr>
                <w:rPr>
                  <w:rFonts w:ascii="Cambria Math" w:hAnsi="Cambria Math"/>
                </w:rPr>
              </m:ctrlPr>
            </m:e>
          </m:nary>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tenure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log_age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log_aum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m:oMathPara>
    </w:p>
    <w:p w14:paraId="437FF3A5">
      <w:pPr>
        <w:spacing w:after="80" w:line="324" w:lineRule="auto"/>
        <w:ind w:firstLine="480"/>
      </w:pPr>
      <w:r>
        <w:rPr>
          <w:rFonts w:ascii="Times New Roman" w:hAnsi="Times New Roman" w:eastAsia="宋体"/>
          <w:b w:val="0"/>
          <w:i w:val="0"/>
          <w:sz w:val="24"/>
        </w:rPr>
        <w:t>六个得分均为 z 分尺度，β</w:t>
      </w:r>
      <w:r>
        <w:rPr>
          <w:rFonts w:hint="eastAsia"/>
          <w:b w:val="0"/>
          <w:i w:val="0"/>
          <w:sz w:val="24"/>
          <w:vertAlign w:val="subscript"/>
          <w:lang w:val="en-US" w:eastAsia="zh-CN"/>
        </w:rPr>
        <w:t>d</w:t>
      </w:r>
      <w:r>
        <w:rPr>
          <w:rFonts w:ascii="Times New Roman" w:hAnsi="Times New Roman" w:eastAsia="宋体"/>
          <w:b w:val="0"/>
          <w:i w:val="0"/>
          <w:sz w:val="24"/>
        </w:rPr>
        <w:t xml:space="preserve"> 可横向比较；联立中 β</w:t>
      </w:r>
      <w:r>
        <w:rPr>
          <w:rFonts w:hint="eastAsia"/>
          <w:b w:val="0"/>
          <w:i w:val="0"/>
          <w:sz w:val="24"/>
          <w:vertAlign w:val="subscript"/>
          <w:lang w:val="en-US" w:eastAsia="zh-CN"/>
        </w:rPr>
        <w:t>d</w:t>
      </w:r>
      <w:r>
        <w:rPr>
          <w:rFonts w:ascii="Times New Roman" w:hAnsi="Times New Roman" w:eastAsia="宋体"/>
          <w:b w:val="0"/>
          <w:i w:val="0"/>
          <w:sz w:val="24"/>
        </w:rPr>
        <w:t xml:space="preserve">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754880" cy="3294615"/>
            <wp:effectExtent l="0" t="0" r="1206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t="1571" b="1296"/>
                    <a:stretch>
                      <a:fillRect/>
                    </a:stretch>
                  </pic:blipFill>
                  <pic:spPr>
                    <a:xfrm>
                      <a:off x="0" y="0"/>
                      <a:ext cx="4754880" cy="3294615"/>
                    </a:xfrm>
                    <a:prstGeom prst="rect">
                      <a:avLst/>
                    </a:prstGeom>
                  </pic:spPr>
                </pic:pic>
              </a:graphicData>
            </a:graphic>
          </wp:inline>
        </w:drawing>
      </w:r>
    </w:p>
    <w:p w14:paraId="25BD82ED">
      <w:pPr>
        <w:keepNext/>
        <w:spacing w:before="60" w:after="2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60" w:after="20" w:line="312" w:lineRule="auto"/>
        <w:jc w:val="center"/>
      </w:pPr>
      <w:r>
        <w:rPr>
          <w:rFonts w:ascii="Times New Roman" w:hAnsi="Times New Roman" w:eastAsia="黑体"/>
          <w:b/>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25F7579A">
            <w:pPr>
              <w:spacing w:before="0" w:after="0" w:line="240" w:lineRule="auto"/>
              <w:ind w:firstLine="0"/>
              <w:jc w:val="center"/>
            </w:pPr>
            <w:r>
              <w:rPr>
                <w:rFonts w:ascii="Times New Roman" w:hAnsi="Times New Roman" w:eastAsia="宋体"/>
                <w:b/>
                <w:i w:val="0"/>
                <w:sz w:val="18"/>
              </w:rPr>
              <w:t>维度</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62FBA7F1">
            <w:pPr>
              <w:spacing w:before="0" w:after="0" w:line="240" w:lineRule="auto"/>
              <w:ind w:firstLine="0"/>
              <w:jc w:val="center"/>
            </w:pPr>
            <w:r>
              <w:rPr>
                <w:rFonts w:ascii="Times New Roman" w:hAnsi="Times New Roman" w:eastAsia="宋体"/>
                <w:b/>
                <w:i w:val="0"/>
                <w:sz w:val="18"/>
              </w:rPr>
              <w:t>单维系数</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1C36B1AD">
            <w:pPr>
              <w:spacing w:before="0" w:after="0" w:line="240" w:lineRule="auto"/>
              <w:ind w:firstLine="0"/>
              <w:jc w:val="center"/>
            </w:pPr>
            <w:r>
              <w:rPr>
                <w:rFonts w:ascii="Times New Roman" w:hAnsi="Times New Roman" w:eastAsia="宋体"/>
                <w:b/>
                <w:i w:val="0"/>
                <w:sz w:val="18"/>
              </w:rPr>
              <w:t>单维 t</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5BC2C9E0">
            <w:pPr>
              <w:spacing w:before="0" w:after="0" w:line="240" w:lineRule="auto"/>
              <w:ind w:firstLine="0"/>
              <w:jc w:val="center"/>
            </w:pPr>
            <w:r>
              <w:rPr>
                <w:rFonts w:ascii="Times New Roman" w:hAnsi="Times New Roman" w:eastAsia="宋体"/>
                <w:b/>
                <w:i w:val="0"/>
                <w:sz w:val="18"/>
              </w:rPr>
              <w:t>单维 R²</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66301A58">
            <w:pPr>
              <w:spacing w:before="0" w:after="0" w:line="240" w:lineRule="auto"/>
              <w:ind w:firstLine="0"/>
              <w:jc w:val="center"/>
            </w:pPr>
            <w:r>
              <w:rPr>
                <w:rFonts w:ascii="Times New Roman" w:hAnsi="Times New Roman" w:eastAsia="宋体"/>
                <w:b/>
                <w:i w:val="0"/>
                <w:sz w:val="18"/>
              </w:rPr>
              <w:t>联立系数</w:t>
            </w:r>
          </w:p>
        </w:tc>
        <w:tc>
          <w:tcPr>
            <w:tcW w:w="1606" w:type="dxa"/>
            <w:tcBorders>
              <w:top w:val="single" w:color="000000" w:sz="12" w:space="0"/>
              <w:left w:val="none"/>
              <w:bottom w:val="single" w:color="000000" w:sz="4" w:space="0"/>
              <w:right w:val="none"/>
            </w:tcBorders>
            <w:tcMar>
              <w:top w:w="20" w:type="dxa"/>
              <w:left w:w="45" w:type="dxa"/>
              <w:bottom w:w="20" w:type="dxa"/>
              <w:right w:w="45" w:type="dxa"/>
            </w:tcMar>
            <w:vAlign w:val="center"/>
          </w:tcPr>
          <w:p w14:paraId="12165F46">
            <w:pPr>
              <w:spacing w:before="0" w:after="0" w:line="240" w:lineRule="auto"/>
              <w:ind w:firstLine="0"/>
              <w:jc w:val="center"/>
            </w:pPr>
            <w:r>
              <w:rPr>
                <w:rFonts w:ascii="Times New Roman" w:hAnsi="Times New Roman" w:eastAsia="宋体"/>
                <w:b/>
                <w:i w:val="0"/>
                <w:sz w:val="18"/>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single" w:sz="4" w:space="0" w:color="000000"/>
              <w:left w:val="none"/>
              <w:bottom w:val="none"/>
              <w:right w:val="none"/>
            </w:tcBorders>
            <w:tcMar>
              <w:top w:w="20" w:type="dxa"/>
              <w:left w:w="45" w:type="dxa"/>
              <w:bottom w:w="20" w:type="dxa"/>
              <w:right w:w="45" w:type="dxa"/>
            </w:tcMar>
            <w:vAlign w:val="center"/>
          </w:tcPr>
          <w:p w14:paraId="1D2A513B">
            <w:pPr>
              <w:spacing w:before="0" w:after="0" w:line="240" w:lineRule="auto"/>
              <w:ind w:firstLine="0"/>
              <w:jc w:val="center"/>
            </w:pPr>
            <w:r>
              <w:rPr>
                <w:rFonts w:ascii="Times New Roman" w:hAnsi="Times New Roman" w:eastAsia="宋体"/>
                <w:b w:val="0"/>
                <w:i w:val="0"/>
                <w:sz w:val="18"/>
              </w:rPr>
              <w:t>基本面优势</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4170D06A">
            <w:pPr>
              <w:spacing w:before="0" w:after="0" w:line="240" w:lineRule="auto"/>
              <w:ind w:firstLine="0"/>
              <w:jc w:val="center"/>
            </w:pPr>
            <w:r>
              <w:rPr>
                <w:rFonts w:ascii="Times New Roman" w:hAnsi="Times New Roman" w:eastAsia="宋体"/>
                <w:b w:val="0"/>
                <w:i w:val="0"/>
                <w:sz w:val="18"/>
              </w:rPr>
              <w:t>0.0040</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6890247F">
            <w:pPr>
              <w:spacing w:before="0" w:after="0" w:line="240" w:lineRule="auto"/>
              <w:ind w:firstLine="0"/>
              <w:jc w:val="center"/>
            </w:pPr>
            <w:r>
              <w:rPr>
                <w:rFonts w:ascii="Times New Roman" w:hAnsi="Times New Roman" w:eastAsia="宋体"/>
                <w:b w:val="0"/>
                <w:i w:val="0"/>
                <w:sz w:val="18"/>
              </w:rPr>
              <w:t>2.86***</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5AE2F2D8">
            <w:pPr>
              <w:spacing w:before="0" w:after="0" w:line="240" w:lineRule="auto"/>
              <w:ind w:firstLine="0"/>
              <w:jc w:val="center"/>
            </w:pPr>
            <w:r>
              <w:rPr>
                <w:rFonts w:ascii="Times New Roman" w:hAnsi="Times New Roman" w:eastAsia="宋体"/>
                <w:b w:val="0"/>
                <w:i w:val="0"/>
                <w:sz w:val="18"/>
              </w:rPr>
              <w:t>0.0222</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529FD59B">
            <w:pPr>
              <w:spacing w:before="0" w:after="0" w:line="240" w:lineRule="auto"/>
              <w:ind w:firstLine="0"/>
              <w:jc w:val="center"/>
            </w:pPr>
            <w:r>
              <w:rPr>
                <w:rFonts w:ascii="Times New Roman" w:hAnsi="Times New Roman" w:eastAsia="宋体"/>
                <w:b w:val="0"/>
                <w:i w:val="0"/>
                <w:sz w:val="18"/>
              </w:rPr>
              <w:t>-0.0008</w:t>
            </w:r>
          </w:p>
        </w:tc>
        <w:tc>
          <w:tcPr>
            <w:tcW w:w="1606" w:type="dxa"/>
            <w:tcBorders>
              <w:top w:val="single" w:sz="4" w:space="0" w:color="000000"/>
              <w:left w:val="none"/>
              <w:bottom w:val="none"/>
              <w:right w:val="none"/>
            </w:tcBorders>
            <w:tcMar>
              <w:top w:w="20" w:type="dxa"/>
              <w:left w:w="45" w:type="dxa"/>
              <w:bottom w:w="20" w:type="dxa"/>
              <w:right w:w="45" w:type="dxa"/>
            </w:tcMar>
            <w:vAlign w:val="center"/>
          </w:tcPr>
          <w:p w14:paraId="7F36C61E">
            <w:pPr>
              <w:spacing w:before="0" w:after="0" w:line="240" w:lineRule="auto"/>
              <w:ind w:firstLine="0"/>
              <w:jc w:val="center"/>
            </w:pPr>
            <w:r>
              <w:rPr>
                <w:rFonts w:ascii="Times New Roman" w:hAnsi="Times New Roman" w:eastAsia="宋体"/>
                <w:b w:val="0"/>
                <w:i w:val="0"/>
                <w:sz w:val="18"/>
              </w:rPr>
              <w:t>-0.77</w:t>
            </w:r>
          </w:p>
        </w:tc>
      </w:tr>
      <w:tr w14:paraId="54C6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right w:val="none"/>
            </w:tcBorders>
            <w:shd w:val="clear"/>
            <w:tcMar>
              <w:top w:w="20" w:type="dxa"/>
              <w:left w:w="45" w:type="dxa"/>
              <w:bottom w:w="20" w:type="dxa"/>
              <w:right w:w="45" w:type="dxa"/>
            </w:tcMar>
            <w:vAlign w:val="center"/>
          </w:tcPr>
          <w:p w14:paraId="201B6A53">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606" w:type="dxa"/>
            <w:tcBorders>
              <w:top w:val="none"/>
              <w:left w:val="none"/>
              <w:bottom w:val="none"/>
              <w:right w:val="none"/>
            </w:tcBorders>
            <w:shd w:val="clear"/>
            <w:tcMar>
              <w:top w:w="20" w:type="dxa"/>
              <w:left w:w="45" w:type="dxa"/>
              <w:bottom w:w="20" w:type="dxa"/>
              <w:right w:w="45" w:type="dxa"/>
            </w:tcMar>
            <w:vAlign w:val="center"/>
          </w:tcPr>
          <w:p w14:paraId="7C74A525">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0.0065</w:t>
            </w:r>
          </w:p>
        </w:tc>
        <w:tc>
          <w:tcPr>
            <w:tcW w:w="1606" w:type="dxa"/>
            <w:tcBorders>
              <w:top w:val="none"/>
              <w:left w:val="none"/>
              <w:bottom w:val="none"/>
              <w:right w:val="none"/>
            </w:tcBorders>
            <w:shd w:val="clear"/>
            <w:tcMar>
              <w:top w:w="20" w:type="dxa"/>
              <w:left w:w="45" w:type="dxa"/>
              <w:bottom w:w="20" w:type="dxa"/>
              <w:right w:w="45" w:type="dxa"/>
            </w:tcMar>
            <w:vAlign w:val="center"/>
          </w:tcPr>
          <w:p w14:paraId="452E3BF2">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4.22***</w:t>
            </w:r>
          </w:p>
        </w:tc>
        <w:tc>
          <w:tcPr>
            <w:tcW w:w="1606" w:type="dxa"/>
            <w:tcBorders>
              <w:top w:val="none"/>
              <w:left w:val="none"/>
              <w:bottom w:val="none"/>
              <w:right w:val="none"/>
            </w:tcBorders>
            <w:shd w:val="clear"/>
            <w:tcMar>
              <w:top w:w="20" w:type="dxa"/>
              <w:left w:w="45" w:type="dxa"/>
              <w:bottom w:w="20" w:type="dxa"/>
              <w:right w:w="45" w:type="dxa"/>
            </w:tcMar>
            <w:vAlign w:val="center"/>
          </w:tcPr>
          <w:p w14:paraId="2D663AF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0.1202</w:t>
            </w:r>
          </w:p>
        </w:tc>
        <w:tc>
          <w:tcPr>
            <w:tcW w:w="1606" w:type="dxa"/>
            <w:tcBorders>
              <w:top w:val="none"/>
              <w:left w:val="none"/>
              <w:bottom w:val="none"/>
              <w:right w:val="none"/>
            </w:tcBorders>
            <w:shd w:val="clear"/>
            <w:tcMar>
              <w:top w:w="20" w:type="dxa"/>
              <w:left w:w="45" w:type="dxa"/>
              <w:bottom w:w="20" w:type="dxa"/>
              <w:right w:w="45" w:type="dxa"/>
            </w:tcMar>
            <w:vAlign w:val="center"/>
          </w:tcPr>
          <w:p w14:paraId="1A42036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0.0041</w:t>
            </w:r>
          </w:p>
        </w:tc>
        <w:tc>
          <w:tcPr>
            <w:tcW w:w="1606" w:type="dxa"/>
            <w:tcBorders>
              <w:top w:val="none"/>
              <w:left w:val="none"/>
              <w:bottom w:val="none"/>
              <w:right w:val="none"/>
            </w:tcBorders>
            <w:shd w:val="clear"/>
            <w:tcMar>
              <w:top w:w="20" w:type="dxa"/>
              <w:left w:w="45" w:type="dxa"/>
              <w:bottom w:w="20" w:type="dxa"/>
              <w:right w:w="45" w:type="dxa"/>
            </w:tcMar>
            <w:vAlign w:val="center"/>
          </w:tcPr>
          <w:p w14:paraId="1904326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3.25***</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right w:val="none"/>
            </w:tcBorders>
            <w:tcMar>
              <w:top w:w="20" w:type="dxa"/>
              <w:left w:w="45" w:type="dxa"/>
              <w:bottom w:w="20" w:type="dxa"/>
              <w:right w:w="45" w:type="dxa"/>
            </w:tcMar>
            <w:vAlign w:val="center"/>
          </w:tcPr>
          <w:p w14:paraId="623ECCEB">
            <w:pPr>
              <w:spacing w:before="0" w:after="0" w:line="240" w:lineRule="auto"/>
              <w:ind w:firstLine="0"/>
              <w:jc w:val="center"/>
            </w:pPr>
            <w:r>
              <w:rPr>
                <w:rFonts w:ascii="Times New Roman" w:hAnsi="Times New Roman" w:eastAsia="宋体"/>
                <w:b w:val="0"/>
                <w:i w:val="0"/>
                <w:sz w:val="18"/>
              </w:rPr>
              <w:t>认知能力</w:t>
            </w:r>
          </w:p>
        </w:tc>
        <w:tc>
          <w:tcPr>
            <w:tcW w:w="1606" w:type="dxa"/>
            <w:tcBorders>
              <w:top w:val="none"/>
              <w:left w:val="none"/>
              <w:bottom w:val="none"/>
              <w:right w:val="none"/>
            </w:tcBorders>
            <w:tcMar>
              <w:top w:w="20" w:type="dxa"/>
              <w:left w:w="45" w:type="dxa"/>
              <w:bottom w:w="20" w:type="dxa"/>
              <w:right w:w="45" w:type="dxa"/>
            </w:tcMar>
            <w:vAlign w:val="center"/>
          </w:tcPr>
          <w:p w14:paraId="42324512">
            <w:pPr>
              <w:spacing w:before="0" w:after="0" w:line="240" w:lineRule="auto"/>
              <w:ind w:firstLine="0"/>
              <w:jc w:val="center"/>
            </w:pPr>
            <w:r>
              <w:rPr>
                <w:rFonts w:ascii="Times New Roman" w:hAnsi="Times New Roman" w:eastAsia="宋体"/>
                <w:b w:val="0"/>
                <w:i w:val="0"/>
                <w:sz w:val="18"/>
              </w:rPr>
              <w:t>0.0179</w:t>
            </w:r>
          </w:p>
        </w:tc>
        <w:tc>
          <w:tcPr>
            <w:tcW w:w="1606" w:type="dxa"/>
            <w:tcBorders>
              <w:top w:val="none"/>
              <w:left w:val="none"/>
              <w:bottom w:val="none"/>
              <w:right w:val="none"/>
            </w:tcBorders>
            <w:tcMar>
              <w:top w:w="20" w:type="dxa"/>
              <w:left w:w="45" w:type="dxa"/>
              <w:bottom w:w="20" w:type="dxa"/>
              <w:right w:w="45" w:type="dxa"/>
            </w:tcMar>
            <w:vAlign w:val="center"/>
          </w:tcPr>
          <w:p w14:paraId="629BBF45">
            <w:pPr>
              <w:spacing w:before="0" w:after="0" w:line="240" w:lineRule="auto"/>
              <w:ind w:firstLine="0"/>
              <w:jc w:val="center"/>
            </w:pPr>
            <w:r>
              <w:rPr>
                <w:rFonts w:ascii="Times New Roman" w:hAnsi="Times New Roman" w:eastAsia="宋体"/>
                <w:b w:val="0"/>
                <w:i w:val="0"/>
                <w:sz w:val="18"/>
              </w:rPr>
              <w:t>8.15***</w:t>
            </w:r>
          </w:p>
        </w:tc>
        <w:tc>
          <w:tcPr>
            <w:tcW w:w="1606" w:type="dxa"/>
            <w:tcBorders>
              <w:top w:val="none"/>
              <w:left w:val="none"/>
              <w:bottom w:val="none"/>
              <w:right w:val="none"/>
            </w:tcBorders>
            <w:tcMar>
              <w:top w:w="20" w:type="dxa"/>
              <w:left w:w="45" w:type="dxa"/>
              <w:bottom w:w="20" w:type="dxa"/>
              <w:right w:w="45" w:type="dxa"/>
            </w:tcMar>
            <w:vAlign w:val="center"/>
          </w:tcPr>
          <w:p w14:paraId="48243511">
            <w:pPr>
              <w:spacing w:before="0" w:after="0" w:line="240" w:lineRule="auto"/>
              <w:ind w:firstLine="0"/>
              <w:jc w:val="center"/>
            </w:pPr>
            <w:r>
              <w:rPr>
                <w:rFonts w:ascii="Times New Roman" w:hAnsi="Times New Roman" w:eastAsia="宋体"/>
                <w:b w:val="0"/>
                <w:i w:val="0"/>
                <w:sz w:val="18"/>
              </w:rPr>
              <w:t>0.2030</w:t>
            </w:r>
          </w:p>
        </w:tc>
        <w:tc>
          <w:tcPr>
            <w:tcW w:w="1606" w:type="dxa"/>
            <w:tcBorders>
              <w:top w:val="none"/>
              <w:left w:val="none"/>
              <w:bottom w:val="none"/>
              <w:right w:val="none"/>
            </w:tcBorders>
            <w:tcMar>
              <w:top w:w="20" w:type="dxa"/>
              <w:left w:w="45" w:type="dxa"/>
              <w:bottom w:w="20" w:type="dxa"/>
              <w:right w:w="45" w:type="dxa"/>
            </w:tcMar>
            <w:vAlign w:val="center"/>
          </w:tcPr>
          <w:p w14:paraId="2703B408">
            <w:pPr>
              <w:spacing w:before="0" w:after="0" w:line="240" w:lineRule="auto"/>
              <w:ind w:firstLine="0"/>
              <w:jc w:val="center"/>
            </w:pPr>
            <w:r>
              <w:rPr>
                <w:rFonts w:ascii="Times New Roman" w:hAnsi="Times New Roman" w:eastAsia="宋体"/>
                <w:b w:val="0"/>
                <w:i w:val="0"/>
                <w:sz w:val="18"/>
              </w:rPr>
              <w:t>0.0093</w:t>
            </w:r>
          </w:p>
        </w:tc>
        <w:tc>
          <w:tcPr>
            <w:tcW w:w="1606" w:type="dxa"/>
            <w:tcBorders>
              <w:top w:val="none"/>
              <w:left w:val="none"/>
              <w:bottom w:val="none"/>
              <w:right w:val="none"/>
            </w:tcBorders>
            <w:tcMar>
              <w:top w:w="20" w:type="dxa"/>
              <w:left w:w="45" w:type="dxa"/>
              <w:bottom w:w="20" w:type="dxa"/>
              <w:right w:w="45" w:type="dxa"/>
            </w:tcMar>
            <w:vAlign w:val="center"/>
          </w:tcPr>
          <w:p w14:paraId="24204757">
            <w:pPr>
              <w:spacing w:before="0" w:after="0" w:line="240" w:lineRule="auto"/>
              <w:ind w:firstLine="0"/>
              <w:jc w:val="center"/>
            </w:pPr>
            <w:r>
              <w:rPr>
                <w:rFonts w:ascii="Times New Roman" w:hAnsi="Times New Roman" w:eastAsia="宋体"/>
                <w:b w:val="0"/>
                <w:i w:val="0"/>
                <w:sz w:val="18"/>
              </w:rPr>
              <w:t>4.64***</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right w:val="none"/>
            </w:tcBorders>
            <w:tcMar>
              <w:top w:w="20" w:type="dxa"/>
              <w:left w:w="45" w:type="dxa"/>
              <w:bottom w:w="20" w:type="dxa"/>
              <w:right w:w="45" w:type="dxa"/>
            </w:tcMar>
            <w:vAlign w:val="center"/>
          </w:tcPr>
          <w:p w14:paraId="279CB191">
            <w:pPr>
              <w:spacing w:before="0" w:after="0" w:line="240" w:lineRule="auto"/>
              <w:ind w:firstLine="0"/>
              <w:jc w:val="center"/>
            </w:pPr>
            <w:r>
              <w:rPr>
                <w:rFonts w:ascii="Times New Roman" w:hAnsi="Times New Roman" w:eastAsia="宋体"/>
                <w:b w:val="0"/>
                <w:i w:val="0"/>
                <w:sz w:val="18"/>
              </w:rPr>
              <w:t>风险应对能力</w:t>
            </w:r>
          </w:p>
        </w:tc>
        <w:tc>
          <w:tcPr>
            <w:tcW w:w="1606" w:type="dxa"/>
            <w:tcBorders>
              <w:top w:val="none"/>
              <w:left w:val="none"/>
              <w:bottom w:val="none"/>
              <w:right w:val="none"/>
            </w:tcBorders>
            <w:tcMar>
              <w:top w:w="20" w:type="dxa"/>
              <w:left w:w="45" w:type="dxa"/>
              <w:bottom w:w="20" w:type="dxa"/>
              <w:right w:w="45" w:type="dxa"/>
            </w:tcMar>
            <w:vAlign w:val="center"/>
          </w:tcPr>
          <w:p w14:paraId="57C0AA46">
            <w:pPr>
              <w:spacing w:before="0" w:after="0" w:line="240" w:lineRule="auto"/>
              <w:ind w:firstLine="0"/>
              <w:jc w:val="center"/>
            </w:pPr>
            <w:r>
              <w:rPr>
                <w:rFonts w:ascii="Times New Roman" w:hAnsi="Times New Roman" w:eastAsia="宋体"/>
                <w:b w:val="0"/>
                <w:i w:val="0"/>
                <w:sz w:val="18"/>
              </w:rPr>
              <w:t>0.0138</w:t>
            </w:r>
          </w:p>
        </w:tc>
        <w:tc>
          <w:tcPr>
            <w:tcW w:w="1606" w:type="dxa"/>
            <w:tcBorders>
              <w:top w:val="none"/>
              <w:left w:val="none"/>
              <w:bottom w:val="none"/>
              <w:right w:val="none"/>
            </w:tcBorders>
            <w:tcMar>
              <w:top w:w="20" w:type="dxa"/>
              <w:left w:w="45" w:type="dxa"/>
              <w:bottom w:w="20" w:type="dxa"/>
              <w:right w:w="45" w:type="dxa"/>
            </w:tcMar>
            <w:vAlign w:val="center"/>
          </w:tcPr>
          <w:p w14:paraId="33F96716">
            <w:pPr>
              <w:spacing w:before="0" w:after="0" w:line="240" w:lineRule="auto"/>
              <w:ind w:firstLine="0"/>
              <w:jc w:val="center"/>
            </w:pPr>
            <w:r>
              <w:rPr>
                <w:rFonts w:ascii="Times New Roman" w:hAnsi="Times New Roman" w:eastAsia="宋体"/>
                <w:b w:val="0"/>
                <w:i w:val="0"/>
                <w:sz w:val="18"/>
              </w:rPr>
              <w:t>7.03***</w:t>
            </w:r>
          </w:p>
        </w:tc>
        <w:tc>
          <w:tcPr>
            <w:tcW w:w="1606" w:type="dxa"/>
            <w:tcBorders>
              <w:top w:val="none"/>
              <w:left w:val="none"/>
              <w:bottom w:val="none"/>
              <w:right w:val="none"/>
            </w:tcBorders>
            <w:tcMar>
              <w:top w:w="20" w:type="dxa"/>
              <w:left w:w="45" w:type="dxa"/>
              <w:bottom w:w="20" w:type="dxa"/>
              <w:right w:w="45" w:type="dxa"/>
            </w:tcMar>
            <w:vAlign w:val="center"/>
          </w:tcPr>
          <w:p w14:paraId="44A4660D">
            <w:pPr>
              <w:spacing w:before="0" w:after="0" w:line="240" w:lineRule="auto"/>
              <w:ind w:firstLine="0"/>
              <w:jc w:val="center"/>
            </w:pPr>
            <w:r>
              <w:rPr>
                <w:rFonts w:ascii="Times New Roman" w:hAnsi="Times New Roman" w:eastAsia="宋体"/>
                <w:b w:val="0"/>
                <w:i w:val="0"/>
                <w:sz w:val="18"/>
              </w:rPr>
              <w:t>0.2012</w:t>
            </w:r>
          </w:p>
        </w:tc>
        <w:tc>
          <w:tcPr>
            <w:tcW w:w="1606" w:type="dxa"/>
            <w:tcBorders>
              <w:top w:val="none"/>
              <w:left w:val="none"/>
              <w:bottom w:val="none"/>
              <w:right w:val="none"/>
            </w:tcBorders>
            <w:tcMar>
              <w:top w:w="20" w:type="dxa"/>
              <w:left w:w="45" w:type="dxa"/>
              <w:bottom w:w="20" w:type="dxa"/>
              <w:right w:w="45" w:type="dxa"/>
            </w:tcMar>
            <w:vAlign w:val="center"/>
          </w:tcPr>
          <w:p w14:paraId="016FBB3D">
            <w:pPr>
              <w:spacing w:before="0" w:after="0" w:line="240" w:lineRule="auto"/>
              <w:ind w:firstLine="0"/>
              <w:jc w:val="center"/>
            </w:pPr>
            <w:r>
              <w:rPr>
                <w:rFonts w:ascii="Times New Roman" w:hAnsi="Times New Roman" w:eastAsia="宋体"/>
                <w:b w:val="0"/>
                <w:i w:val="0"/>
                <w:sz w:val="18"/>
              </w:rPr>
              <w:t>0.0089</w:t>
            </w:r>
          </w:p>
        </w:tc>
        <w:tc>
          <w:tcPr>
            <w:tcW w:w="1606" w:type="dxa"/>
            <w:tcBorders>
              <w:top w:val="none"/>
              <w:left w:val="none"/>
              <w:bottom w:val="none"/>
              <w:right w:val="none"/>
            </w:tcBorders>
            <w:tcMar>
              <w:top w:w="20" w:type="dxa"/>
              <w:left w:w="45" w:type="dxa"/>
              <w:bottom w:w="20" w:type="dxa"/>
              <w:right w:w="45" w:type="dxa"/>
            </w:tcMar>
            <w:vAlign w:val="center"/>
          </w:tcPr>
          <w:p w14:paraId="721A2476">
            <w:pPr>
              <w:spacing w:before="0" w:after="0" w:line="240" w:lineRule="auto"/>
              <w:ind w:firstLine="0"/>
              <w:jc w:val="center"/>
            </w:pPr>
            <w:r>
              <w:rPr>
                <w:rFonts w:ascii="Times New Roman" w:hAnsi="Times New Roman" w:eastAsia="宋体"/>
                <w:b w:val="0"/>
                <w:i w:val="0"/>
                <w:sz w:val="18"/>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right w:val="none"/>
            </w:tcBorders>
            <w:tcMar>
              <w:top w:w="20" w:type="dxa"/>
              <w:left w:w="45" w:type="dxa"/>
              <w:bottom w:w="20" w:type="dxa"/>
              <w:right w:w="45" w:type="dxa"/>
            </w:tcMar>
            <w:vAlign w:val="center"/>
          </w:tcPr>
          <w:p w14:paraId="4FF4BA6D">
            <w:pPr>
              <w:spacing w:before="0" w:after="0" w:line="240" w:lineRule="auto"/>
              <w:ind w:firstLine="0"/>
              <w:jc w:val="center"/>
            </w:pPr>
            <w:r>
              <w:rPr>
                <w:rFonts w:ascii="Times New Roman" w:hAnsi="Times New Roman" w:eastAsia="宋体"/>
                <w:b w:val="0"/>
                <w:i w:val="0"/>
                <w:sz w:val="18"/>
              </w:rPr>
              <w:t>风险转化能力</w:t>
            </w:r>
          </w:p>
        </w:tc>
        <w:tc>
          <w:tcPr>
            <w:tcW w:w="1606" w:type="dxa"/>
            <w:tcBorders>
              <w:top w:val="none"/>
              <w:left w:val="none"/>
              <w:bottom w:val="none"/>
              <w:right w:val="none"/>
            </w:tcBorders>
            <w:tcMar>
              <w:top w:w="20" w:type="dxa"/>
              <w:left w:w="45" w:type="dxa"/>
              <w:bottom w:w="20" w:type="dxa"/>
              <w:right w:w="45" w:type="dxa"/>
            </w:tcMar>
            <w:vAlign w:val="center"/>
          </w:tcPr>
          <w:p w14:paraId="05FBBD8C">
            <w:pPr>
              <w:spacing w:before="0" w:after="0" w:line="240" w:lineRule="auto"/>
              <w:ind w:firstLine="0"/>
              <w:jc w:val="center"/>
            </w:pPr>
            <w:r>
              <w:rPr>
                <w:rFonts w:ascii="Times New Roman" w:hAnsi="Times New Roman" w:eastAsia="宋体"/>
                <w:b w:val="0"/>
                <w:i w:val="0"/>
                <w:sz w:val="18"/>
              </w:rPr>
              <w:t>0.0145</w:t>
            </w:r>
          </w:p>
        </w:tc>
        <w:tc>
          <w:tcPr>
            <w:tcW w:w="1606" w:type="dxa"/>
            <w:tcBorders>
              <w:top w:val="none"/>
              <w:left w:val="none"/>
              <w:bottom w:val="none"/>
              <w:right w:val="none"/>
            </w:tcBorders>
            <w:tcMar>
              <w:top w:w="20" w:type="dxa"/>
              <w:left w:w="45" w:type="dxa"/>
              <w:bottom w:w="20" w:type="dxa"/>
              <w:right w:w="45" w:type="dxa"/>
            </w:tcMar>
            <w:vAlign w:val="center"/>
          </w:tcPr>
          <w:p w14:paraId="36004335">
            <w:pPr>
              <w:spacing w:before="0" w:after="0" w:line="240" w:lineRule="auto"/>
              <w:ind w:firstLine="0"/>
              <w:jc w:val="center"/>
            </w:pPr>
            <w:r>
              <w:rPr>
                <w:rFonts w:ascii="Times New Roman" w:hAnsi="Times New Roman" w:eastAsia="宋体"/>
                <w:b w:val="0"/>
                <w:i w:val="0"/>
                <w:sz w:val="18"/>
              </w:rPr>
              <w:t>6.87***</w:t>
            </w:r>
          </w:p>
        </w:tc>
        <w:tc>
          <w:tcPr>
            <w:tcW w:w="1606" w:type="dxa"/>
            <w:tcBorders>
              <w:top w:val="none"/>
              <w:left w:val="none"/>
              <w:bottom w:val="none"/>
              <w:right w:val="none"/>
            </w:tcBorders>
            <w:tcMar>
              <w:top w:w="20" w:type="dxa"/>
              <w:left w:w="45" w:type="dxa"/>
              <w:bottom w:w="20" w:type="dxa"/>
              <w:right w:w="45" w:type="dxa"/>
            </w:tcMar>
            <w:vAlign w:val="center"/>
          </w:tcPr>
          <w:p w14:paraId="7AA57779">
            <w:pPr>
              <w:spacing w:before="0" w:after="0" w:line="240" w:lineRule="auto"/>
              <w:ind w:firstLine="0"/>
              <w:jc w:val="center"/>
            </w:pPr>
            <w:r>
              <w:rPr>
                <w:rFonts w:ascii="Times New Roman" w:hAnsi="Times New Roman" w:eastAsia="宋体"/>
                <w:b w:val="0"/>
                <w:i w:val="0"/>
                <w:sz w:val="18"/>
              </w:rPr>
              <w:t>0.2845</w:t>
            </w:r>
          </w:p>
        </w:tc>
        <w:tc>
          <w:tcPr>
            <w:tcW w:w="1606" w:type="dxa"/>
            <w:tcBorders>
              <w:top w:val="none"/>
              <w:left w:val="none"/>
              <w:bottom w:val="none"/>
              <w:right w:val="none"/>
            </w:tcBorders>
            <w:tcMar>
              <w:top w:w="20" w:type="dxa"/>
              <w:left w:w="45" w:type="dxa"/>
              <w:bottom w:w="20" w:type="dxa"/>
              <w:right w:w="45" w:type="dxa"/>
            </w:tcMar>
            <w:vAlign w:val="center"/>
          </w:tcPr>
          <w:p w14:paraId="75C87566">
            <w:pPr>
              <w:spacing w:before="0" w:after="0" w:line="240" w:lineRule="auto"/>
              <w:ind w:firstLine="0"/>
              <w:jc w:val="center"/>
            </w:pPr>
            <w:r>
              <w:rPr>
                <w:rFonts w:ascii="Times New Roman" w:hAnsi="Times New Roman" w:eastAsia="宋体"/>
                <w:b w:val="0"/>
                <w:i w:val="0"/>
                <w:sz w:val="18"/>
              </w:rPr>
              <w:t>0.0128</w:t>
            </w:r>
          </w:p>
        </w:tc>
        <w:tc>
          <w:tcPr>
            <w:tcW w:w="1606" w:type="dxa"/>
            <w:tcBorders>
              <w:top w:val="none"/>
              <w:left w:val="none"/>
              <w:bottom w:val="none"/>
              <w:right w:val="none"/>
            </w:tcBorders>
            <w:tcMar>
              <w:top w:w="20" w:type="dxa"/>
              <w:left w:w="45" w:type="dxa"/>
              <w:bottom w:w="20" w:type="dxa"/>
              <w:right w:w="45" w:type="dxa"/>
            </w:tcMar>
            <w:vAlign w:val="center"/>
          </w:tcPr>
          <w:p w14:paraId="6467AF4D">
            <w:pPr>
              <w:spacing w:before="0" w:after="0" w:line="240" w:lineRule="auto"/>
              <w:ind w:firstLine="0"/>
              <w:jc w:val="center"/>
            </w:pPr>
            <w:r>
              <w:rPr>
                <w:rFonts w:ascii="Times New Roman" w:hAnsi="Times New Roman" w:eastAsia="宋体"/>
                <w:b w:val="0"/>
                <w:i w:val="0"/>
                <w:sz w:val="18"/>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color="CBD5E1" w:sz="4" w:space="0"/>
              <w:right w:val="none"/>
            </w:tcBorders>
            <w:tcMar>
              <w:top w:w="20" w:type="dxa"/>
              <w:left w:w="45" w:type="dxa"/>
              <w:bottom w:w="20" w:type="dxa"/>
              <w:right w:w="45" w:type="dxa"/>
            </w:tcMar>
            <w:vAlign w:val="center"/>
          </w:tcPr>
          <w:p w14:paraId="23BC69D3">
            <w:pPr>
              <w:spacing w:before="0" w:after="0" w:line="240" w:lineRule="auto"/>
              <w:ind w:firstLine="0"/>
              <w:jc w:val="center"/>
            </w:pPr>
            <w:r>
              <w:rPr>
                <w:rFonts w:ascii="Times New Roman" w:hAnsi="Times New Roman" w:eastAsia="宋体"/>
                <w:b w:val="0"/>
                <w:i w:val="0"/>
                <w:sz w:val="18"/>
              </w:rPr>
              <w:t>交易执行能力</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2D09A644">
            <w:pPr>
              <w:spacing w:before="0" w:after="0" w:line="240" w:lineRule="auto"/>
              <w:ind w:firstLine="0"/>
              <w:jc w:val="center"/>
            </w:pPr>
            <w:r>
              <w:rPr>
                <w:rFonts w:ascii="Times New Roman" w:hAnsi="Times New Roman" w:eastAsia="宋体"/>
                <w:b w:val="0"/>
                <w:i w:val="0"/>
                <w:sz w:val="18"/>
              </w:rPr>
              <w:t>0.0051</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573E567D">
            <w:pPr>
              <w:spacing w:before="0" w:after="0" w:line="240" w:lineRule="auto"/>
              <w:ind w:firstLine="0"/>
              <w:jc w:val="center"/>
            </w:pPr>
            <w:r>
              <w:rPr>
                <w:rFonts w:ascii="Times New Roman" w:hAnsi="Times New Roman" w:eastAsia="宋体"/>
                <w:b w:val="0"/>
                <w:i w:val="0"/>
                <w:sz w:val="18"/>
              </w:rPr>
              <w:t>3.20***</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60C5F5DD">
            <w:pPr>
              <w:spacing w:before="0" w:after="0" w:line="240" w:lineRule="auto"/>
              <w:ind w:firstLine="0"/>
              <w:jc w:val="center"/>
            </w:pPr>
            <w:r>
              <w:rPr>
                <w:rFonts w:ascii="Times New Roman" w:hAnsi="Times New Roman" w:eastAsia="宋体"/>
                <w:b w:val="0"/>
                <w:i w:val="0"/>
                <w:sz w:val="18"/>
              </w:rPr>
              <w:t>0.0823</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7B661C46">
            <w:pPr>
              <w:spacing w:before="0" w:after="0" w:line="240" w:lineRule="auto"/>
              <w:ind w:firstLine="0"/>
              <w:jc w:val="center"/>
            </w:pPr>
            <w:r>
              <w:rPr>
                <w:rFonts w:ascii="Times New Roman" w:hAnsi="Times New Roman" w:eastAsia="宋体"/>
                <w:b w:val="0"/>
                <w:i w:val="0"/>
                <w:sz w:val="18"/>
              </w:rPr>
              <w:t>0.0018</w:t>
            </w:r>
          </w:p>
        </w:tc>
        <w:tc>
          <w:tcPr>
            <w:tcW w:w="1606" w:type="dxa"/>
            <w:tcBorders>
              <w:top w:val="none"/>
              <w:left w:val="none"/>
              <w:bottom w:val="none" w:color="CBD5E1" w:sz="4" w:space="0"/>
              <w:right w:val="none"/>
            </w:tcBorders>
            <w:tcMar>
              <w:top w:w="20" w:type="dxa"/>
              <w:left w:w="45" w:type="dxa"/>
              <w:bottom w:w="20" w:type="dxa"/>
              <w:right w:w="45" w:type="dxa"/>
            </w:tcMar>
            <w:vAlign w:val="center"/>
          </w:tcPr>
          <w:p w14:paraId="4CF51524">
            <w:pPr>
              <w:spacing w:before="0" w:after="0" w:line="240" w:lineRule="auto"/>
              <w:ind w:firstLine="0"/>
              <w:jc w:val="center"/>
            </w:pPr>
            <w:r>
              <w:rPr>
                <w:rFonts w:ascii="Times New Roman" w:hAnsi="Times New Roman" w:eastAsia="宋体"/>
                <w:b w:val="0"/>
                <w:i w:val="0"/>
                <w:sz w:val="18"/>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left"/>
            </w:pPr>
            <w:r>
              <w:rPr>
                <w:rFonts w:ascii="Times New Roman" w:hAnsi="Times New Roman" w:eastAsia="宋体"/>
                <w:b w:val="0"/>
                <w:sz w:val="18"/>
              </w:rPr>
              <w:t>综合能力（单维合成）</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0.0450</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11.05***</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0.4011</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w:t>
            </w:r>
          </w:p>
        </w:tc>
        <w:tc>
          <w:tcPr>
            <w:tcW w:w="1606" w:type="dxa"/>
            <w:tcBorders>
              <w:top w:val="none"/>
              <w:left w:val="none"/>
              <w:bottom w:val="none" w:color="000000" w:sz="12" w:space="0"/>
              <w:right w:val="none"/>
            </w:tcBorders>
            <w:tcMar>
              <w:top w:w="20" w:type="dxa"/>
              <w:left w:w="45" w:type="dxa"/>
              <w:bottom w:w="20" w:type="dxa"/>
              <w:right w:w="45" w:type="dxa"/>
            </w:tcMar>
            <w:vAlign w:val="center"/>
          </w:tcPr>
          <w:p>
            <w:pPr>
              <w:spacing w:before="40" w:after="40" w:line="252" w:lineRule="auto"/>
              <w:jc w:val="center"/>
            </w:pPr>
            <w:r>
              <w:rPr>
                <w:rFonts w:ascii="Times New Roman" w:hAnsi="Times New Roman" w:eastAsia="宋体"/>
                <w:b w:val="0"/>
                <w:sz w:val="18"/>
              </w:rPr>
              <w:t>—</w:t>
            </w:r>
          </w:p>
        </w:tc>
      </w:tr>
      <w:tr>
        <w:tc>
          <w:tcPr>
            <w:tcW w:type="dxa" w:w="1606"/>
            <w:tcBorders>
              <w:top w:val="none"/>
              <w:bottom w:val="single" w:sz="12" w:space="0" w:color="000000"/>
              <w:left w:val="none"/>
              <w:right w:val="none"/>
            </w:tcBorders>
          </w:tcPr>
          <w:p>
            <w:pPr>
              <w:spacing w:before="40" w:after="40" w:line="252" w:lineRule="auto"/>
              <w:jc w:val="left"/>
            </w:pPr>
            <w:r>
              <w:rPr>
                <w:rFonts w:ascii="Times New Roman" w:hAnsi="Times New Roman" w:eastAsia="宋体"/>
                <w:b/>
                <w:sz w:val="18"/>
              </w:rPr>
              <w:t>六维联立全模型</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8"/>
              </w:rPr>
              <w:t>—</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sz w:val="18"/>
              </w:rPr>
              <w:t>R²=0.4617</w:t>
            </w:r>
          </w:p>
        </w:tc>
        <w:tc>
          <w:tcPr>
            <w:tcW w:type="dxa" w:w="1606"/>
            <w:tcBorders>
              <w:top w:val="none"/>
              <w:bottom w:val="single" w:sz="12" w:space="0" w:color="000000"/>
              <w:left w:val="none"/>
              <w:right w:val="none"/>
            </w:tcBorders>
          </w:tcPr>
          <w:p>
            <w:pPr>
              <w:spacing w:before="40" w:after="40" w:line="252" w:lineRule="auto"/>
              <w:jc w:val="center"/>
            </w:pPr>
            <w:r>
              <w:rPr>
                <w:rFonts w:ascii="Times New Roman" w:hAnsi="Times New Roman" w:eastAsia="宋体"/>
                <w:b/>
                <w:sz w:val="18"/>
              </w:rPr>
              <w:t>F=50.81***</w:t>
            </w:r>
          </w:p>
        </w:tc>
      </w:tr>
    </w:tbl>
    <w:p w14:paraId="04BFAB26">
      <w:pPr>
        <w:spacing w:before="20" w:after="60" w:line="276" w:lineRule="auto"/>
      </w:pPr>
      <w:r>
        <w:rPr>
          <w:rFonts w:ascii="Times New Roman" w:hAnsi="Times New Roman" w:eastAsia="宋体"/>
          <w:b w:val="0"/>
          <w:sz w:val="18"/>
        </w:rPr>
        <w:t>注：单维回归中基本面优势无控制变量，其余五维均控制任职年限、基金年龄与规模；HC1 稳健标准误。六维联立全模型将六个维度得分同时放入回归方程，样本量 N=362，多元联立决定系数 R²=0.4617（五维联立＋三控制变量对照口径 R²=0.4626）；表中综合能力为六维等权合成总分的单变量回归结果（R²=0.4011，t=11.05***）。风险转化三比率与因变量概念同源，其解释力宜以样本外持续性而非同期解释力解读。***、**、* 分别表示 1%、5%、10% 水平显著。</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rPr>
          <w:rFonts w:ascii="Times New Roman" w:hAnsi="Times New Roman" w:eastAsia="宋体"/>
          <w:b w:val="0"/>
          <w:sz w:val="21"/>
        </w:rPr>
        <w:t>能力分对收益的区分度直观显著（图 2）：按综合能力五等分，FF5 alpha 自 Q1 的 0.51% 单调攀升至 Q5 的 3.85%，头尾差达 3.34 个百分点（t=11.24）；原始季度收益总体向上（Q3 6.93% 至 Q4 6.64% 略有回撤，非严格单调，见表 8）。复合能力得分展现出对同期业绩极强的识别与区分度（未来时序预测力见下文样本外检验）。</w:t>
      </w:r>
    </w:p>
    <w:p w14:paraId="6B0513DA">
      <w:pPr>
        <w:spacing w:before="120" w:after="40"/>
        <w:jc w:val="center"/>
      </w:pPr>
      <w:r>
        <w:drawing>
          <wp:inline distT="0" distB="0" distL="114300" distR="114300">
            <wp:extent cx="4754880" cy="2891481"/>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54880" cy="2891481"/>
                    </a:xfrm>
                    <a:prstGeom prst="rect">
                      <a:avLst/>
                    </a:prstGeom>
                  </pic:spPr>
                </pic:pic>
              </a:graphicData>
            </a:graphic>
          </wp:inline>
        </w:drawing>
      </w:r>
    </w:p>
    <w:p w14:paraId="0CB992E2">
      <w:pPr>
        <w:keepNext/>
        <w:spacing w:before="60" w:after="20"/>
        <w:jc w:val="center"/>
        <w:rPr>
          <w:sz w:val="22"/>
          <w:szCs w:val="24"/>
        </w:rPr>
      </w:pPr>
      <w:r>
        <w:rPr>
          <w:rFonts w:ascii="Times New Roman" w:hAnsi="Times New Roman" w:eastAsia="黑体"/>
          <w:b/>
          <w:i w:val="0"/>
          <w:sz w:val="20"/>
          <w:szCs w:val="24"/>
        </w:rPr>
        <w:t>图 2  按综合能力五等分的组合超额收益（FF5 alpha，季均）</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rPr>
        <w:t>按业绩（FF5 alpha，非能力分）取最好和最差各 5% 的基金（各 19 只），比较两组在六个能力维度上的差异（表 7）：六个维度全部显著分化。注意看“过程应对”——这一维两组差了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60" w:after="20" w:line="312" w:lineRule="auto"/>
        <w:jc w:val="center"/>
      </w:pPr>
      <w:r>
        <w:rPr>
          <w:rFonts w:ascii="Times New Roman" w:hAnsi="Times New Roman" w:eastAsia="黑体"/>
          <w:b/>
          <w:sz w:val="21"/>
        </w:rPr>
        <w:t>表 7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0" w:after="0" w:line="240" w:lineRule="auto"/>
              <w:ind w:firstLine="0"/>
              <w:jc w:val="center"/>
            </w:pPr>
            <w:r>
              <w:rPr>
                <w:rFonts w:ascii="Times New Roman" w:hAnsi="Times New Roman" w:eastAsia="宋体"/>
                <w:b/>
                <w:i w:val="0"/>
                <w:sz w:val="18"/>
              </w:rPr>
              <w:t>能力维度</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0" w:after="0" w:line="240" w:lineRule="auto"/>
              <w:ind w:firstLine="0"/>
              <w:jc w:val="center"/>
            </w:pPr>
            <w:r>
              <w:rPr>
                <w:sz w:val="18"/>
              </w:rPr>
              <w:t>Top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0" w:after="0" w:line="240" w:lineRule="auto"/>
              <w:ind w:firstLine="0"/>
              <w:jc w:val="center"/>
            </w:pPr>
            <w:r>
              <w:rPr>
                <w:sz w:val="18"/>
              </w:rPr>
              <w:t>Bottom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0" w:after="0" w:line="240" w:lineRule="auto"/>
              <w:ind w:firstLine="0"/>
              <w:jc w:val="center"/>
            </w:pPr>
            <w:r>
              <w:rPr>
                <w:rFonts w:ascii="Times New Roman" w:hAnsi="Times New Roman" w:eastAsia="宋体"/>
                <w:b/>
                <w:i w:val="0"/>
                <w:sz w:val="18"/>
              </w:rPr>
              <w:t>差值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0" w:after="0" w:line="240" w:lineRule="auto"/>
              <w:ind w:firstLine="0"/>
              <w:jc w:val="center"/>
            </w:pPr>
            <w:r>
              <w:rPr>
                <w:rFonts w:ascii="Times New Roman" w:hAnsi="Times New Roman" w:eastAsia="宋体"/>
                <w:b/>
                <w:i w:val="0"/>
                <w:sz w:val="18"/>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08B34550">
            <w:pPr>
              <w:spacing w:before="0" w:after="0" w:line="240" w:lineRule="auto"/>
              <w:ind w:firstLine="0"/>
              <w:jc w:val="center"/>
            </w:pPr>
            <w:r>
              <w:rPr>
                <w:rFonts w:ascii="Times New Roman" w:hAnsi="Times New Roman" w:eastAsia="宋体"/>
                <w:b w:val="0"/>
                <w:i w:val="0"/>
                <w:sz w:val="18"/>
              </w:rPr>
              <w:t>基本面优势</w:t>
            </w:r>
          </w:p>
        </w:tc>
        <w:tc>
          <w:tcPr>
            <w:tcW w:w="1928" w:type="dxa"/>
            <w:tcBorders>
              <w:top w:val="nil"/>
              <w:left w:val="nil"/>
              <w:bottom w:val="nil"/>
              <w:right w:val="nil"/>
            </w:tcBorders>
            <w:tcMar>
              <w:top w:w="20" w:type="dxa"/>
              <w:left w:w="45" w:type="dxa"/>
              <w:bottom w:w="20" w:type="dxa"/>
              <w:right w:w="45" w:type="dxa"/>
            </w:tcMar>
            <w:vAlign w:val="center"/>
          </w:tcPr>
          <w:p w14:paraId="54D19443">
            <w:pPr>
              <w:spacing w:before="0" w:after="0" w:line="240" w:lineRule="auto"/>
              <w:ind w:firstLine="0"/>
              <w:jc w:val="center"/>
            </w:pPr>
            <w:r>
              <w:rPr>
                <w:rFonts w:ascii="Times New Roman" w:hAnsi="Times New Roman" w:eastAsia="宋体"/>
                <w:b w:val="0"/>
                <w:i w:val="0"/>
                <w:sz w:val="18"/>
              </w:rPr>
              <w:t>0.5270</w:t>
            </w:r>
          </w:p>
        </w:tc>
        <w:tc>
          <w:tcPr>
            <w:tcW w:w="1928" w:type="dxa"/>
            <w:tcBorders>
              <w:top w:val="nil"/>
              <w:left w:val="nil"/>
              <w:bottom w:val="nil"/>
              <w:right w:val="nil"/>
            </w:tcBorders>
            <w:tcMar>
              <w:top w:w="20" w:type="dxa"/>
              <w:left w:w="45" w:type="dxa"/>
              <w:bottom w:w="20" w:type="dxa"/>
              <w:right w:w="45" w:type="dxa"/>
            </w:tcMar>
            <w:vAlign w:val="center"/>
          </w:tcPr>
          <w:p w14:paraId="6BADFE7C">
            <w:pPr>
              <w:spacing w:before="0" w:after="0" w:line="240" w:lineRule="auto"/>
              <w:ind w:firstLine="0"/>
              <w:jc w:val="center"/>
            </w:pPr>
            <w:r>
              <w:rPr>
                <w:rFonts w:ascii="Times New Roman" w:hAnsi="Times New Roman" w:eastAsia="宋体"/>
                <w:b w:val="0"/>
                <w:i w:val="0"/>
                <w:sz w:val="18"/>
              </w:rPr>
              <w:t>0.1828</w:t>
            </w:r>
          </w:p>
        </w:tc>
        <w:tc>
          <w:tcPr>
            <w:tcW w:w="1928" w:type="dxa"/>
            <w:tcBorders>
              <w:top w:val="nil"/>
              <w:left w:val="nil"/>
              <w:bottom w:val="nil"/>
              <w:right w:val="nil"/>
            </w:tcBorders>
            <w:tcMar>
              <w:top w:w="20" w:type="dxa"/>
              <w:left w:w="45" w:type="dxa"/>
              <w:bottom w:w="20" w:type="dxa"/>
              <w:right w:w="45" w:type="dxa"/>
            </w:tcMar>
            <w:vAlign w:val="center"/>
          </w:tcPr>
          <w:p w14:paraId="10885F84">
            <w:pPr>
              <w:spacing w:before="0" w:after="0" w:line="240" w:lineRule="auto"/>
              <w:ind w:firstLine="0"/>
              <w:jc w:val="center"/>
            </w:pPr>
            <w:r>
              <w:rPr>
                <w:rFonts w:ascii="Times New Roman" w:hAnsi="Times New Roman" w:eastAsia="宋体"/>
                <w:b w:val="0"/>
                <w:i w:val="0"/>
                <w:sz w:val="18"/>
              </w:rPr>
              <w:t>0.3442</w:t>
            </w:r>
          </w:p>
        </w:tc>
        <w:tc>
          <w:tcPr>
            <w:tcW w:w="1928" w:type="dxa"/>
            <w:tcBorders>
              <w:top w:val="nil"/>
              <w:left w:val="nil"/>
              <w:bottom w:val="nil"/>
              <w:right w:val="nil"/>
            </w:tcBorders>
            <w:tcMar>
              <w:top w:w="20" w:type="dxa"/>
              <w:left w:w="45" w:type="dxa"/>
              <w:bottom w:w="20" w:type="dxa"/>
              <w:right w:w="45" w:type="dxa"/>
            </w:tcMar>
            <w:vAlign w:val="center"/>
          </w:tcPr>
          <w:p w14:paraId="2BB7B2A5">
            <w:pPr>
              <w:spacing w:before="0" w:after="0" w:line="240" w:lineRule="auto"/>
              <w:ind w:firstLine="0"/>
              <w:jc w:val="center"/>
            </w:pPr>
            <w:r>
              <w:rPr>
                <w:rFonts w:ascii="Times New Roman" w:hAnsi="Times New Roman" w:eastAsia="宋体"/>
                <w:b w:val="0"/>
                <w:i w:val="0"/>
                <w:sz w:val="18"/>
              </w:rPr>
              <w:t>+2.14**</w:t>
            </w:r>
          </w:p>
        </w:tc>
      </w:tr>
      <w:tr w14:paraId="32A5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shd w:val="clear"/>
            <w:tcMar>
              <w:top w:w="20" w:type="dxa"/>
              <w:left w:w="45" w:type="dxa"/>
              <w:bottom w:w="20" w:type="dxa"/>
              <w:right w:w="45" w:type="dxa"/>
            </w:tcMar>
            <w:vAlign w:val="center"/>
          </w:tcPr>
          <w:p w14:paraId="0B30F5D1">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928" w:type="dxa"/>
            <w:tcBorders>
              <w:top w:val="nil"/>
              <w:left w:val="nil"/>
              <w:bottom w:val="nil"/>
              <w:right w:val="nil"/>
            </w:tcBorders>
            <w:shd w:val="clear"/>
            <w:tcMar>
              <w:top w:w="20" w:type="dxa"/>
              <w:left w:w="45" w:type="dxa"/>
              <w:bottom w:w="20" w:type="dxa"/>
              <w:right w:w="45" w:type="dxa"/>
            </w:tcMar>
            <w:vAlign w:val="center"/>
          </w:tcPr>
          <w:p w14:paraId="3238A6D8">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0.7073</w:t>
            </w:r>
          </w:p>
        </w:tc>
        <w:tc>
          <w:tcPr>
            <w:tcW w:w="1928" w:type="dxa"/>
            <w:tcBorders>
              <w:top w:val="nil"/>
              <w:left w:val="nil"/>
              <w:bottom w:val="nil"/>
              <w:right w:val="nil"/>
            </w:tcBorders>
            <w:shd w:val="clear"/>
            <w:tcMar>
              <w:top w:w="20" w:type="dxa"/>
              <w:left w:w="45" w:type="dxa"/>
              <w:bottom w:w="20" w:type="dxa"/>
              <w:right w:w="45" w:type="dxa"/>
            </w:tcMar>
            <w:vAlign w:val="center"/>
          </w:tcPr>
          <w:p w14:paraId="781AA0B6">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-0.3091</w:t>
            </w:r>
          </w:p>
        </w:tc>
        <w:tc>
          <w:tcPr>
            <w:tcW w:w="1928" w:type="dxa"/>
            <w:tcBorders>
              <w:top w:val="nil"/>
              <w:left w:val="nil"/>
              <w:bottom w:val="nil"/>
              <w:right w:val="nil"/>
            </w:tcBorders>
            <w:shd w:val="clear"/>
            <w:tcMar>
              <w:top w:w="20" w:type="dxa"/>
              <w:left w:w="45" w:type="dxa"/>
              <w:bottom w:w="20" w:type="dxa"/>
              <w:right w:w="45" w:type="dxa"/>
            </w:tcMar>
            <w:vAlign w:val="center"/>
          </w:tcPr>
          <w:p w14:paraId="3E87DD6B">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1.0164</w:t>
            </w:r>
          </w:p>
        </w:tc>
        <w:tc>
          <w:tcPr>
            <w:tcW w:w="1928" w:type="dxa"/>
            <w:tcBorders>
              <w:top w:val="nil"/>
              <w:left w:val="nil"/>
              <w:bottom w:val="nil"/>
              <w:right w:val="nil"/>
            </w:tcBorders>
            <w:shd w:val="clear"/>
            <w:tcMar>
              <w:top w:w="20" w:type="dxa"/>
              <w:left w:w="45" w:type="dxa"/>
              <w:bottom w:w="20" w:type="dxa"/>
              <w:right w:w="45" w:type="dxa"/>
            </w:tcMar>
            <w:vAlign w:val="center"/>
          </w:tcPr>
          <w:p w14:paraId="4BF8059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+3.19***</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3F3CB695">
            <w:pPr>
              <w:spacing w:before="0" w:after="0" w:line="240" w:lineRule="auto"/>
              <w:ind w:firstLine="0"/>
              <w:jc w:val="center"/>
            </w:pPr>
            <w:r>
              <w:rPr>
                <w:rFonts w:ascii="Times New Roman" w:hAnsi="Times New Roman" w:eastAsia="宋体"/>
                <w:b w:val="0"/>
                <w:i w:val="0"/>
                <w:sz w:val="18"/>
              </w:rPr>
              <w:t>认知能力</w:t>
            </w:r>
          </w:p>
        </w:tc>
        <w:tc>
          <w:tcPr>
            <w:tcW w:w="1928" w:type="dxa"/>
            <w:tcBorders>
              <w:top w:val="nil"/>
              <w:left w:val="nil"/>
              <w:bottom w:val="nil"/>
              <w:right w:val="nil"/>
            </w:tcBorders>
            <w:tcMar>
              <w:top w:w="20" w:type="dxa"/>
              <w:left w:w="45" w:type="dxa"/>
              <w:bottom w:w="20" w:type="dxa"/>
              <w:right w:w="45" w:type="dxa"/>
            </w:tcMar>
            <w:vAlign w:val="center"/>
          </w:tcPr>
          <w:p w14:paraId="394D4F89">
            <w:pPr>
              <w:spacing w:before="0" w:after="0" w:line="240" w:lineRule="auto"/>
              <w:ind w:firstLine="0"/>
              <w:jc w:val="center"/>
            </w:pPr>
            <w:r>
              <w:rPr>
                <w:rFonts w:ascii="Times New Roman" w:hAnsi="Times New Roman" w:eastAsia="宋体"/>
                <w:b w:val="0"/>
                <w:i w:val="0"/>
                <w:sz w:val="18"/>
              </w:rPr>
              <w:t>0.2914</w:t>
            </w:r>
          </w:p>
        </w:tc>
        <w:tc>
          <w:tcPr>
            <w:tcW w:w="1928" w:type="dxa"/>
            <w:tcBorders>
              <w:top w:val="nil"/>
              <w:left w:val="nil"/>
              <w:bottom w:val="nil"/>
              <w:right w:val="nil"/>
            </w:tcBorders>
            <w:tcMar>
              <w:top w:w="20" w:type="dxa"/>
              <w:left w:w="45" w:type="dxa"/>
              <w:bottom w:w="20" w:type="dxa"/>
              <w:right w:w="45" w:type="dxa"/>
            </w:tcMar>
            <w:vAlign w:val="center"/>
          </w:tcPr>
          <w:p w14:paraId="1065C6FD">
            <w:pPr>
              <w:spacing w:before="0" w:after="0" w:line="240" w:lineRule="auto"/>
              <w:ind w:firstLine="0"/>
              <w:jc w:val="center"/>
            </w:pPr>
            <w:r>
              <w:rPr>
                <w:rFonts w:ascii="Times New Roman" w:hAnsi="Times New Roman" w:eastAsia="宋体"/>
                <w:b w:val="0"/>
                <w:i w:val="0"/>
                <w:sz w:val="18"/>
              </w:rPr>
              <w:t>-0.4110</w:t>
            </w:r>
          </w:p>
        </w:tc>
        <w:tc>
          <w:tcPr>
            <w:tcW w:w="1928" w:type="dxa"/>
            <w:tcBorders>
              <w:top w:val="nil"/>
              <w:left w:val="nil"/>
              <w:bottom w:val="nil"/>
              <w:right w:val="nil"/>
            </w:tcBorders>
            <w:tcMar>
              <w:top w:w="20" w:type="dxa"/>
              <w:left w:w="45" w:type="dxa"/>
              <w:bottom w:w="20" w:type="dxa"/>
              <w:right w:w="45" w:type="dxa"/>
            </w:tcMar>
            <w:vAlign w:val="center"/>
          </w:tcPr>
          <w:p w14:paraId="62929308">
            <w:pPr>
              <w:spacing w:before="0" w:after="0" w:line="240" w:lineRule="auto"/>
              <w:ind w:firstLine="0"/>
              <w:jc w:val="center"/>
            </w:pPr>
            <w:r>
              <w:rPr>
                <w:rFonts w:ascii="Times New Roman" w:hAnsi="Times New Roman" w:eastAsia="宋体"/>
                <w:b w:val="0"/>
                <w:i w:val="0"/>
                <w:sz w:val="18"/>
              </w:rPr>
              <w:t>0.7025</w:t>
            </w:r>
          </w:p>
        </w:tc>
        <w:tc>
          <w:tcPr>
            <w:tcW w:w="1928" w:type="dxa"/>
            <w:tcBorders>
              <w:top w:val="nil"/>
              <w:left w:val="nil"/>
              <w:bottom w:val="nil"/>
              <w:right w:val="nil"/>
            </w:tcBorders>
            <w:tcMar>
              <w:top w:w="20" w:type="dxa"/>
              <w:left w:w="45" w:type="dxa"/>
              <w:bottom w:w="20" w:type="dxa"/>
              <w:right w:w="45" w:type="dxa"/>
            </w:tcMar>
            <w:vAlign w:val="center"/>
          </w:tcPr>
          <w:p w14:paraId="1BA4C419">
            <w:pPr>
              <w:spacing w:before="0" w:after="0" w:line="240" w:lineRule="auto"/>
              <w:ind w:firstLine="0"/>
              <w:jc w:val="center"/>
            </w:pPr>
            <w:r>
              <w:rPr>
                <w:rFonts w:ascii="Times New Roman" w:hAnsi="Times New Roman" w:eastAsia="宋体"/>
                <w:b w:val="0"/>
                <w:i w:val="0"/>
                <w:sz w:val="18"/>
              </w:rPr>
              <w:t>+5.48***</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53512C92">
            <w:pPr>
              <w:spacing w:before="0" w:after="0" w:line="240" w:lineRule="auto"/>
              <w:ind w:firstLine="0"/>
              <w:jc w:val="center"/>
            </w:pPr>
            <w:r>
              <w:rPr>
                <w:rFonts w:ascii="Times New Roman" w:hAnsi="Times New Roman" w:eastAsia="宋体"/>
                <w:b w:val="0"/>
                <w:i w:val="0"/>
                <w:sz w:val="18"/>
              </w:rPr>
              <w:t>风险应对能力</w:t>
            </w:r>
          </w:p>
        </w:tc>
        <w:tc>
          <w:tcPr>
            <w:tcW w:w="1928" w:type="dxa"/>
            <w:tcBorders>
              <w:top w:val="nil"/>
              <w:left w:val="nil"/>
              <w:bottom w:val="nil"/>
              <w:right w:val="nil"/>
            </w:tcBorders>
            <w:tcMar>
              <w:top w:w="20" w:type="dxa"/>
              <w:left w:w="45" w:type="dxa"/>
              <w:bottom w:w="20" w:type="dxa"/>
              <w:right w:w="45" w:type="dxa"/>
            </w:tcMar>
            <w:vAlign w:val="center"/>
          </w:tcPr>
          <w:p w14:paraId="5F31A6ED">
            <w:pPr>
              <w:spacing w:before="0" w:after="0" w:line="240" w:lineRule="auto"/>
              <w:ind w:firstLine="0"/>
              <w:jc w:val="center"/>
            </w:pPr>
            <w:r>
              <w:rPr>
                <w:rFonts w:ascii="Times New Roman" w:hAnsi="Times New Roman" w:eastAsia="宋体"/>
                <w:b w:val="0"/>
                <w:i w:val="0"/>
                <w:sz w:val="18"/>
              </w:rPr>
              <w:t>1.0557</w:t>
            </w:r>
          </w:p>
        </w:tc>
        <w:tc>
          <w:tcPr>
            <w:tcW w:w="1928" w:type="dxa"/>
            <w:tcBorders>
              <w:top w:val="nil"/>
              <w:left w:val="nil"/>
              <w:bottom w:val="nil"/>
              <w:right w:val="nil"/>
            </w:tcBorders>
            <w:tcMar>
              <w:top w:w="20" w:type="dxa"/>
              <w:left w:w="45" w:type="dxa"/>
              <w:bottom w:w="20" w:type="dxa"/>
              <w:right w:w="45" w:type="dxa"/>
            </w:tcMar>
            <w:vAlign w:val="center"/>
          </w:tcPr>
          <w:p w14:paraId="5CC06019">
            <w:pPr>
              <w:spacing w:before="0" w:after="0" w:line="240" w:lineRule="auto"/>
              <w:ind w:firstLine="0"/>
              <w:jc w:val="center"/>
            </w:pPr>
            <w:r>
              <w:rPr>
                <w:rFonts w:ascii="Times New Roman" w:hAnsi="Times New Roman" w:eastAsia="宋体"/>
                <w:b w:val="0"/>
                <w:i w:val="0"/>
                <w:sz w:val="18"/>
              </w:rPr>
              <w:t>-0.1345</w:t>
            </w:r>
          </w:p>
        </w:tc>
        <w:tc>
          <w:tcPr>
            <w:tcW w:w="1928" w:type="dxa"/>
            <w:tcBorders>
              <w:top w:val="nil"/>
              <w:left w:val="nil"/>
              <w:bottom w:val="nil"/>
              <w:right w:val="nil"/>
            </w:tcBorders>
            <w:tcMar>
              <w:top w:w="20" w:type="dxa"/>
              <w:left w:w="45" w:type="dxa"/>
              <w:bottom w:w="20" w:type="dxa"/>
              <w:right w:w="45" w:type="dxa"/>
            </w:tcMar>
            <w:vAlign w:val="center"/>
          </w:tcPr>
          <w:p w14:paraId="036433F8">
            <w:pPr>
              <w:spacing w:before="0" w:after="0" w:line="240" w:lineRule="auto"/>
              <w:ind w:firstLine="0"/>
              <w:jc w:val="center"/>
            </w:pPr>
            <w:r>
              <w:rPr>
                <w:rFonts w:ascii="Times New Roman" w:hAnsi="Times New Roman" w:eastAsia="宋体"/>
                <w:b w:val="0"/>
                <w:i w:val="0"/>
                <w:sz w:val="18"/>
              </w:rPr>
              <w:t>1.1901</w:t>
            </w:r>
          </w:p>
        </w:tc>
        <w:tc>
          <w:tcPr>
            <w:tcW w:w="1928" w:type="dxa"/>
            <w:tcBorders>
              <w:top w:val="nil"/>
              <w:left w:val="nil"/>
              <w:bottom w:val="nil"/>
              <w:right w:val="nil"/>
            </w:tcBorders>
            <w:tcMar>
              <w:top w:w="20" w:type="dxa"/>
              <w:left w:w="45" w:type="dxa"/>
              <w:bottom w:w="20" w:type="dxa"/>
              <w:right w:w="45" w:type="dxa"/>
            </w:tcMar>
            <w:vAlign w:val="center"/>
          </w:tcPr>
          <w:p w14:paraId="1020976C">
            <w:pPr>
              <w:spacing w:before="0" w:after="0" w:line="240" w:lineRule="auto"/>
              <w:ind w:firstLine="0"/>
              <w:jc w:val="center"/>
            </w:pPr>
            <w:r>
              <w:rPr>
                <w:rFonts w:ascii="Times New Roman" w:hAnsi="Times New Roman" w:eastAsia="宋体"/>
                <w:b w:val="0"/>
                <w:i w:val="0"/>
                <w:sz w:val="18"/>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4090E8C3">
            <w:pPr>
              <w:spacing w:before="0" w:after="0" w:line="240" w:lineRule="auto"/>
              <w:ind w:firstLine="0"/>
              <w:jc w:val="center"/>
            </w:pPr>
            <w:r>
              <w:rPr>
                <w:rFonts w:ascii="Times New Roman" w:hAnsi="Times New Roman" w:eastAsia="宋体"/>
                <w:b w:val="0"/>
                <w:i w:val="0"/>
                <w:sz w:val="18"/>
              </w:rPr>
              <w:t>风险转化能力</w:t>
            </w:r>
          </w:p>
        </w:tc>
        <w:tc>
          <w:tcPr>
            <w:tcW w:w="1928" w:type="dxa"/>
            <w:tcBorders>
              <w:top w:val="nil"/>
              <w:left w:val="nil"/>
              <w:bottom w:val="nil"/>
              <w:right w:val="nil"/>
            </w:tcBorders>
            <w:tcMar>
              <w:top w:w="20" w:type="dxa"/>
              <w:left w:w="45" w:type="dxa"/>
              <w:bottom w:w="20" w:type="dxa"/>
              <w:right w:w="45" w:type="dxa"/>
            </w:tcMar>
            <w:vAlign w:val="center"/>
          </w:tcPr>
          <w:p w14:paraId="11339166">
            <w:pPr>
              <w:spacing w:before="0" w:after="0" w:line="240" w:lineRule="auto"/>
              <w:ind w:firstLine="0"/>
              <w:jc w:val="center"/>
            </w:pPr>
            <w:r>
              <w:rPr>
                <w:rFonts w:ascii="Times New Roman" w:hAnsi="Times New Roman" w:eastAsia="宋体"/>
                <w:b w:val="0"/>
                <w:i w:val="0"/>
                <w:sz w:val="18"/>
              </w:rPr>
              <w:t>0.1545</w:t>
            </w:r>
          </w:p>
        </w:tc>
        <w:tc>
          <w:tcPr>
            <w:tcW w:w="1928" w:type="dxa"/>
            <w:tcBorders>
              <w:top w:val="nil"/>
              <w:left w:val="nil"/>
              <w:bottom w:val="nil"/>
              <w:right w:val="nil"/>
            </w:tcBorders>
            <w:tcMar>
              <w:top w:w="20" w:type="dxa"/>
              <w:left w:w="45" w:type="dxa"/>
              <w:bottom w:w="20" w:type="dxa"/>
              <w:right w:w="45" w:type="dxa"/>
            </w:tcMar>
            <w:vAlign w:val="center"/>
          </w:tcPr>
          <w:p w14:paraId="7F0CD86C">
            <w:pPr>
              <w:spacing w:before="0" w:after="0" w:line="240" w:lineRule="auto"/>
              <w:ind w:firstLine="0"/>
              <w:jc w:val="center"/>
            </w:pPr>
            <w:r>
              <w:rPr>
                <w:rFonts w:ascii="Times New Roman" w:hAnsi="Times New Roman" w:eastAsia="宋体"/>
                <w:b w:val="0"/>
                <w:i w:val="0"/>
                <w:sz w:val="18"/>
              </w:rPr>
              <w:t>-0.8957</w:t>
            </w:r>
          </w:p>
        </w:tc>
        <w:tc>
          <w:tcPr>
            <w:tcW w:w="1928" w:type="dxa"/>
            <w:tcBorders>
              <w:top w:val="nil"/>
              <w:left w:val="nil"/>
              <w:bottom w:val="nil"/>
              <w:right w:val="nil"/>
            </w:tcBorders>
            <w:tcMar>
              <w:top w:w="20" w:type="dxa"/>
              <w:left w:w="45" w:type="dxa"/>
              <w:bottom w:w="20" w:type="dxa"/>
              <w:right w:w="45" w:type="dxa"/>
            </w:tcMar>
            <w:vAlign w:val="center"/>
          </w:tcPr>
          <w:p w14:paraId="322EBE50">
            <w:pPr>
              <w:spacing w:before="0" w:after="0" w:line="240" w:lineRule="auto"/>
              <w:ind w:firstLine="0"/>
              <w:jc w:val="center"/>
            </w:pPr>
            <w:r>
              <w:rPr>
                <w:rFonts w:ascii="Times New Roman" w:hAnsi="Times New Roman" w:eastAsia="宋体"/>
                <w:b w:val="0"/>
                <w:i w:val="0"/>
                <w:sz w:val="18"/>
              </w:rPr>
              <w:t>1.0501</w:t>
            </w:r>
          </w:p>
        </w:tc>
        <w:tc>
          <w:tcPr>
            <w:tcW w:w="1928" w:type="dxa"/>
            <w:tcBorders>
              <w:top w:val="nil"/>
              <w:left w:val="nil"/>
              <w:bottom w:val="nil"/>
              <w:right w:val="nil"/>
            </w:tcBorders>
            <w:tcMar>
              <w:top w:w="20" w:type="dxa"/>
              <w:left w:w="45" w:type="dxa"/>
              <w:bottom w:w="20" w:type="dxa"/>
              <w:right w:w="45" w:type="dxa"/>
            </w:tcMar>
            <w:vAlign w:val="center"/>
          </w:tcPr>
          <w:p w14:paraId="59007AA1">
            <w:pPr>
              <w:spacing w:before="0" w:after="0" w:line="240" w:lineRule="auto"/>
              <w:ind w:firstLine="0"/>
              <w:jc w:val="center"/>
            </w:pPr>
            <w:r>
              <w:rPr>
                <w:rFonts w:ascii="Times New Roman" w:hAnsi="Times New Roman" w:eastAsia="宋体"/>
                <w:b w:val="0"/>
                <w:i w:val="0"/>
                <w:sz w:val="18"/>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0" w:after="0" w:line="240" w:lineRule="auto"/>
              <w:ind w:firstLine="0"/>
              <w:jc w:val="center"/>
            </w:pPr>
            <w:r>
              <w:rPr>
                <w:rFonts w:ascii="Times New Roman" w:hAnsi="Times New Roman" w:eastAsia="宋体"/>
                <w:b w:val="0"/>
                <w:i w:val="0"/>
                <w:sz w:val="18"/>
              </w:rPr>
              <w:t>交易执行能力</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0" w:after="0" w:line="240" w:lineRule="auto"/>
              <w:ind w:firstLine="0"/>
              <w:jc w:val="center"/>
            </w:pPr>
            <w:r>
              <w:rPr>
                <w:rFonts w:ascii="Times New Roman" w:hAnsi="Times New Roman" w:eastAsia="宋体"/>
                <w:b w:val="0"/>
                <w:i w:val="0"/>
                <w:sz w:val="18"/>
              </w:rPr>
              <w:t>0.5275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0" w:after="0" w:line="240" w:lineRule="auto"/>
              <w:ind w:firstLine="0"/>
              <w:jc w:val="center"/>
            </w:pPr>
            <w:r>
              <w:rPr>
                <w:rFonts w:ascii="Times New Roman" w:hAnsi="Times New Roman" w:eastAsia="宋体"/>
                <w:b w:val="0"/>
                <w:i w:val="0"/>
                <w:sz w:val="18"/>
              </w:rPr>
              <w:t>-0.1905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0" w:after="0" w:line="240" w:lineRule="auto"/>
              <w:ind w:firstLine="0"/>
              <w:jc w:val="center"/>
            </w:pPr>
            <w:r>
              <w:rPr>
                <w:rFonts w:ascii="Times New Roman" w:hAnsi="Times New Roman" w:eastAsia="宋体"/>
                <w:b w:val="0"/>
                <w:i w:val="0"/>
                <w:sz w:val="18"/>
              </w:rPr>
              <w:t>0.7180</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0" w:after="0" w:line="240" w:lineRule="auto"/>
              <w:ind w:firstLine="0"/>
              <w:jc w:val="center"/>
            </w:pPr>
            <w:r>
              <w:rPr>
                <w:rFonts w:ascii="Times New Roman" w:hAnsi="Times New Roman" w:eastAsia="宋体"/>
                <w:b w:val="0"/>
                <w:i w:val="0"/>
                <w:sz w:val="18"/>
              </w:rPr>
              <w:t>+3.28***</w:t>
            </w:r>
          </w:p>
        </w:tc>
      </w:tr>
    </w:tbl>
    <w:p w14:paraId="2EEF1EEB">
      <w:pPr>
        <w:spacing w:before="20" w:after="6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sz w:val="21"/>
        </w:rPr>
        <w:t>五分组背景对照（表 8）揭示两项规律：其一，规模不经济显著，最低组规模中位数（17.3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60" w:after="20" w:line="312" w:lineRule="auto"/>
        <w:jc w:val="center"/>
      </w:pPr>
      <w:r>
        <w:rPr>
          <w:rFonts w:ascii="Times New Roman" w:hAnsi="Times New Roman" w:eastAsia="黑体"/>
          <w:b/>
          <w:sz w:val="21"/>
        </w:rPr>
        <w:t>表 8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0" w:after="0" w:line="240" w:lineRule="auto"/>
              <w:ind w:firstLine="0"/>
              <w:jc w:val="center"/>
            </w:pPr>
            <w:r>
              <w:rPr>
                <w:rFonts w:ascii="Times New Roman" w:hAnsi="Times New Roman" w:eastAsia="宋体"/>
                <w:b/>
                <w:i w:val="0"/>
                <w:sz w:val="18"/>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0" w:after="0" w:line="240" w:lineRule="auto"/>
              <w:ind w:firstLine="0"/>
              <w:jc w:val="center"/>
            </w:pPr>
            <w:r>
              <w:rPr>
                <w:rFonts w:ascii="Times New Roman" w:hAnsi="Times New Roman" w:eastAsia="宋体"/>
                <w:b/>
                <w:i w:val="0"/>
                <w:sz w:val="18"/>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0" w:after="0" w:line="240" w:lineRule="auto"/>
              <w:ind w:firstLine="0"/>
              <w:jc w:val="center"/>
            </w:pPr>
            <w:r>
              <w:rPr>
                <w:rFonts w:ascii="Times New Roman" w:hAnsi="Times New Roman" w:eastAsia="宋体"/>
                <w:b/>
                <w:i w:val="0"/>
                <w:sz w:val="18"/>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0" w:after="0" w:line="240" w:lineRule="auto"/>
              <w:ind w:firstLine="0"/>
              <w:jc w:val="center"/>
            </w:pPr>
            <w:r>
              <w:rPr>
                <w:rFonts w:ascii="Times New Roman" w:hAnsi="Times New Roman" w:eastAsia="宋体"/>
                <w:b/>
                <w:i w:val="0"/>
                <w:sz w:val="18"/>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0" w:after="0" w:line="240" w:lineRule="auto"/>
              <w:ind w:firstLine="0"/>
              <w:jc w:val="center"/>
            </w:pPr>
            <w:r>
              <w:rPr>
                <w:rFonts w:ascii="Times New Roman" w:hAnsi="Times New Roman" w:eastAsia="宋体"/>
                <w:b/>
                <w:i w:val="0"/>
                <w:sz w:val="18"/>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0" w:after="0" w:line="240" w:lineRule="auto"/>
              <w:ind w:firstLine="0"/>
              <w:jc w:val="center"/>
            </w:pPr>
            <w:r>
              <w:rPr>
                <w:rFonts w:ascii="Times New Roman" w:hAnsi="Times New Roman" w:eastAsia="宋体"/>
                <w:b/>
                <w:i w:val="0"/>
                <w:sz w:val="18"/>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0" w:after="0" w:line="240" w:lineRule="auto"/>
              <w:ind w:firstLine="0"/>
              <w:jc w:val="center"/>
            </w:pPr>
            <w:r>
              <w:rPr>
                <w:rFonts w:ascii="Times New Roman" w:hAnsi="Times New Roman" w:eastAsia="宋体"/>
                <w:b/>
                <w:i w:val="0"/>
                <w:sz w:val="18"/>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0" w:after="0" w:line="240" w:lineRule="auto"/>
              <w:ind w:firstLine="0"/>
              <w:jc w:val="center"/>
            </w:pPr>
            <w:r>
              <w:rPr>
                <w:rFonts w:ascii="Times New Roman" w:hAnsi="Times New Roman" w:eastAsia="宋体"/>
                <w:b/>
                <w:i w:val="0"/>
                <w:sz w:val="18"/>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0" w:after="0" w:line="240" w:lineRule="auto"/>
              <w:ind w:firstLine="0"/>
              <w:jc w:val="center"/>
            </w:pPr>
            <w:r>
              <w:rPr>
                <w:rFonts w:ascii="Times New Roman" w:hAnsi="Times New Roman" w:eastAsia="宋体"/>
                <w:b/>
                <w:i w:val="0"/>
                <w:sz w:val="18"/>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0" w:after="0" w:line="240" w:lineRule="auto"/>
              <w:ind w:firstLine="0"/>
              <w:jc w:val="center"/>
            </w:pPr>
            <w:r>
              <w:rPr>
                <w:rFonts w:ascii="Times New Roman" w:hAnsi="Times New Roman" w:eastAsia="宋体"/>
                <w:b w:val="0"/>
                <w:i w:val="0"/>
                <w:sz w:val="18"/>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0" w:after="0" w:line="240" w:lineRule="auto"/>
              <w:ind w:firstLine="0"/>
              <w:jc w:val="center"/>
            </w:pPr>
            <w:r>
              <w:rPr>
                <w:rFonts w:ascii="Times New Roman" w:hAnsi="Times New Roman" w:eastAsia="宋体"/>
                <w:b w:val="0"/>
                <w:i w:val="0"/>
                <w:sz w:val="18"/>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0" w:after="0" w:line="240" w:lineRule="auto"/>
              <w:ind w:firstLine="0"/>
              <w:jc w:val="center"/>
            </w:pPr>
            <w:r>
              <w:rPr>
                <w:rFonts w:ascii="Times New Roman" w:hAnsi="Times New Roman" w:eastAsia="宋体"/>
                <w:b w:val="0"/>
                <w:i w:val="0"/>
                <w:sz w:val="18"/>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0" w:after="0" w:line="240" w:lineRule="auto"/>
              <w:ind w:firstLine="0"/>
              <w:jc w:val="center"/>
            </w:pPr>
            <w:r>
              <w:rPr>
                <w:rFonts w:ascii="Times New Roman" w:hAnsi="Times New Roman" w:eastAsia="宋体"/>
                <w:b w:val="0"/>
                <w:i w:val="0"/>
                <w:sz w:val="18"/>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0" w:after="0" w:line="240" w:lineRule="auto"/>
              <w:ind w:firstLine="0"/>
              <w:jc w:val="center"/>
            </w:pPr>
            <w:r>
              <w:rPr>
                <w:rFonts w:ascii="Times New Roman" w:hAnsi="Times New Roman" w:eastAsia="宋体"/>
                <w:b w:val="0"/>
                <w:i w:val="0"/>
                <w:sz w:val="18"/>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0" w:after="0" w:line="240" w:lineRule="auto"/>
              <w:ind w:firstLine="0"/>
              <w:jc w:val="center"/>
            </w:pPr>
            <w:r>
              <w:rPr>
                <w:rFonts w:ascii="Times New Roman" w:hAnsi="Times New Roman" w:eastAsia="宋体"/>
                <w:b w:val="0"/>
                <w:i w:val="0"/>
                <w:sz w:val="18"/>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0" w:after="0" w:line="240" w:lineRule="auto"/>
              <w:ind w:firstLine="0"/>
              <w:jc w:val="center"/>
            </w:pPr>
            <w:r>
              <w:rPr>
                <w:rFonts w:ascii="Times New Roman" w:hAnsi="Times New Roman" w:eastAsia="宋体"/>
                <w:b w:val="0"/>
                <w:i w:val="0"/>
                <w:sz w:val="18"/>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0" w:after="0" w:line="240" w:lineRule="auto"/>
              <w:ind w:firstLine="0"/>
              <w:jc w:val="center"/>
            </w:pPr>
            <w:r>
              <w:rPr>
                <w:rFonts w:ascii="Times New Roman" w:hAnsi="Times New Roman" w:eastAsia="宋体"/>
                <w:b w:val="0"/>
                <w:i w:val="0"/>
                <w:sz w:val="18"/>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0" w:after="0" w:line="240" w:lineRule="auto"/>
              <w:ind w:firstLine="0"/>
              <w:jc w:val="center"/>
            </w:pPr>
            <w:r>
              <w:rPr>
                <w:rFonts w:ascii="Times New Roman" w:hAnsi="Times New Roman" w:eastAsia="宋体"/>
                <w:b w:val="0"/>
                <w:i w:val="0"/>
                <w:sz w:val="18"/>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0" w:after="0" w:line="240" w:lineRule="auto"/>
              <w:ind w:firstLine="0"/>
              <w:jc w:val="center"/>
            </w:pPr>
            <w:r>
              <w:rPr>
                <w:rFonts w:ascii="Times New Roman" w:hAnsi="Times New Roman" w:eastAsia="宋体"/>
                <w:b w:val="0"/>
                <w:i w:val="0"/>
                <w:sz w:val="18"/>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0" w:after="0" w:line="240" w:lineRule="auto"/>
              <w:ind w:firstLine="0"/>
              <w:jc w:val="center"/>
            </w:pPr>
            <w:r>
              <w:rPr>
                <w:rFonts w:ascii="Times New Roman" w:hAnsi="Times New Roman" w:eastAsia="宋体"/>
                <w:b w:val="0"/>
                <w:i w:val="0"/>
                <w:sz w:val="18"/>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0" w:after="0" w:line="240" w:lineRule="auto"/>
              <w:ind w:firstLine="0"/>
              <w:jc w:val="center"/>
            </w:pPr>
            <w:r>
              <w:rPr>
                <w:rFonts w:ascii="Times New Roman" w:hAnsi="Times New Roman" w:eastAsia="宋体"/>
                <w:b w:val="0"/>
                <w:i w:val="0"/>
                <w:sz w:val="18"/>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0" w:after="0" w:line="240" w:lineRule="auto"/>
              <w:ind w:firstLine="0"/>
              <w:jc w:val="center"/>
            </w:pPr>
            <w:r>
              <w:rPr>
                <w:rFonts w:ascii="Times New Roman" w:hAnsi="Times New Roman" w:eastAsia="宋体"/>
                <w:b w:val="0"/>
                <w:i w:val="0"/>
                <w:sz w:val="18"/>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0" w:after="0" w:line="240" w:lineRule="auto"/>
              <w:ind w:firstLine="0"/>
              <w:jc w:val="center"/>
            </w:pPr>
            <w:r>
              <w:rPr>
                <w:rFonts w:ascii="Times New Roman" w:hAnsi="Times New Roman" w:eastAsia="宋体"/>
                <w:b w:val="0"/>
                <w:i w:val="0"/>
                <w:sz w:val="18"/>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0" w:after="0" w:line="240" w:lineRule="auto"/>
              <w:ind w:firstLine="0"/>
              <w:jc w:val="center"/>
            </w:pPr>
            <w:r>
              <w:rPr>
                <w:rFonts w:ascii="Times New Roman" w:hAnsi="Times New Roman" w:eastAsia="宋体"/>
                <w:b w:val="0"/>
                <w:i w:val="0"/>
                <w:sz w:val="18"/>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0" w:after="0" w:line="240" w:lineRule="auto"/>
              <w:ind w:firstLine="0"/>
              <w:jc w:val="center"/>
            </w:pPr>
            <w:r>
              <w:rPr>
                <w:rFonts w:ascii="Times New Roman" w:hAnsi="Times New Roman" w:eastAsia="宋体"/>
                <w:b w:val="0"/>
                <w:i w:val="0"/>
                <w:sz w:val="18"/>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0" w:after="0" w:line="240" w:lineRule="auto"/>
              <w:ind w:firstLine="0"/>
              <w:jc w:val="center"/>
            </w:pPr>
            <w:r>
              <w:rPr>
                <w:rFonts w:ascii="Times New Roman" w:hAnsi="Times New Roman" w:eastAsia="宋体"/>
                <w:b w:val="0"/>
                <w:i w:val="0"/>
                <w:sz w:val="18"/>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0" w:after="0" w:line="240" w:lineRule="auto"/>
              <w:ind w:firstLine="0"/>
              <w:jc w:val="center"/>
            </w:pPr>
            <w:r>
              <w:rPr>
                <w:rFonts w:ascii="Times New Roman" w:hAnsi="Times New Roman" w:eastAsia="宋体"/>
                <w:b w:val="0"/>
                <w:i w:val="0"/>
                <w:sz w:val="18"/>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0" w:after="0" w:line="240" w:lineRule="auto"/>
              <w:ind w:firstLine="0"/>
              <w:jc w:val="center"/>
            </w:pPr>
            <w:r>
              <w:rPr>
                <w:rFonts w:ascii="Times New Roman" w:hAnsi="Times New Roman" w:eastAsia="宋体"/>
                <w:b w:val="0"/>
                <w:i w:val="0"/>
                <w:sz w:val="18"/>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0" w:after="0" w:line="240" w:lineRule="auto"/>
              <w:ind w:firstLine="0"/>
              <w:jc w:val="center"/>
            </w:pPr>
            <w:r>
              <w:rPr>
                <w:rFonts w:ascii="Times New Roman" w:hAnsi="Times New Roman" w:eastAsia="宋体"/>
                <w:b w:val="0"/>
                <w:i w:val="0"/>
                <w:sz w:val="18"/>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0" w:after="0" w:line="240" w:lineRule="auto"/>
              <w:ind w:firstLine="0"/>
              <w:jc w:val="center"/>
            </w:pPr>
            <w:r>
              <w:rPr>
                <w:rFonts w:ascii="Times New Roman" w:hAnsi="Times New Roman" w:eastAsia="宋体"/>
                <w:b w:val="0"/>
                <w:i w:val="0"/>
                <w:sz w:val="18"/>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0" w:after="0" w:line="240" w:lineRule="auto"/>
              <w:ind w:firstLine="0"/>
              <w:jc w:val="center"/>
            </w:pPr>
            <w:r>
              <w:rPr>
                <w:rFonts w:ascii="Times New Roman" w:hAnsi="Times New Roman" w:eastAsia="宋体"/>
                <w:b w:val="0"/>
                <w:i w:val="0"/>
                <w:sz w:val="18"/>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0" w:after="0" w:line="240" w:lineRule="auto"/>
              <w:ind w:firstLine="0"/>
              <w:jc w:val="center"/>
            </w:pPr>
            <w:r>
              <w:rPr>
                <w:rFonts w:ascii="Times New Roman" w:hAnsi="Times New Roman" w:eastAsia="宋体"/>
                <w:b w:val="0"/>
                <w:i w:val="0"/>
                <w:sz w:val="18"/>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0" w:after="0" w:line="240" w:lineRule="auto"/>
              <w:ind w:firstLine="0"/>
              <w:jc w:val="center"/>
            </w:pPr>
            <w:r>
              <w:rPr>
                <w:rFonts w:ascii="Times New Roman" w:hAnsi="Times New Roman" w:eastAsia="宋体"/>
                <w:b w:val="0"/>
                <w:i w:val="0"/>
                <w:sz w:val="18"/>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0" w:after="0" w:line="240" w:lineRule="auto"/>
              <w:ind w:firstLine="0"/>
              <w:jc w:val="center"/>
            </w:pPr>
            <w:r>
              <w:rPr>
                <w:rFonts w:ascii="Times New Roman" w:hAnsi="Times New Roman" w:eastAsia="宋体"/>
                <w:b w:val="0"/>
                <w:i w:val="0"/>
                <w:sz w:val="18"/>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0" w:after="0" w:line="240" w:lineRule="auto"/>
              <w:ind w:firstLine="0"/>
              <w:jc w:val="center"/>
            </w:pPr>
            <w:r>
              <w:rPr>
                <w:rFonts w:ascii="Times New Roman" w:hAnsi="Times New Roman" w:eastAsia="宋体"/>
                <w:b w:val="0"/>
                <w:i w:val="0"/>
                <w:sz w:val="18"/>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0" w:after="0" w:line="240" w:lineRule="auto"/>
              <w:ind w:firstLine="0"/>
              <w:jc w:val="center"/>
            </w:pPr>
            <w:r>
              <w:rPr>
                <w:rFonts w:ascii="Times New Roman" w:hAnsi="Times New Roman" w:eastAsia="宋体"/>
                <w:b w:val="0"/>
                <w:i w:val="0"/>
                <w:sz w:val="18"/>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0" w:after="0" w:line="240" w:lineRule="auto"/>
              <w:ind w:firstLine="0"/>
              <w:jc w:val="center"/>
            </w:pPr>
            <w:r>
              <w:rPr>
                <w:rFonts w:ascii="Times New Roman" w:hAnsi="Times New Roman" w:eastAsia="宋体"/>
                <w:b w:val="0"/>
                <w:i w:val="0"/>
                <w:sz w:val="18"/>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0" w:after="0" w:line="240" w:lineRule="auto"/>
              <w:ind w:firstLine="0"/>
              <w:jc w:val="center"/>
            </w:pPr>
            <w:r>
              <w:rPr>
                <w:rFonts w:ascii="Times New Roman" w:hAnsi="Times New Roman" w:eastAsia="宋体"/>
                <w:b w:val="0"/>
                <w:i w:val="0"/>
                <w:sz w:val="18"/>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0" w:after="0" w:line="240" w:lineRule="auto"/>
              <w:ind w:firstLine="0"/>
              <w:jc w:val="center"/>
            </w:pPr>
            <w:r>
              <w:rPr>
                <w:rFonts w:ascii="Times New Roman" w:hAnsi="Times New Roman" w:eastAsia="宋体"/>
                <w:b w:val="0"/>
                <w:i w:val="0"/>
                <w:sz w:val="18"/>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0" w:after="0" w:line="240" w:lineRule="auto"/>
              <w:ind w:firstLine="0"/>
              <w:jc w:val="center"/>
            </w:pPr>
            <w:r>
              <w:rPr>
                <w:rFonts w:ascii="Times New Roman" w:hAnsi="Times New Roman" w:eastAsia="宋体"/>
                <w:b w:val="0"/>
                <w:i w:val="0"/>
                <w:sz w:val="18"/>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0" w:after="0" w:line="240" w:lineRule="auto"/>
              <w:ind w:firstLine="0"/>
              <w:jc w:val="center"/>
            </w:pPr>
            <w:r>
              <w:rPr>
                <w:rFonts w:ascii="Times New Roman" w:hAnsi="Times New Roman" w:eastAsia="宋体"/>
                <w:b w:val="0"/>
                <w:i w:val="0"/>
                <w:sz w:val="18"/>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0" w:after="0" w:line="240" w:lineRule="auto"/>
              <w:ind w:firstLine="0"/>
              <w:jc w:val="center"/>
            </w:pPr>
            <w:r>
              <w:rPr>
                <w:rFonts w:ascii="Times New Roman" w:hAnsi="Times New Roman" w:eastAsia="宋体"/>
                <w:b w:val="0"/>
                <w:i w:val="0"/>
                <w:sz w:val="18"/>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0" w:after="0" w:line="240" w:lineRule="auto"/>
              <w:ind w:firstLine="0"/>
              <w:jc w:val="center"/>
            </w:pPr>
            <w:r>
              <w:rPr>
                <w:rFonts w:ascii="Times New Roman" w:hAnsi="Times New Roman" w:eastAsia="宋体"/>
                <w:b w:val="0"/>
                <w:i w:val="0"/>
                <w:sz w:val="18"/>
              </w:rPr>
              <w:t>0%</w:t>
            </w:r>
          </w:p>
        </w:tc>
      </w:tr>
    </w:tbl>
    <w:p w14:paraId="75D6DF7E">
      <w:pPr>
        <w:spacing w:before="20" w:after="6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sz w:val="21"/>
        </w:rPr>
        <w:t>我们从全样本 400 只基金里挑了 6 位经理（表 9）：①综合能力全样本第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60" w:after="20" w:line="312" w:lineRule="auto"/>
        <w:jc w:val="center"/>
      </w:pPr>
      <w:r>
        <w:rPr>
          <w:rFonts w:ascii="Times New Roman" w:hAnsi="Times New Roman" w:eastAsia="黑体"/>
          <w:b/>
          <w:sz w:val="21"/>
        </w:rPr>
        <w:t>表 9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0" w:after="0" w:line="240" w:lineRule="auto"/>
              <w:ind w:firstLine="0"/>
              <w:jc w:val="center"/>
            </w:pPr>
            <w:r>
              <w:rPr>
                <w:rFonts w:ascii="Times New Roman" w:hAnsi="Times New Roman" w:eastAsia="宋体"/>
                <w:b/>
                <w:i w:val="0"/>
                <w:sz w:val="18"/>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0" w:after="0" w:line="240" w:lineRule="auto"/>
              <w:ind w:firstLine="0"/>
              <w:jc w:val="center"/>
            </w:pPr>
            <w:r>
              <w:rPr>
                <w:rFonts w:ascii="Times New Roman" w:hAnsi="Times New Roman" w:eastAsia="宋体"/>
                <w:b/>
                <w:i w:val="0"/>
                <w:sz w:val="18"/>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0" w:after="0" w:line="240" w:lineRule="auto"/>
              <w:ind w:firstLine="0"/>
              <w:jc w:val="center"/>
            </w:pPr>
            <w:r>
              <w:rPr>
                <w:rFonts w:ascii="Times New Roman" w:hAnsi="Times New Roman" w:eastAsia="宋体"/>
                <w:b/>
                <w:i w:val="0"/>
                <w:sz w:val="18"/>
              </w:rPr>
              <w:t>规模</w:t>
            </w:r>
            <w:r>
              <w:rPr>
                <w:rFonts w:ascii="Times New Roman" w:hAnsi="Times New Roman" w:eastAsia="宋体"/>
                <w:b/>
                <w:i w:val="0"/>
                <w:sz w:val="18"/>
              </w:rPr>
              <w:br w:type="textWrapping"/>
            </w:r>
            <w:r>
              <w:rPr>
                <w:rFonts w:ascii="Times New Roman" w:hAnsi="Times New Roman" w:eastAsia="宋体"/>
                <w:b/>
                <w:i w:val="0"/>
                <w:sz w:val="18"/>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0" w:after="0" w:line="240" w:lineRule="auto"/>
              <w:ind w:firstLine="0"/>
              <w:jc w:val="center"/>
            </w:pPr>
            <w:r>
              <w:rPr>
                <w:rFonts w:ascii="Times New Roman" w:hAnsi="Times New Roman" w:eastAsia="宋体"/>
                <w:b/>
                <w:i w:val="0"/>
                <w:sz w:val="18"/>
              </w:rPr>
              <w:t>FF5</w:t>
            </w:r>
            <w:r>
              <w:rPr>
                <w:rFonts w:ascii="Times New Roman" w:hAnsi="Times New Roman" w:eastAsia="宋体"/>
                <w:b/>
                <w:i w:val="0"/>
                <w:sz w:val="18"/>
              </w:rPr>
              <w:br w:type="textWrapping"/>
            </w:r>
            <w:r>
              <w:rPr>
                <w:rFonts w:ascii="Times New Roman" w:hAnsi="Times New Roman" w:eastAsia="宋体"/>
                <w:b/>
                <w:i w:val="0"/>
                <w:sz w:val="18"/>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0" w:after="0" w:line="240" w:lineRule="auto"/>
              <w:ind w:firstLine="0"/>
              <w:jc w:val="center"/>
            </w:pPr>
            <w:r>
              <w:rPr>
                <w:rFonts w:ascii="Times New Roman" w:hAnsi="Times New Roman" w:eastAsia="宋体"/>
                <w:b/>
                <w:i w:val="0"/>
                <w:sz w:val="18"/>
              </w:rPr>
              <w:t>综合能力</w:t>
            </w:r>
            <w:r>
              <w:rPr>
                <w:rFonts w:ascii="Times New Roman" w:hAnsi="Times New Roman" w:eastAsia="宋体"/>
                <w:b/>
                <w:i w:val="0"/>
                <w:sz w:val="18"/>
              </w:rPr>
              <w:br w:type="textWrapping"/>
            </w:r>
            <w:r>
              <w:rPr>
                <w:rFonts w:ascii="Times New Roman" w:hAnsi="Times New Roman" w:eastAsia="宋体"/>
                <w:b/>
                <w:i w:val="0"/>
                <w:sz w:val="18"/>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0" w:after="0" w:line="240" w:lineRule="auto"/>
              <w:ind w:firstLine="0"/>
              <w:jc w:val="center"/>
            </w:pPr>
            <w:r>
              <w:rPr>
                <w:rFonts w:ascii="Times New Roman" w:hAnsi="Times New Roman" w:eastAsia="宋体"/>
                <w:b/>
                <w:i w:val="0"/>
                <w:sz w:val="18"/>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0" w:after="0" w:line="240" w:lineRule="auto"/>
              <w:ind w:firstLine="0"/>
              <w:jc w:val="left"/>
            </w:pPr>
            <w:r>
              <w:rPr>
                <w:rFonts w:ascii="Times New Roman" w:hAnsi="Times New Roman" w:eastAsia="宋体"/>
                <w:b w:val="0"/>
                <w:i w:val="0"/>
                <w:sz w:val="18"/>
              </w:rPr>
              <w:t>全能型</w:t>
            </w:r>
            <w:r>
              <w:rPr>
                <w:rFonts w:ascii="Times New Roman" w:hAnsi="Times New Roman" w:eastAsia="宋体"/>
                <w:b w:val="0"/>
                <w:i w:val="0"/>
                <w:sz w:val="18"/>
              </w:rPr>
              <w:br w:type="textWrapping"/>
            </w:r>
            <w:r>
              <w:rPr>
                <w:rFonts w:ascii="Times New Roman" w:hAnsi="Times New Roman" w:eastAsia="宋体"/>
                <w:b w:val="0"/>
                <w:i w:val="0"/>
                <w:sz w:val="18"/>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0" w:after="0" w:line="240" w:lineRule="auto"/>
              <w:ind w:firstLine="0"/>
              <w:jc w:val="left"/>
            </w:pPr>
            <w:r>
              <w:rPr>
                <w:rFonts w:ascii="Times New Roman" w:hAnsi="Times New Roman" w:eastAsia="宋体"/>
                <w:b w:val="0"/>
                <w:i w:val="0"/>
                <w:sz w:val="18"/>
              </w:rPr>
              <w:t>中航机遇领航混合发起A</w:t>
            </w:r>
            <w:r>
              <w:rPr>
                <w:rFonts w:ascii="Times New Roman" w:hAnsi="Times New Roman" w:eastAsia="宋体"/>
                <w:b w:val="0"/>
                <w:i w:val="0"/>
                <w:sz w:val="18"/>
              </w:rPr>
              <w:br w:type="textWrapping"/>
            </w:r>
            <w:r>
              <w:rPr>
                <w:rFonts w:ascii="Times New Roman" w:hAnsi="Times New Roman" w:eastAsia="宋体"/>
                <w:b w:val="0"/>
                <w:i w:val="0"/>
                <w:sz w:val="18"/>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0" w:after="0" w:line="240" w:lineRule="auto"/>
              <w:ind w:firstLine="0"/>
              <w:jc w:val="center"/>
            </w:pPr>
            <w:r>
              <w:rPr>
                <w:rFonts w:ascii="Times New Roman" w:hAnsi="Times New Roman" w:eastAsia="宋体"/>
                <w:b w:val="0"/>
                <w:i w:val="0"/>
                <w:sz w:val="18"/>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0" w:after="0" w:line="240" w:lineRule="auto"/>
              <w:ind w:firstLine="0"/>
              <w:jc w:val="center"/>
            </w:pPr>
            <w:r>
              <w:rPr>
                <w:rFonts w:ascii="Times New Roman" w:hAnsi="Times New Roman" w:eastAsia="宋体"/>
                <w:b w:val="0"/>
                <w:i w:val="0"/>
                <w:sz w:val="18"/>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0" w:after="0" w:line="240" w:lineRule="auto"/>
              <w:ind w:firstLine="0"/>
              <w:jc w:val="center"/>
            </w:pPr>
            <w:r>
              <w:rPr>
                <w:rFonts w:ascii="Times New Roman" w:hAnsi="Times New Roman" w:eastAsia="宋体"/>
                <w:b w:val="0"/>
                <w:i w:val="0"/>
                <w:sz w:val="18"/>
              </w:rPr>
              <w:t>+1.56</w:t>
            </w:r>
            <w:r>
              <w:rPr>
                <w:rFonts w:ascii="Times New Roman" w:hAnsi="Times New Roman" w:eastAsia="宋体"/>
                <w:b w:val="0"/>
                <w:i w:val="0"/>
                <w:sz w:val="18"/>
              </w:rPr>
              <w:br w:type="textWrapping"/>
            </w:r>
            <w:r>
              <w:rPr>
                <w:rFonts w:ascii="Times New Roman" w:hAnsi="Times New Roman" w:eastAsia="宋体"/>
                <w:b w:val="0"/>
                <w:i w:val="0"/>
                <w:sz w:val="18"/>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0" w:after="0" w:line="240" w:lineRule="auto"/>
              <w:ind w:firstLine="0"/>
              <w:jc w:val="left"/>
            </w:pPr>
            <w:r>
              <w:rPr>
                <w:rFonts w:ascii="Times New Roman" w:hAnsi="Times New Roman" w:eastAsia="宋体"/>
                <w:b w:val="0"/>
                <w:i w:val="0"/>
                <w:sz w:val="18"/>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0" w:after="0" w:line="240" w:lineRule="auto"/>
              <w:ind w:firstLine="0"/>
              <w:jc w:val="left"/>
            </w:pPr>
            <w:r>
              <w:rPr>
                <w:rFonts w:ascii="Times New Roman" w:hAnsi="Times New Roman" w:eastAsia="宋体"/>
                <w:b w:val="0"/>
                <w:i w:val="0"/>
                <w:sz w:val="18"/>
              </w:rPr>
              <w:t>风险定价型</w:t>
            </w:r>
            <w:r>
              <w:rPr>
                <w:rFonts w:ascii="Times New Roman" w:hAnsi="Times New Roman" w:eastAsia="宋体"/>
                <w:b w:val="0"/>
                <w:i w:val="0"/>
                <w:sz w:val="18"/>
              </w:rPr>
              <w:br w:type="textWrapping"/>
            </w:r>
            <w:r>
              <w:rPr>
                <w:rFonts w:ascii="Times New Roman" w:hAnsi="Times New Roman" w:eastAsia="宋体"/>
                <w:b w:val="0"/>
                <w:i w:val="0"/>
                <w:sz w:val="18"/>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0" w:after="0" w:line="240" w:lineRule="auto"/>
              <w:ind w:firstLine="0"/>
              <w:jc w:val="left"/>
            </w:pPr>
            <w:r>
              <w:rPr>
                <w:rFonts w:ascii="Times New Roman" w:hAnsi="Times New Roman" w:eastAsia="宋体"/>
                <w:b w:val="0"/>
                <w:i w:val="0"/>
                <w:sz w:val="18"/>
              </w:rPr>
              <w:t>易方达信息产业混合C</w:t>
            </w:r>
            <w:r>
              <w:rPr>
                <w:rFonts w:ascii="Times New Roman" w:hAnsi="Times New Roman" w:eastAsia="宋体"/>
                <w:b w:val="0"/>
                <w:i w:val="0"/>
                <w:sz w:val="18"/>
              </w:rPr>
              <w:br w:type="textWrapping"/>
            </w:r>
            <w:r>
              <w:rPr>
                <w:rFonts w:ascii="Times New Roman" w:hAnsi="Times New Roman" w:eastAsia="宋体"/>
                <w:b w:val="0"/>
                <w:i w:val="0"/>
                <w:sz w:val="18"/>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0" w:after="0" w:line="240" w:lineRule="auto"/>
              <w:ind w:firstLine="0"/>
              <w:jc w:val="center"/>
            </w:pPr>
            <w:r>
              <w:rPr>
                <w:rFonts w:ascii="Times New Roman" w:hAnsi="Times New Roman" w:eastAsia="宋体"/>
                <w:b w:val="0"/>
                <w:i w:val="0"/>
                <w:sz w:val="18"/>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0" w:after="0" w:line="240" w:lineRule="auto"/>
              <w:ind w:firstLine="0"/>
              <w:jc w:val="center"/>
            </w:pPr>
            <w:r>
              <w:rPr>
                <w:rFonts w:ascii="Times New Roman" w:hAnsi="Times New Roman" w:eastAsia="宋体"/>
                <w:b w:val="0"/>
                <w:i w:val="0"/>
                <w:sz w:val="18"/>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0" w:after="0" w:line="240" w:lineRule="auto"/>
              <w:ind w:firstLine="0"/>
              <w:jc w:val="center"/>
            </w:pPr>
            <w:r>
              <w:rPr>
                <w:rFonts w:ascii="Times New Roman" w:hAnsi="Times New Roman" w:eastAsia="宋体"/>
                <w:b w:val="0"/>
                <w:i w:val="0"/>
                <w:sz w:val="18"/>
              </w:rPr>
              <w:t>+1.30</w:t>
            </w:r>
            <w:r>
              <w:rPr>
                <w:rFonts w:ascii="Times New Roman" w:hAnsi="Times New Roman" w:eastAsia="宋体"/>
                <w:b w:val="0"/>
                <w:i w:val="0"/>
                <w:sz w:val="18"/>
              </w:rPr>
              <w:br w:type="textWrapping"/>
            </w:r>
            <w:r>
              <w:rPr>
                <w:rFonts w:ascii="Times New Roman" w:hAnsi="Times New Roman" w:eastAsia="宋体"/>
                <w:b w:val="0"/>
                <w:i w:val="0"/>
                <w:sz w:val="18"/>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0" w:after="0" w:line="240" w:lineRule="auto"/>
              <w:ind w:firstLine="0"/>
              <w:jc w:val="left"/>
            </w:pPr>
            <w:r>
              <w:rPr>
                <w:rFonts w:ascii="Times New Roman" w:hAnsi="Times New Roman" w:eastAsia="宋体"/>
                <w:b w:val="0"/>
                <w:i w:val="0"/>
                <w:sz w:val="18"/>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0" w:after="0" w:line="240" w:lineRule="auto"/>
              <w:ind w:firstLine="0"/>
              <w:jc w:val="left"/>
            </w:pPr>
            <w:r>
              <w:rPr>
                <w:rFonts w:ascii="Times New Roman" w:hAnsi="Times New Roman" w:eastAsia="宋体"/>
                <w:b w:val="0"/>
                <w:i w:val="0"/>
                <w:sz w:val="18"/>
              </w:rPr>
              <w:t>认知纪律型</w:t>
            </w:r>
            <w:r>
              <w:rPr>
                <w:rFonts w:ascii="Times New Roman" w:hAnsi="Times New Roman" w:eastAsia="宋体"/>
                <w:b w:val="0"/>
                <w:i w:val="0"/>
                <w:sz w:val="18"/>
              </w:rPr>
              <w:br w:type="textWrapping"/>
            </w:r>
            <w:r>
              <w:rPr>
                <w:rFonts w:ascii="Times New Roman" w:hAnsi="Times New Roman" w:eastAsia="宋体"/>
                <w:b w:val="0"/>
                <w:i w:val="0"/>
                <w:sz w:val="18"/>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0" w:after="0" w:line="240" w:lineRule="auto"/>
              <w:ind w:firstLine="0"/>
              <w:jc w:val="left"/>
            </w:pPr>
            <w:r>
              <w:rPr>
                <w:rFonts w:ascii="Times New Roman" w:hAnsi="Times New Roman" w:eastAsia="宋体"/>
                <w:b w:val="0"/>
                <w:i w:val="0"/>
                <w:sz w:val="18"/>
              </w:rPr>
              <w:t>东方惠新灵活配置混合C</w:t>
            </w:r>
            <w:r>
              <w:rPr>
                <w:rFonts w:ascii="Times New Roman" w:hAnsi="Times New Roman" w:eastAsia="宋体"/>
                <w:b w:val="0"/>
                <w:i w:val="0"/>
                <w:sz w:val="18"/>
              </w:rPr>
              <w:br w:type="textWrapping"/>
            </w:r>
            <w:r>
              <w:rPr>
                <w:rFonts w:ascii="Times New Roman" w:hAnsi="Times New Roman" w:eastAsia="宋体"/>
                <w:b w:val="0"/>
                <w:i w:val="0"/>
                <w:sz w:val="18"/>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0" w:after="0" w:line="240" w:lineRule="auto"/>
              <w:ind w:firstLine="0"/>
              <w:jc w:val="center"/>
            </w:pPr>
            <w:r>
              <w:rPr>
                <w:rFonts w:ascii="Times New Roman" w:hAnsi="Times New Roman" w:eastAsia="宋体"/>
                <w:b w:val="0"/>
                <w:i w:val="0"/>
                <w:sz w:val="18"/>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0" w:after="0" w:line="240" w:lineRule="auto"/>
              <w:ind w:firstLine="0"/>
              <w:jc w:val="center"/>
            </w:pPr>
            <w:r>
              <w:rPr>
                <w:rFonts w:ascii="Times New Roman" w:hAnsi="Times New Roman" w:eastAsia="宋体"/>
                <w:b w:val="0"/>
                <w:i w:val="0"/>
                <w:sz w:val="18"/>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0" w:after="0" w:line="240" w:lineRule="auto"/>
              <w:ind w:firstLine="0"/>
              <w:jc w:val="center"/>
            </w:pPr>
            <w:r>
              <w:rPr>
                <w:rFonts w:ascii="Times New Roman" w:hAnsi="Times New Roman" w:eastAsia="宋体"/>
                <w:b w:val="0"/>
                <w:i w:val="0"/>
                <w:sz w:val="18"/>
              </w:rPr>
              <w:t>-0.06</w:t>
            </w:r>
            <w:r>
              <w:rPr>
                <w:rFonts w:ascii="Times New Roman" w:hAnsi="Times New Roman" w:eastAsia="宋体"/>
                <w:b w:val="0"/>
                <w:i w:val="0"/>
                <w:sz w:val="18"/>
              </w:rPr>
              <w:br w:type="textWrapping"/>
            </w:r>
            <w:r>
              <w:rPr>
                <w:rFonts w:ascii="Times New Roman" w:hAnsi="Times New Roman" w:eastAsia="宋体"/>
                <w:b w:val="0"/>
                <w:i w:val="0"/>
                <w:sz w:val="18"/>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0" w:after="0" w:line="240" w:lineRule="auto"/>
              <w:ind w:firstLine="0"/>
              <w:jc w:val="left"/>
            </w:pPr>
            <w:r>
              <w:rPr>
                <w:rFonts w:ascii="Times New Roman" w:hAnsi="Times New Roman" w:eastAsia="宋体"/>
                <w:b w:val="0"/>
                <w:i w:val="0"/>
                <w:sz w:val="18"/>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0" w:after="0" w:line="240" w:lineRule="auto"/>
              <w:ind w:firstLine="0"/>
              <w:jc w:val="left"/>
            </w:pPr>
            <w:r>
              <w:rPr>
                <w:rFonts w:ascii="Times New Roman" w:hAnsi="Times New Roman" w:eastAsia="宋体"/>
                <w:b w:val="0"/>
                <w:i w:val="0"/>
                <w:sz w:val="18"/>
              </w:rPr>
              <w:t>攻守转换型</w:t>
            </w:r>
            <w:r>
              <w:rPr>
                <w:rFonts w:ascii="Times New Roman" w:hAnsi="Times New Roman" w:eastAsia="宋体"/>
                <w:b w:val="0"/>
                <w:i w:val="0"/>
                <w:sz w:val="18"/>
              </w:rPr>
              <w:br w:type="textWrapping"/>
            </w:r>
            <w:r>
              <w:rPr>
                <w:rFonts w:ascii="Times New Roman" w:hAnsi="Times New Roman" w:eastAsia="宋体"/>
                <w:b w:val="0"/>
                <w:i w:val="0"/>
                <w:sz w:val="18"/>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0" w:after="0" w:line="240" w:lineRule="auto"/>
              <w:ind w:firstLine="0"/>
              <w:jc w:val="left"/>
            </w:pPr>
            <w:r>
              <w:rPr>
                <w:rFonts w:ascii="Times New Roman" w:hAnsi="Times New Roman" w:eastAsia="宋体"/>
                <w:b w:val="0"/>
                <w:i w:val="0"/>
                <w:sz w:val="18"/>
              </w:rPr>
              <w:t>信澳业绩驱动混合C</w:t>
            </w:r>
            <w:r>
              <w:rPr>
                <w:rFonts w:ascii="Times New Roman" w:hAnsi="Times New Roman" w:eastAsia="宋体"/>
                <w:b w:val="0"/>
                <w:i w:val="0"/>
                <w:sz w:val="18"/>
              </w:rPr>
              <w:br w:type="textWrapping"/>
            </w:r>
            <w:r>
              <w:rPr>
                <w:rFonts w:ascii="Times New Roman" w:hAnsi="Times New Roman" w:eastAsia="宋体"/>
                <w:b w:val="0"/>
                <w:i w:val="0"/>
                <w:sz w:val="18"/>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0" w:after="0" w:line="240" w:lineRule="auto"/>
              <w:ind w:firstLine="0"/>
              <w:jc w:val="center"/>
            </w:pPr>
            <w:r>
              <w:rPr>
                <w:rFonts w:ascii="Times New Roman" w:hAnsi="Times New Roman" w:eastAsia="宋体"/>
                <w:b w:val="0"/>
                <w:i w:val="0"/>
                <w:sz w:val="18"/>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0" w:after="0" w:line="240" w:lineRule="auto"/>
              <w:ind w:firstLine="0"/>
              <w:jc w:val="center"/>
            </w:pPr>
            <w:r>
              <w:rPr>
                <w:rFonts w:ascii="Times New Roman" w:hAnsi="Times New Roman" w:eastAsia="宋体"/>
                <w:b w:val="0"/>
                <w:i w:val="0"/>
                <w:sz w:val="18"/>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0" w:after="0" w:line="240" w:lineRule="auto"/>
              <w:ind w:firstLine="0"/>
              <w:jc w:val="center"/>
            </w:pPr>
            <w:r>
              <w:rPr>
                <w:rFonts w:ascii="Times New Roman" w:hAnsi="Times New Roman" w:eastAsia="宋体"/>
                <w:b w:val="0"/>
                <w:i w:val="0"/>
                <w:sz w:val="18"/>
              </w:rPr>
              <w:t>+0.23</w:t>
            </w:r>
            <w:r>
              <w:rPr>
                <w:rFonts w:ascii="Times New Roman" w:hAnsi="Times New Roman" w:eastAsia="宋体"/>
                <w:b w:val="0"/>
                <w:i w:val="0"/>
                <w:sz w:val="18"/>
              </w:rPr>
              <w:br w:type="textWrapping"/>
            </w:r>
            <w:r>
              <w:rPr>
                <w:rFonts w:ascii="Times New Roman" w:hAnsi="Times New Roman" w:eastAsia="宋体"/>
                <w:b w:val="0"/>
                <w:i w:val="0"/>
                <w:sz w:val="18"/>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0" w:after="0" w:line="240" w:lineRule="auto"/>
              <w:ind w:firstLine="0"/>
              <w:jc w:val="left"/>
            </w:pPr>
            <w:r>
              <w:rPr>
                <w:rFonts w:ascii="Times New Roman" w:hAnsi="Times New Roman" w:eastAsia="宋体"/>
                <w:b w:val="0"/>
                <w:i w:val="0"/>
                <w:sz w:val="18"/>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0" w:after="0" w:line="240" w:lineRule="auto"/>
              <w:ind w:firstLine="0"/>
              <w:jc w:val="left"/>
            </w:pPr>
            <w:r>
              <w:rPr>
                <w:rFonts w:ascii="Times New Roman" w:hAnsi="Times New Roman" w:eastAsia="宋体"/>
                <w:b w:val="0"/>
                <w:i w:val="0"/>
                <w:sz w:val="18"/>
              </w:rPr>
              <w:t>基本面优势型</w:t>
            </w:r>
            <w:r>
              <w:rPr>
                <w:rFonts w:ascii="Times New Roman" w:hAnsi="Times New Roman" w:eastAsia="宋体"/>
                <w:b w:val="0"/>
                <w:i w:val="0"/>
                <w:sz w:val="18"/>
              </w:rPr>
              <w:br w:type="textWrapping"/>
            </w:r>
            <w:r>
              <w:rPr>
                <w:rFonts w:ascii="Times New Roman" w:hAnsi="Times New Roman" w:eastAsia="宋体"/>
                <w:b w:val="0"/>
                <w:i w:val="0"/>
                <w:sz w:val="18"/>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0" w:after="0" w:line="240" w:lineRule="auto"/>
              <w:ind w:firstLine="0"/>
              <w:jc w:val="left"/>
            </w:pPr>
            <w:r>
              <w:rPr>
                <w:rFonts w:ascii="Times New Roman" w:hAnsi="Times New Roman" w:eastAsia="宋体"/>
                <w:b w:val="0"/>
                <w:i w:val="0"/>
                <w:sz w:val="18"/>
              </w:rPr>
              <w:t>诺德兴新趋势混合A</w:t>
            </w:r>
            <w:r>
              <w:rPr>
                <w:rFonts w:ascii="Times New Roman" w:hAnsi="Times New Roman" w:eastAsia="宋体"/>
                <w:b w:val="0"/>
                <w:i w:val="0"/>
                <w:sz w:val="18"/>
              </w:rPr>
              <w:br w:type="textWrapping"/>
            </w:r>
            <w:r>
              <w:rPr>
                <w:rFonts w:ascii="Times New Roman" w:hAnsi="Times New Roman" w:eastAsia="宋体"/>
                <w:b w:val="0"/>
                <w:i w:val="0"/>
                <w:sz w:val="18"/>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0" w:after="0" w:line="240" w:lineRule="auto"/>
              <w:ind w:firstLine="0"/>
              <w:jc w:val="center"/>
            </w:pPr>
            <w:r>
              <w:rPr>
                <w:rFonts w:ascii="Times New Roman" w:hAnsi="Times New Roman" w:eastAsia="宋体"/>
                <w:b w:val="0"/>
                <w:i w:val="0"/>
                <w:sz w:val="18"/>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0" w:after="0" w:line="240" w:lineRule="auto"/>
              <w:ind w:firstLine="0"/>
              <w:jc w:val="center"/>
            </w:pPr>
            <w:r>
              <w:rPr>
                <w:rFonts w:ascii="Times New Roman" w:hAnsi="Times New Roman" w:eastAsia="宋体"/>
                <w:b w:val="0"/>
                <w:i w:val="0"/>
                <w:sz w:val="18"/>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0" w:after="0" w:line="240" w:lineRule="auto"/>
              <w:ind w:firstLine="0"/>
              <w:jc w:val="center"/>
            </w:pPr>
            <w:r>
              <w:rPr>
                <w:rFonts w:ascii="Times New Roman" w:hAnsi="Times New Roman" w:eastAsia="宋体"/>
                <w:b w:val="0"/>
                <w:i w:val="0"/>
                <w:sz w:val="18"/>
              </w:rPr>
              <w:t>-0.14</w:t>
            </w:r>
            <w:r>
              <w:rPr>
                <w:rFonts w:ascii="Times New Roman" w:hAnsi="Times New Roman" w:eastAsia="宋体"/>
                <w:b w:val="0"/>
                <w:i w:val="0"/>
                <w:sz w:val="18"/>
              </w:rPr>
              <w:br w:type="textWrapping"/>
            </w:r>
            <w:r>
              <w:rPr>
                <w:rFonts w:ascii="Times New Roman" w:hAnsi="Times New Roman" w:eastAsia="宋体"/>
                <w:b w:val="0"/>
                <w:i w:val="0"/>
                <w:sz w:val="18"/>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0" w:after="0" w:line="240" w:lineRule="auto"/>
              <w:ind w:firstLine="0"/>
              <w:jc w:val="left"/>
            </w:pPr>
            <w:r>
              <w:rPr>
                <w:rFonts w:ascii="Times New Roman" w:hAnsi="Times New Roman" w:eastAsia="宋体"/>
                <w:b w:val="0"/>
                <w:i w:val="0"/>
                <w:sz w:val="18"/>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0" w:after="0" w:line="240" w:lineRule="auto"/>
              <w:ind w:firstLine="0"/>
              <w:jc w:val="left"/>
            </w:pPr>
            <w:r>
              <w:rPr>
                <w:rFonts w:ascii="Times New Roman" w:hAnsi="Times New Roman" w:eastAsia="宋体"/>
                <w:b w:val="0"/>
                <w:i w:val="0"/>
                <w:sz w:val="18"/>
              </w:rPr>
              <w:t>反例</w:t>
            </w:r>
            <w:r>
              <w:rPr>
                <w:rFonts w:ascii="Times New Roman" w:hAnsi="Times New Roman" w:eastAsia="宋体"/>
                <w:b w:val="0"/>
                <w:i w:val="0"/>
                <w:sz w:val="18"/>
              </w:rPr>
              <w:br w:type="textWrapping"/>
            </w:r>
            <w:r>
              <w:rPr>
                <w:rFonts w:ascii="Times New Roman" w:hAnsi="Times New Roman" w:eastAsia="宋体"/>
                <w:b w:val="0"/>
                <w:i w:val="0"/>
                <w:sz w:val="18"/>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0" w:after="0" w:line="240" w:lineRule="auto"/>
              <w:ind w:firstLine="0"/>
              <w:jc w:val="left"/>
            </w:pPr>
            <w:r>
              <w:rPr>
                <w:rFonts w:ascii="Times New Roman" w:hAnsi="Times New Roman" w:eastAsia="宋体"/>
                <w:b w:val="0"/>
                <w:i w:val="0"/>
                <w:sz w:val="18"/>
              </w:rPr>
              <w:t>华安策略优选混合A</w:t>
            </w:r>
            <w:r>
              <w:rPr>
                <w:rFonts w:ascii="Times New Roman" w:hAnsi="Times New Roman" w:eastAsia="宋体"/>
                <w:b w:val="0"/>
                <w:i w:val="0"/>
                <w:sz w:val="18"/>
              </w:rPr>
              <w:br w:type="textWrapping"/>
            </w:r>
            <w:r>
              <w:rPr>
                <w:rFonts w:ascii="Times New Roman" w:hAnsi="Times New Roman" w:eastAsia="宋体"/>
                <w:b w:val="0"/>
                <w:i w:val="0"/>
                <w:sz w:val="18"/>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0" w:after="0" w:line="240" w:lineRule="auto"/>
              <w:ind w:firstLine="0"/>
              <w:jc w:val="center"/>
            </w:pPr>
            <w:r>
              <w:rPr>
                <w:rFonts w:ascii="Times New Roman" w:hAnsi="Times New Roman" w:eastAsia="宋体"/>
                <w:b w:val="0"/>
                <w:i w:val="0"/>
                <w:sz w:val="18"/>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0" w:after="0" w:line="240" w:lineRule="auto"/>
              <w:ind w:firstLine="0"/>
              <w:jc w:val="center"/>
            </w:pPr>
            <w:r>
              <w:rPr>
                <w:rFonts w:ascii="Times New Roman" w:hAnsi="Times New Roman" w:eastAsia="宋体"/>
                <w:b w:val="0"/>
                <w:i w:val="0"/>
                <w:sz w:val="18"/>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0" w:after="0" w:line="240" w:lineRule="auto"/>
              <w:ind w:firstLine="0"/>
              <w:jc w:val="center"/>
            </w:pPr>
            <w:r>
              <w:rPr>
                <w:rFonts w:ascii="Times New Roman" w:hAnsi="Times New Roman" w:eastAsia="宋体"/>
                <w:b w:val="0"/>
                <w:i w:val="0"/>
                <w:sz w:val="18"/>
              </w:rPr>
              <w:t>-0.91</w:t>
            </w:r>
            <w:r>
              <w:rPr>
                <w:rFonts w:ascii="Times New Roman" w:hAnsi="Times New Roman" w:eastAsia="宋体"/>
                <w:b w:val="0"/>
                <w:i w:val="0"/>
                <w:sz w:val="18"/>
              </w:rPr>
              <w:br w:type="textWrapping"/>
            </w:r>
            <w:r>
              <w:rPr>
                <w:rFonts w:ascii="Times New Roman" w:hAnsi="Times New Roman" w:eastAsia="宋体"/>
                <w:b w:val="0"/>
                <w:i w:val="0"/>
                <w:sz w:val="18"/>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0" w:after="0" w:line="240" w:lineRule="auto"/>
              <w:ind w:firstLine="0"/>
              <w:jc w:val="left"/>
            </w:pPr>
            <w:r>
              <w:rPr>
                <w:rFonts w:ascii="Times New Roman" w:hAnsi="Times New Roman" w:eastAsia="宋体"/>
                <w:b w:val="0"/>
                <w:i w:val="0"/>
                <w:sz w:val="18"/>
              </w:rPr>
              <w:t>基本面 1% ／ 认知 79% ／ 配置 3% ／ 应对 10% ／ 转化 20% ／ 交易 12%</w:t>
            </w:r>
          </w:p>
        </w:tc>
      </w:tr>
    </w:tbl>
    <w:p w14:paraId="3ABE06E5">
      <w:pPr>
        <w:spacing w:before="20" w:after="6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rPr>
          <w:rFonts w:ascii="Times New Roman" w:hAnsi="Times New Roman" w:eastAsia="宋体"/>
          <w:b w:val="0"/>
          <w:sz w:val="21"/>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 9 与图 3）。行为优势是多维协同而非单兵突进。</w:t>
      </w:r>
    </w:p>
    <w:p w14:paraId="77E34720">
      <w:pPr>
        <w:spacing w:before="120" w:after="40"/>
        <w:jc w:val="center"/>
      </w:pPr>
      <w:r>
        <w:drawing>
          <wp:inline distT="0" distB="0" distL="114300" distR="114300">
            <wp:extent cx="5303520" cy="4670263"/>
            <wp:effectExtent l="0" t="0" r="1143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t="1698" b="6254"/>
                    <a:stretch>
                      <a:fillRect/>
                    </a:stretch>
                  </pic:blipFill>
                  <pic:spPr>
                    <a:xfrm>
                      <a:off x="0" y="0"/>
                      <a:ext cx="5303520" cy="4670263"/>
                    </a:xfrm>
                    <a:prstGeom prst="rect">
                      <a:avLst/>
                    </a:prstGeom>
                  </pic:spPr>
                </pic:pic>
              </a:graphicData>
            </a:graphic>
          </wp:inline>
        </w:drawing>
      </w:r>
    </w:p>
    <w:p w14:paraId="094F6260">
      <w:pPr>
        <w:keepNext/>
        <w:spacing w:before="60" w:after="2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rPr>
          <w:rFonts w:ascii="Times New Roman" w:hAnsi="Times New Roman" w:eastAsia="黑体"/>
          <w:b/>
          <w:sz w:val="24"/>
        </w:rPr>
        <w:t>（三）时序样本外预测与极端行情稳健性</w:t>
      </w:r>
    </w:p>
    <w:p w14:paraId="2B248E3B">
      <w:pPr>
        <w:spacing w:after="80" w:line="324" w:lineRule="auto"/>
        <w:ind w:firstLine="480"/>
      </w:pPr>
      <w:r>
        <w:rPr>
          <w:rFonts w:ascii="Times New Roman" w:hAnsi="Times New Roman" w:eastAsia="宋体"/>
          <w:b w:val="0"/>
          <w:sz w:val="21"/>
        </w:rPr>
        <w:t>为彻底排除横截面过拟合与数据窥视风险，本文进一步设计了严格的时序样本外盲测检验：以 2006 年三季度至 2024 年四季度（共 74 个季度，326 只合格基金）作为样本内训练集进行指标缩尾、标准化与能力打分；将 2025 年一季度至 2026 年二季度（共 6 个季度）完全隔离作为样本外盲测检验期，冻结样本内估计的五因子载荷计算异常超额收益（Abnormal Alpha）。盲测呈现出三项核心发现：第一，五分组表现严格单调递增，依据样本内得分五等分，样本外异常 Alpha 自 Q1 的 7.76% 逐级攀升至 Q5 的 19.94%，组间差达 +12.17 个百分点／季（t=+9.13***，p&lt;0.0001），原始季度收益亦自 16.60% 升至 27.05%（差值 +10.45 个百分点，t=+8.57***）；第二，纯行为维度的穿透力跨越周期，综合能力对未来异常 Alpha 预测回归显著为正（β=+0.1228，t=+9.21***，R²=17.64%），且基本面优势（t=+11.59***）、交易执行（t=+9.86***）与风险应对（t=+8.44***）在市场快速拉升阶段进攻穿透力最强；第三，风险转化比率在样本外预测回归中系数显著为负（β=−0.0317，t=−5.85***），证实比率类指标存在与同期业绩同源的机械成分，脱离同期拟合后预测力衰减。此外，针对 2026 年二季度股票市场快速大幅拉升行情的敏感性分析表明，隔离该极端季度后，全部核心行为指标在单变量与联立模型中的符号与显著性保持完全一致，报表外调仓（ARG）与风险不对称（risk_asym）的解释力度进一步强化，印证了行为画像体系跨越牛熊周期的实证稳健性。</w:t>
      </w:r>
    </w:p>
    <w:p w14:paraId="3BCBF311">
      <w:pPr>
        <w:keepNext/>
        <w:spacing w:before="220" w:after="100" w:line="324" w:lineRule="auto"/>
      </w:pPr>
      <w:r>
        <w:rPr>
          <w:rFonts w:ascii="Times New Roman" w:hAnsi="Times New Roman" w:eastAsia="黑体"/>
          <w:b/>
          <w:i w:val="0"/>
          <w:sz w:val="28"/>
        </w:rPr>
        <w:t>四、结论与启示</w:t>
      </w:r>
    </w:p>
    <w:p w14:paraId="323D61F8">
      <w:pPr>
        <w:spacing w:after="120" w:line="360" w:lineRule="auto"/>
        <w:ind w:firstLine="480"/>
        <w:rPr>
          <w:lang w:eastAsia="zh-CN"/>
        </w:rPr>
      </w:pPr>
      <w:r>
        <w:rPr>
          <w:rFonts w:ascii="Times New Roman" w:hAnsi="Times New Roman" w:eastAsia="宋体"/>
          <w:sz w:val="24"/>
          <w:lang w:eastAsia="zh-CN"/>
        </w:rPr>
        <w:t>第一，行为优势是全链条的。风格底色、认知偏差与风险应对三层行为需协同作用，才能在业绩中体现为持续的超额收益；任何单一维度的极端表现均无法独立解释业绩分化。这提示管理人评价应避免"单指标崇拜"，宜采用多维度复合视角。</w:t>
      </w:r>
    </w:p>
    <w:p w14:paraId="77E433E5">
      <w:pPr>
        <w:spacing w:after="120" w:line="360" w:lineRule="auto"/>
        <w:ind w:firstLine="480"/>
        <w:rPr>
          <w:lang w:eastAsia="zh-CN"/>
        </w:rPr>
      </w:pPr>
      <w:r>
        <w:rPr>
          <w:rFonts w:ascii="Times New Roman" w:hAnsi="Times New Roman" w:eastAsia="宋体"/>
          <w:b w:val="0"/>
          <w:sz w:val="21"/>
        </w:rPr>
        <w:t>第二，风险应对层是行为转化为业绩的关键枢纽。过程应对在群体画像中差距最大（Top−Bottom=1.19，t=5.16），转化效率在联立回归中系数最大（β=0.0128，t=5.28***），下行保护的单指标区分度最高（t=5.19***）。这意味着在市场下行阶段能够主动收缩风险暴露、并将所承担风险高效转化为收益的经理，更可能获得持续超额收益——“防守能力”应作为投资经理评价与风险监控的重要观察维度。</w:t>
      </w:r>
    </w:p>
    <w:p w14:paraId="08A7C481">
      <w:pPr>
        <w:spacing w:after="120" w:line="360" w:lineRule="auto"/>
        <w:ind w:firstLine="480"/>
        <w:rPr>
          <w:lang w:eastAsia="zh-CN"/>
        </w:rPr>
      </w:pPr>
      <w:r>
        <w:rPr>
          <w:rFonts w:ascii="Times New Roman" w:hAnsi="Times New Roman" w:eastAsia="宋体"/>
          <w:b w:val="0"/>
          <w:sz w:val="21"/>
        </w:rPr>
        <w:t>第三，基本面特征是特征条件而非能力。任职年限、基金年龄与规模在单变量检验中显著，但同期进入联立模型后不显著（t=-0.77），样本外检验转为显著为正（t=+11.59***）——年轻、小规模基金预示后期更高的 alpha，其信息已被行为维度吸收。该结论提示，规模与任职期限宜作为投资经理筛选的约束条件而非核心标准。</w:t>
      </w:r>
    </w:p>
    <w:p w14:paraId="2998957B">
      <w:pPr>
        <w:spacing w:after="120" w:line="360" w:lineRule="auto"/>
        <w:ind w:firstLine="480"/>
        <w:rPr>
          <w:rFonts w:eastAsia="宋体"/>
          <w:lang w:eastAsia="zh-CN"/>
        </w:rPr>
      </w:pPr>
      <w:r>
        <w:rPr>
          <w:rFonts w:ascii="Times New Roman" w:hAnsi="Times New Roman" w:eastAsia="宋体"/>
          <w:b w:val="0"/>
          <w:sz w:val="21"/>
        </w:rPr>
        <w:t>第四，行为复合得分具有筛选与自检价值。按综合能力五等分，FF5 alpha 自 Q1 的 0.51% 严格单调升至 Q5 的 3.85%（Q5−Q1=3.34 个百分点，t=11.24）；剔除与因变量同源的转化效率维度后，纯行为三维分组差仍显著（2.60 个百分点，t=+8.43）。基于行为画像的能力得分，可用于投资经理行为自检与投研团队的梯队建设。</w:t>
      </w:r>
    </w:p>
    <w:p w14:paraId="68911E00">
      <w:pPr>
        <w:spacing w:before="280" w:after="80"/>
      </w:pPr>
      <w:bookmarkStart w:id="0" w:name="_GoBack"/>
      <w:bookmarkEnd w:id="0"/>
      <w:r>
        <w:rPr>
          <w:rFonts w:ascii="Times New Roman" w:hAnsi="Times New Roman" w:eastAsia="黑体"/>
          <w:b/>
          <w:i w:val="0"/>
          <w:sz w:val="21"/>
        </w:rPr>
        <w:t>方法附注</w:t>
      </w:r>
    </w:p>
    <w:p w14:paraId="2B64D156">
      <w:pPr>
        <w:spacing w:after="80" w:line="324" w:lineRule="auto"/>
        <w:ind w:firstLine="480"/>
        <w:rPr>
          <w:rFonts w:hint="eastAsia" w:eastAsia="宋体"/>
          <w:lang w:eastAsia="zh-CN"/>
        </w:rPr>
      </w:pPr>
      <w:r>
        <w:rPr>
          <w:rFonts w:ascii="Times New Roman" w:hAnsi="Times New Roman" w:eastAsia="宋体"/>
          <w:b w:val="0"/>
          <w:i w:val="0"/>
          <w:sz w:val="24"/>
        </w:rPr>
        <w:t>指标均经 1%/99% 缩尾、z 标准化并按理论定向取号，维度内成分与六维度间均等权复合；基准因变量为 FF5 五因子模型超额收益（alpha）</w:t>
      </w:r>
      <w:r>
        <w:rPr>
          <w:rFonts w:hint="eastAsia"/>
          <w:b w:val="0"/>
          <w:i w:val="0"/>
          <w:sz w:val="24"/>
          <w:lang w:eastAsia="zh-CN"/>
        </w:rPr>
        <w:t>。</w:t>
      </w:r>
    </w:p>
    <w:p w14:paraId="1A3B9682">
      <w:pPr>
        <w:keepNext/>
        <w:spacing w:before="160" w:after="80" w:line="324" w:lineRule="auto"/>
      </w:pPr>
      <w:r>
        <w:rPr>
          <w:rFonts w:ascii="Times New Roman" w:hAnsi="Times New Roman" w:eastAsia="黑体"/>
          <w:b/>
          <w:i w:val="0"/>
          <w:sz w:val="28"/>
        </w:rPr>
        <w:t>参考文献</w:t>
      </w:r>
    </w:p>
    <w:p w14:paraId="3B541E0B">
      <w:pPr>
        <w:spacing w:before="0" w:after="40" w:line="240"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40"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40"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40"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40"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40"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40"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40"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40"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40"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40"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40"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40"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40"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40"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40"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40"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40"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40"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40"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40"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40"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40"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40"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40"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40"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40"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40"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40"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40"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40"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40"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40" w:lineRule="auto"/>
        <w:ind w:left="360" w:hanging="360"/>
      </w:pPr>
      <w:r>
        <w:rPr>
          <w:sz w:val="18"/>
        </w:rPr>
        <w:t>[33]  李志冰, 杨光艺, 冯永昌, 等. Fama-French五因子模型在中国股票市场的实证检验[J]. 金融研究, 2017(6): 191-206.</w:t>
      </w:r>
    </w:p>
    <w:p>
      <w:pPr>
        <w:spacing w:before="400" w:after="160"/>
      </w:pPr>
      <w:r>
        <w:rPr>
          <w:rFonts w:ascii="Times New Roman" w:hAnsi="Times New Roman" w:eastAsia="黑体"/>
          <w:b/>
          <w:sz w:val="28"/>
        </w:rPr>
        <w:t>附录：实证补充表格</w:t>
      </w:r>
    </w:p>
    <w:p>
      <w:pPr>
        <w:spacing w:before="200" w:after="80"/>
        <w:jc w:val="center"/>
      </w:pPr>
      <w:r>
        <w:rPr>
          <w:rFonts w:ascii="Times New Roman" w:hAnsi="Times New Roman" w:eastAsia="黑体"/>
          <w:b/>
          <w:sz w:val="21"/>
        </w:rPr>
        <w:t>附表 1  因变量口径对照：三种超额收益度量下的单变量回归</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single" w:sz="12" w:space="0" w:color="000000"/>
              <w:bottom w:val="single" w:sz="4" w:space="0" w:color="000000"/>
              <w:left w:val="none"/>
              <w:right w:val="none"/>
            </w:tcBorders>
          </w:tcPr>
          <w:p>
            <w:pPr>
              <w:spacing w:before="40" w:after="40" w:line="252" w:lineRule="auto"/>
              <w:jc w:val="left"/>
            </w:pPr>
            <w:r>
              <w:rPr>
                <w:rFonts w:ascii="Times New Roman" w:hAnsi="Times New Roman" w:eastAsia="宋体"/>
                <w:b/>
                <w:sz w:val="17"/>
              </w:rPr>
              <w:t>指标</w:t>
            </w:r>
          </w:p>
        </w:tc>
        <w:tc>
          <w:tcPr>
            <w:tcW w:type="dxa" w:w="2409"/>
            <w:tcBorders>
              <w:top w:val="single" w:sz="12" w:space="0" w:color="000000"/>
              <w:bottom w:val="single" w:sz="4" w:space="0" w:color="000000"/>
              <w:left w:val="none"/>
              <w:right w:val="none"/>
            </w:tcBorders>
          </w:tcPr>
          <w:p>
            <w:pPr>
              <w:spacing w:before="40" w:after="40" w:line="252" w:lineRule="auto"/>
              <w:jc w:val="center"/>
            </w:pPr>
            <w:r>
              <w:rPr>
                <w:rFonts w:ascii="Times New Roman" w:hAnsi="Times New Roman" w:eastAsia="宋体"/>
                <w:b/>
                <w:sz w:val="17"/>
              </w:rPr>
              <w:t>超额收益（减rf）</w:t>
            </w:r>
          </w:p>
        </w:tc>
        <w:tc>
          <w:tcPr>
            <w:tcW w:type="dxa" w:w="2409"/>
            <w:tcBorders>
              <w:top w:val="single" w:sz="12" w:space="0" w:color="000000"/>
              <w:bottom w:val="single" w:sz="4" w:space="0" w:color="000000"/>
              <w:left w:val="none"/>
              <w:right w:val="none"/>
            </w:tcBorders>
          </w:tcPr>
          <w:p>
            <w:pPr>
              <w:spacing w:before="40" w:after="40" w:line="252" w:lineRule="auto"/>
              <w:jc w:val="center"/>
            </w:pPr>
            <w:r>
              <w:rPr>
                <w:rFonts w:ascii="Times New Roman" w:hAnsi="Times New Roman" w:eastAsia="宋体"/>
                <w:b/>
                <w:sz w:val="17"/>
              </w:rPr>
              <w:t>FF3 alpha</w:t>
            </w:r>
          </w:p>
        </w:tc>
        <w:tc>
          <w:tcPr>
            <w:tcW w:type="dxa" w:w="2409"/>
            <w:tcBorders>
              <w:top w:val="single" w:sz="12" w:space="0" w:color="000000"/>
              <w:bottom w:val="single" w:sz="4" w:space="0" w:color="000000"/>
              <w:left w:val="none"/>
              <w:right w:val="none"/>
            </w:tcBorders>
          </w:tcPr>
          <w:p>
            <w:pPr>
              <w:spacing w:before="40" w:after="40" w:line="252" w:lineRule="auto"/>
              <w:jc w:val="center"/>
            </w:pPr>
            <w:r>
              <w:rPr>
                <w:rFonts w:ascii="Times New Roman" w:hAnsi="Times New Roman" w:eastAsia="宋体"/>
                <w:b/>
                <w:sz w:val="17"/>
              </w:rPr>
              <w:t>FF5 alpha</w:t>
            </w:r>
          </w:p>
        </w:tc>
      </w:tr>
      <w:tr>
        <w:tc>
          <w:tcPr>
            <w:tcW w:type="dxa" w:w="2409"/>
            <w:tcBorders>
              <w:top w:val="single" w:sz="4" w:space="0" w:color="000000"/>
              <w:bottom w:val="none"/>
              <w:left w:val="none"/>
              <w:right w:val="none"/>
            </w:tcBorders>
          </w:tcPr>
          <w:p>
            <w:pPr>
              <w:spacing w:before="40" w:after="40" w:line="252" w:lineRule="auto"/>
              <w:jc w:val="left"/>
            </w:pPr>
            <w:r>
              <w:rPr>
                <w:rFonts w:ascii="Times New Roman" w:hAnsi="Times New Roman" w:eastAsia="宋体"/>
                <w:b w:val="0"/>
                <w:sz w:val="17"/>
              </w:rPr>
              <w:t>任职年限</w:t>
            </w:r>
          </w:p>
        </w:tc>
        <w:tc>
          <w:tcPr>
            <w:tcW w:type="dxa" w:w="2409"/>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7"/>
              </w:rPr>
              <w:t>-7.2***</w:t>
            </w:r>
          </w:p>
        </w:tc>
        <w:tc>
          <w:tcPr>
            <w:tcW w:type="dxa" w:w="2409"/>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7"/>
              </w:rPr>
              <w:t>-3.3***</w:t>
            </w:r>
          </w:p>
        </w:tc>
        <w:tc>
          <w:tcPr>
            <w:tcW w:type="dxa" w:w="2409"/>
            <w:tcBorders>
              <w:top w:val="single" w:sz="4" w:space="0" w:color="000000"/>
              <w:bottom w:val="none"/>
              <w:left w:val="none"/>
              <w:right w:val="none"/>
            </w:tcBorders>
          </w:tcPr>
          <w:p>
            <w:pPr>
              <w:spacing w:before="40" w:after="40" w:line="252" w:lineRule="auto"/>
              <w:jc w:val="center"/>
            </w:pPr>
            <w:r>
              <w:rPr>
                <w:rFonts w:ascii="Times New Roman" w:hAnsi="Times New Roman" w:eastAsia="宋体"/>
                <w:b w:val="0"/>
                <w:sz w:val="17"/>
              </w:rPr>
              <w:t>-1.8*</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基金年龄</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-13.0***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-5.8***</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-4.2***</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基金规模</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-2.3**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-1.1</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性别（男=1）</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+1.2</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CFA 持证</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-6.7***</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硕士及以上</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+7.1***</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+0.9</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名校毕业</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+0.8</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风险偏好不对称性</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+12.7***</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+4.0***</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处置效应</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-4.4***</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过度自信（换手×过度交易）</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+1.4</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-3.8***</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追涨杀跌</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-2.1**</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-3.4***</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-1.6</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锚定效应</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+5.7***</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+3.1***</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行业集中度</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+10.9***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+5.8***</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行业风格漂移指数</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-9.2***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-4.9***</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-4.4***</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改进主动份额</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+2.7***</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-0.3</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调仓幅度</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+14.6***</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+5.0***</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下行保护系数（−HM γ）</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+1.6*</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+1.6</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+4.9***</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收益波动率</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+18.0***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+4.4***</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风险稳定性</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-13.8***</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-12.2***</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-6.0***</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Sharpe比率</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+6.1***</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+6.7***</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Sortino比率</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+10.3***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+6.0***</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操纵稳健业绩测度MPPM</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+11.7***</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+12.3***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+9.5***</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策略偏离指数</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-9.4***</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-3.5***</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-4.7***</w:t>
            </w:r>
          </w:p>
        </w:tc>
      </w:tr>
      <w:tr>
        <w:tc>
          <w:tcPr>
            <w:tcW w:type="dxa" w:w="2409"/>
            <w:tcBorders>
              <w:top w:val="none"/>
              <w:bottom w:val="none"/>
              <w:left w:val="none"/>
              <w:right w:val="none"/>
            </w:tcBorders>
          </w:tcPr>
          <w:p>
            <w:pPr>
              <w:spacing w:before="40" w:after="40" w:line="252" w:lineRule="auto"/>
              <w:jc w:val="left"/>
            </w:pPr>
            <w:r>
              <w:rPr>
                <w:rFonts w:ascii="Times New Roman" w:hAnsi="Times New Roman" w:eastAsia="宋体"/>
                <w:b w:val="0"/>
                <w:sz w:val="17"/>
              </w:rPr>
              <w:t>交易趋同度LSV</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+7.0***</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+4.3***</w:t>
            </w:r>
          </w:p>
        </w:tc>
        <w:tc>
          <w:tcPr>
            <w:tcW w:type="dxa" w:w="2409"/>
            <w:tcBorders>
              <w:top w:val="none"/>
              <w:bottom w:val="none"/>
              <w:left w:val="none"/>
              <w:right w:val="none"/>
            </w:tcBorders>
          </w:tcPr>
          <w:p>
            <w:pPr>
              <w:spacing w:before="40" w:after="40" w:line="252" w:lineRule="auto"/>
              <w:jc w:val="center"/>
            </w:pPr>
            <w:r>
              <w:rPr>
                <w:rFonts w:ascii="Times New Roman" w:hAnsi="Times New Roman" w:eastAsia="宋体"/>
                <w:b w:val="0"/>
                <w:sz w:val="17"/>
              </w:rPr>
              <w:t>+3.9***</w:t>
            </w:r>
          </w:p>
        </w:tc>
      </w:tr>
      <w:tr>
        <w:tc>
          <w:tcPr>
            <w:tcW w:type="dxa" w:w="2409"/>
            <w:tcBorders>
              <w:top w:val="none"/>
              <w:bottom w:val="single" w:sz="12" w:space="0" w:color="000000"/>
              <w:left w:val="none"/>
              <w:right w:val="none"/>
            </w:tcBorders>
          </w:tcPr>
          <w:p>
            <w:pPr>
              <w:spacing w:before="40" w:after="40" w:line="252" w:lineRule="auto"/>
              <w:jc w:val="left"/>
            </w:pPr>
            <w:r>
              <w:rPr>
                <w:rFonts w:ascii="Times New Roman" w:hAnsi="Times New Roman" w:eastAsia="宋体"/>
                <w:b w:val="0"/>
                <w:sz w:val="17"/>
              </w:rPr>
              <w:t>换手率</w:t>
            </w:r>
          </w:p>
        </w:tc>
        <w:tc>
          <w:tcPr>
            <w:tcW w:type="dxa" w:w="2409"/>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7"/>
              </w:rPr>
              <w:t>+3.2***</w:t>
            </w:r>
          </w:p>
        </w:tc>
        <w:tc>
          <w:tcPr>
            <w:tcW w:type="dxa" w:w="2409"/>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7"/>
              </w:rPr>
              <w:t>+3.3***</w:t>
            </w:r>
          </w:p>
        </w:tc>
        <w:tc>
          <w:tcPr>
            <w:tcW w:type="dxa" w:w="2409"/>
            <w:tcBorders>
              <w:top w:val="none"/>
              <w:bottom w:val="single" w:sz="12" w:space="0" w:color="000000"/>
              <w:left w:val="none"/>
              <w:right w:val="none"/>
            </w:tcBorders>
          </w:tcPr>
          <w:p>
            <w:pPr>
              <w:spacing w:before="40" w:after="40" w:line="252" w:lineRule="auto"/>
              <w:jc w:val="center"/>
            </w:pPr>
            <w:r>
              <w:rPr>
                <w:rFonts w:ascii="Times New Roman" w:hAnsi="Times New Roman" w:eastAsia="宋体"/>
                <w:b w:val="0"/>
                <w:sz w:val="17"/>
              </w:rPr>
              <w:t>+1.1</w:t>
            </w:r>
          </w:p>
        </w:tc>
      </w:tr>
    </w:tbl>
    <w:p>
      <w:pPr>
        <w:spacing w:before="80" w:after="240"/>
      </w:pPr>
      <w:r>
        <w:rPr>
          <w:rFonts w:ascii="Times New Roman" w:hAnsi="Times New Roman" w:eastAsia="宋体"/>
          <w:b w:val="0"/>
          <w:sz w:val="18"/>
        </w:rPr>
        <w:t>注：单元格为基金层横截面 OLS 的 t 值与显著性；三列回归样本随因变量覆盖率微调（N≈352–362）。第一列为减季度无风险利率的超额收益（非沪深300超额）；简单超额不剔因子、风格暴露留在残差，仅作参照。***、**、* 分别表示 1%、5%、10% 显著性水平。</w:t>
      </w:r>
    </w:p>
    <w:p>
      <w:pPr>
        <w:sectPr>
          <w:pgSz w:w="11906" w:h="16838"/>
          <w:pgMar w:top="1361" w:right="1134" w:bottom="1361" w:left="1134" w:header="720" w:footer="720" w:gutter="0"/>
          <w:cols w:space="720" w:num="1"/>
          <w:docGrid w:linePitch="360" w:charSpace="0"/>
        </w:sectPr>
      </w:pPr>
    </w:p>
    <w:p>
      <w:pPr>
        <w:spacing w:before="160" w:after="80"/>
        <w:jc w:val="center"/>
      </w:pPr>
      <w:r>
        <w:rPr>
          <w:rFonts w:ascii="Times New Roman" w:hAnsi="Times New Roman" w:eastAsia="黑体"/>
          <w:b/>
          <w:sz w:val="22"/>
        </w:rPr>
        <w:t>附表 2  全部 25 个候选指标的单变量回归矩阵与联立回归结果（因变量＝FF5 alpha）</w:t>
      </w:r>
    </w:p>
    <w:tbl>
      <w:tblPr>
        <w:tblW w:type="auto" w:w="0"/>
        <w:jc w:val="center"/>
        <w:tblLook w:firstColumn="1" w:firstRow="1" w:lastColumn="0" w:lastRow="0" w:noHBand="0" w:noVBand="1" w:val="04A0"/>
      </w:tblPr>
      <w:tblGrid>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gridCol w:w="541"/>
      </w:tblGrid>
      <w:tr>
        <w:tc>
          <w:tcPr>
            <w:tcW w:type="dxa" w:w="1325"/>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层级</w:t>
            </w:r>
          </w:p>
        </w:tc>
        <w:tc>
          <w:tcPr>
            <w:tcW w:type="dxa" w:w="1152"/>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细分维度</w:t>
            </w:r>
          </w:p>
        </w:tc>
        <w:tc>
          <w:tcPr>
            <w:tcW w:type="dxa" w:w="184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指标代码与名称</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(2)</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(3)</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(4)</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(5)</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(6)</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(7)</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(8)</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(9)</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(10)</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(11)</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(12)</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(13)</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(14)</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(15)</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(16)</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(17)</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(18)</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(19)</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(20)</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(21)</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(22)</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(23)</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(24)</w:t>
            </w:r>
          </w:p>
        </w:tc>
        <w:tc>
          <w:tcPr>
            <w:tcW w:type="dxa" w:w="403"/>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(25)</w:t>
            </w:r>
          </w:p>
        </w:tc>
        <w:tc>
          <w:tcPr>
            <w:tcW w:type="dxa" w:w="1224"/>
            <w:tcMar>
              <w:top w:w="25" w:type="dxa"/>
              <w:bottom w:w="25" w:type="dxa"/>
              <w:left w:w="20" w:type="dxa"/>
              <w:right w:w="20" w:type="dxa"/>
            </w:tcMar>
            <w:tcBorders>
              <w:top w:val="single" w:sz="12" w:space="0" w:color="000000"/>
              <w:bottom w:val="single" w:sz="4" w:space="0" w:color="000000"/>
              <w:left w:val="none"/>
              <w:right w:val="none"/>
            </w:tcBorders>
          </w:tcPr>
          <w:p>
            <w:pPr>
              <w:spacing w:before="24" w:after="24" w:line="240" w:lineRule="auto"/>
              <w:jc w:val="center"/>
            </w:pPr>
            <w:r>
              <w:rPr>
                <w:rFonts w:ascii="Times New Roman" w:hAnsi="Times New Roman" w:eastAsia="宋体"/>
                <w:b/>
                <w:sz w:val="13"/>
              </w:rPr>
              <w:t>联立全模型</w:t>
            </w:r>
          </w:p>
        </w:tc>
      </w:tr>
      <w:tr>
        <w:tc>
          <w:tcPr>
            <w:tcW w:type="dxa" w:w="1325"/>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t>L1 基本面层</w:t>
            </w:r>
          </w:p>
        </w:tc>
        <w:tc>
          <w:tcPr>
            <w:tcW w:type="dxa" w:w="1152"/>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t>基本面边界</w:t>
            </w:r>
          </w:p>
        </w:tc>
        <w:tc>
          <w:tcPr>
            <w:tcW w:type="dxa" w:w="184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left"/>
            </w:pPr>
            <w:r>
              <w:rPr>
                <w:rFonts w:ascii="Times New Roman" w:hAnsi="Times New Roman" w:eastAsia="宋体"/>
                <w:b w:val="0"/>
                <w:sz w:val="13"/>
              </w:rPr>
              <w:t>(1) 任职年限</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t>-0.000*</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-2.3**</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L1 基本面层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基本面边界</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(2) 基金年龄</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+1.1</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L1 基本面层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基本面边界</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(3) 基金规模</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-0.001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+1.4</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L1 基本面层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个人背景</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(4) 性别（男=1）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+0.003</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L1 基本面层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专业资质</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(5) CFA持证</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-0.02***</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L1 基本面层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学历背景</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(6) 硕士及以上</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+0.01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L1 基本面层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院校背景</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(7) 名校毕业</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+0.003</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L2 认知偏差层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风险态度</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(8) 风险偏好不对称性</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+0.17***</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+2.9***</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L2 认知偏差层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参考点偏误</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(9) 处置效应</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-0.07***</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-2.3**</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L2 认知偏差层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过度自信</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(10) 过度自信</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-0.000***</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-0.7</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L2 认知偏差层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趋势外推</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(11) 追涨杀跌</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-0.02</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+2.6***</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L2 认知偏差层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参考点偏误</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(12) 锚定效应</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+0.09***</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+1.3</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L3 配置选择层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行业配置</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(13) 行业集中度</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+0.05***</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+4.3***</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L3 配置选择层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风格稳定性</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(14) 行业风格漂移指数</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-0.04***</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-0.7</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L3 配置选择层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主动管理度</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(15) 改进主动份额</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-0.004</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-3.8***</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L4 风险应对层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过程应对</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(16) 调仓幅度</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+0.06***</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+4.9***</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L4 风险应对层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过程应对</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(17) 下行保护系数</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+6.9***</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L4 风险应对层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风险特征</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(18) 收益波动率</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+0.17***</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+3.0***</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L4 风险应对层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风险特征</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(19) 风险稳定性</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-0.80***</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-1.1</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L4 风险应对层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转化效率</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(20) Sharpe比率</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+0.04***</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+2.3**</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L4 风险应对层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转化效率</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(21) Sortino比率</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-0.1</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L4 风险应对层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转化效率</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(22) 操纵稳健测度MPPM</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+0.14***</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+8.0***</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L5 交易执行层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风格偏离</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(23) 策略偏离指数</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-0.02***</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-0.3</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L5 交易执行层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同业互动</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(24) 交易趋同度LSV</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+0.22***</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+1.3</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L5 交易执行层</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交易频率</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val="0"/>
                <w:sz w:val="13"/>
              </w:rPr>
              <w:t>(25) 换手率</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+0.000</w:t>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val="0"/>
                <w:sz w:val="13"/>
              </w:rPr>
              <w:t>+1.0</w:t>
            </w:r>
          </w:p>
        </w:tc>
      </w:tr>
      <w:tr>
        <w:tc>
          <w:tcPr>
            <w:tcW w:type="dxa" w:w="1325"/>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统计量</w:t>
            </w:r>
          </w:p>
        </w:tc>
        <w:tc>
          <w:tcPr>
            <w:tcW w:type="dxa" w:w="1152"/>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模型设定</w:t>
            </w:r>
          </w:p>
        </w:tc>
        <w:tc>
          <w:tcPr>
            <w:tcW w:type="dxa" w:w="184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left"/>
            </w:pPr>
            <w:r>
              <w:rPr>
                <w:rFonts w:ascii="Times New Roman" w:hAnsi="Times New Roman" w:eastAsia="宋体"/>
                <w:b/>
                <w:sz w:val="13"/>
              </w:rPr>
              <w:t>控制变量</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403"/>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不含</w:t>
            </w:r>
          </w:p>
        </w:tc>
        <w:tc>
          <w:tcPr>
            <w:tcW w:type="dxa" w:w="1224"/>
            <w:tcMar>
              <w:top w:w="25" w:type="dxa"/>
              <w:bottom w:w="25" w:type="dxa"/>
              <w:left w:w="20" w:type="dxa"/>
              <w:right w:w="20" w:type="dxa"/>
            </w:tcMar>
            <w:tcBorders>
              <w:top w:val="single" w:sz="4" w:space="0" w:color="000000"/>
              <w:bottom w:val="none"/>
              <w:left w:val="none"/>
              <w:right w:val="none"/>
            </w:tcBorders>
          </w:tcPr>
          <w:p>
            <w:pPr>
              <w:spacing w:before="24" w:after="24" w:line="240" w:lineRule="auto"/>
              <w:jc w:val="center"/>
            </w:pPr>
            <w:r>
              <w:rPr>
                <w:rFonts w:ascii="Times New Roman" w:hAnsi="Times New Roman" w:eastAsia="宋体"/>
                <w:b/>
                <w:sz w:val="13"/>
              </w:rPr>
              <w:t>全模型</w:t>
            </w:r>
          </w:p>
        </w:tc>
      </w:tr>
      <w:tr>
        <w:tc>
          <w:tcPr>
            <w:tcW w:type="dxa" w:w="1325"/>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统计量</w:t>
            </w:r>
          </w:p>
        </w:tc>
        <w:tc>
          <w:tcPr>
            <w:tcW w:type="dxa" w:w="1152"/>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模型拟合</w:t>
            </w:r>
          </w:p>
        </w:tc>
        <w:tc>
          <w:tcPr>
            <w:tcW w:type="dxa" w:w="1843"/>
            <w:tcMar>
              <w:top w:w="25" w:type="dxa"/>
              <w:bottom w:w="25" w:type="dxa"/>
              <w:left w:w="20" w:type="dxa"/>
              <w:right w:w="20" w:type="dxa"/>
            </w:tcMar>
            <w:tcBorders>
              <w:top w:val="none"/>
              <w:bottom w:val="none"/>
              <w:left w:val="none"/>
              <w:right w:val="none"/>
            </w:tcBorders>
          </w:tcPr>
          <w:p>
            <w:pPr>
              <w:spacing w:before="24" w:after="24" w:line="240" w:lineRule="auto"/>
              <w:jc w:val="left"/>
            </w:pPr>
            <w:r>
              <w:rPr>
                <w:rFonts w:ascii="Times New Roman" w:hAnsi="Times New Roman" w:eastAsia="宋体"/>
                <w:b/>
                <w:sz w:val="13"/>
              </w:rPr>
              <w:t>决定系数 R²</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0.005</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0.059</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0.003</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0.003</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0.023</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0.001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0.005</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0.063</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0.052</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0.041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0.009</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0.030</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0.101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0.061</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0.000</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0.079</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0.112</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0.058</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0.099</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0.173</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0.112</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0.203</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0.056</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0.039</w:t>
            </w:r>
          </w:p>
        </w:tc>
        <w:tc>
          <w:tcPr>
            <w:tcW w:type="dxa" w:w="403"/>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0.003</w:t>
            </w:r>
          </w:p>
        </w:tc>
        <w:tc>
          <w:tcPr>
            <w:tcW w:type="dxa" w:w="1224"/>
            <w:tcMar>
              <w:top w:w="25" w:type="dxa"/>
              <w:bottom w:w="25" w:type="dxa"/>
              <w:left w:w="20" w:type="dxa"/>
              <w:right w:w="20" w:type="dxa"/>
            </w:tcMar>
            <w:tcBorders>
              <w:top w:val="none"/>
              <w:bottom w:val="none"/>
              <w:left w:val="none"/>
              <w:right w:val="none"/>
            </w:tcBorders>
          </w:tcPr>
          <w:p>
            <w:pPr>
              <w:spacing w:before="24" w:after="24" w:line="240" w:lineRule="auto"/>
              <w:jc w:val="center"/>
            </w:pPr>
            <w:r>
              <w:rPr>
                <w:rFonts w:ascii="Times New Roman" w:hAnsi="Times New Roman" w:eastAsia="宋体"/>
                <w:b/>
                <w:sz w:val="13"/>
              </w:rPr>
              <w:t>0.714</w:t>
            </w:r>
          </w:p>
        </w:tc>
      </w:tr>
      <w:tr>
        <w:tc>
          <w:tcPr>
            <w:tcW w:type="dxa" w:w="1325"/>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统计量</w:t>
            </w:r>
          </w:p>
        </w:tc>
        <w:tc>
          <w:tcPr>
            <w:tcW w:type="dxa" w:w="1152"/>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样本规模</w:t>
            </w:r>
          </w:p>
        </w:tc>
        <w:tc>
          <w:tcPr>
            <w:tcW w:type="dxa" w:w="184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left"/>
            </w:pPr>
            <w:r>
              <w:rPr>
                <w:rFonts w:ascii="Times New Roman" w:hAnsi="Times New Roman" w:eastAsia="宋体"/>
                <w:b/>
                <w:sz w:val="13"/>
              </w:rPr>
              <w:t>有效样本量 N</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322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322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322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148</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360</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355</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359</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403"/>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362</w:t>
            </w:r>
          </w:p>
        </w:tc>
        <w:tc>
          <w:tcPr>
            <w:tcW w:type="dxa" w:w="1224"/>
            <w:tcMar>
              <w:top w:w="25" w:type="dxa"/>
              <w:bottom w:w="25" w:type="dxa"/>
              <w:left w:w="20" w:type="dxa"/>
              <w:right w:w="20" w:type="dxa"/>
            </w:tcMar>
            <w:tcBorders>
              <w:top w:val="none"/>
              <w:bottom w:val="single" w:sz="12" w:space="0" w:color="000000"/>
              <w:left w:val="none"/>
              <w:right w:val="none"/>
            </w:tcBorders>
          </w:tcPr>
          <w:p>
            <w:pPr>
              <w:spacing w:before="24" w:after="24" w:line="240" w:lineRule="auto"/>
              <w:jc w:val="center"/>
            </w:pPr>
            <w:r>
              <w:rPr>
                <w:rFonts w:ascii="Times New Roman" w:hAnsi="Times New Roman" w:eastAsia="宋体"/>
                <w:b/>
                <w:sz w:val="13"/>
              </w:rPr>
              <w:t>350</w:t>
            </w:r>
          </w:p>
        </w:tc>
      </w:tr>
    </w:tbl>
    <w:p>
      <w:pPr>
        <w:spacing w:before="80" w:after="160"/>
      </w:pPr>
      <w:r>
        <w:rPr>
          <w:rFonts w:ascii="Times New Roman" w:hAnsi="Times New Roman" w:eastAsia="宋体"/>
          <w:b w:val="0"/>
          <w:sz w:val="15"/>
        </w:rPr>
        <w:t>注：第 (1) 至 (25) 列为各候选指标分别对基金全样本期 FF5 alpha 进行单变量横截面 OLS 回归的结果（HC1 稳健标准误）；对角线单元格汇报单变量回归系数 β 与显著性星号（*** p&lt;0.01, ** p&lt;0.05, * p&lt;0.1），非对角线单元格为空。最后一列为将全部 18 个连续型指标同时纳入同一回归方程的多元联立回归净效应 t 值；哑变量不入联立模型记「—」。全模型 R²=0.7141，N=350，F=42.18*** (p&lt;0.001)。</w:t>
      </w:r>
    </w:p>
    <w:sectPr>
      <w:pgSz w:w="16834" w:h="11909" w:orient="landscape"/>
      <w:pgMar w:top="648" w:right="576" w:bottom="648" w:left="5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KaTeX_Math">
    <w:altName w:val="FFont-Family"/>
    <w:panose1 w:val="00000000000000000000"/>
    <w:charset w:val="00"/>
    <w:family w:val="auto"/>
    <w:pitch w:val="default"/>
    <w:sig w:usb0="00000000" w:usb1="00000000" w:usb2="00000000" w:usb3="00000000" w:csb0="00000000" w:csb1="00000000"/>
  </w:font>
  <w:font w:name="KaTeX_Size3">
    <w:altName w:val="FFont-Family"/>
    <w:panose1 w:val="00000000000000000000"/>
    <w:charset w:val="00"/>
    <w:family w:val="auto"/>
    <w:pitch w:val="default"/>
    <w:sig w:usb0="00000000" w:usb1="00000000" w:usb2="00000000" w:usb3="00000000" w:csb0="00000000" w:csb1="00000000"/>
  </w:font>
  <w:font w:name="KaTeX_Size1">
    <w:altName w:val="FFont-Family"/>
    <w:panose1 w:val="00000000000000000000"/>
    <w:charset w:val="00"/>
    <w:family w:val="auto"/>
    <w:pitch w:val="default"/>
    <w:sig w:usb0="00000000" w:usb1="00000000" w:usb2="00000000" w:usb3="00000000" w:csb0="00000000" w:csb1="00000000"/>
  </w:font>
  <w:font w:name="KaTeX_Size2">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57B37F3D"/>
    <w:rsid w:val="6736149D"/>
    <w:rsid w:val="73296B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2026-09-07T03:00:16Z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