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eastAsia="黑体"/>
          <w:b/>
          <w:i w:val="0"/>
          <w:sz w:val="32"/>
        </w:rPr>
        <w:t>你是什么样的投资者？</w:t>
      </w:r>
    </w:p>
    <w:p>
      <w:pPr>
        <w:spacing w:before="240" w:after="120"/>
        <w:jc w:val="center"/>
      </w:pPr>
      <w:r>
        <w:rPr>
          <w:rFonts w:ascii="Times New Roman" w:hAnsi="Times New Roman" w:eastAsia="黑体"/>
          <w:b/>
          <w:i w:val="0"/>
          <w:sz w:val="32"/>
        </w:rPr>
        <w:t>——基于 L1–L5 五层行为框架的中国主动权益投资经理画像</w:t>
      </w:r>
    </w:p>
    <w:p>
      <w:pPr>
        <w:spacing w:after="120" w:line="312" w:lineRule="auto"/>
        <w:jc w:val="center"/>
      </w:pPr>
      <w:r>
        <w:rPr>
          <w:rFonts w:ascii="Times New Roman" w:hAnsi="Times New Roman" w:eastAsia="宋体"/>
          <w:b/>
          <w:i w:val="0"/>
          <w:sz w:val="21"/>
        </w:rPr>
        <w:t>摘要</w:t>
      </w:r>
    </w:p>
    <w:p>
      <w:pPr>
        <w:spacing w:after="120" w:line="312" w:lineRule="auto"/>
      </w:pPr>
      <w:r>
        <w:rPr>
          <w:rFonts w:ascii="Times New Roman" w:hAnsi="Times New Roman" w:eastAsia="宋体"/>
          <w:b w:val="0"/>
          <w:i w:val="0"/>
          <w:sz w:val="18"/>
        </w:rPr>
        <w:t>评价基金经理，市场习惯先看收益，但收益混合了能力与运气。本文以 2006–2026 年中国 400 只主动权益基金、9,974 个基金—季度观测为样本，把行为金融与主动管理文献归纳为 L1–L5 五层框架，从 15 个成分指标中得出六个计分维度，等权复合刻画投资经理行为画像。认知、配置选择与风险应对（过程应对、转化效率两职能）四个行为维度对 FF5超额收益具显著解释力；转化效率联立系数最大但与因变量共享概念内核，由样本外检验支撑有效性，定性为风险使用效率的持续性。基本面优势单维显著而同期联立不显著、样本外转为显著为正，是业绩的边界条件而非能力本身；改进主动份额经六道检验存在符号翻转被剔除。按综合能力五等分，组合超额收益由每季 0.64% 单调升至 3.77%（Q5−Q1=3.13个百分点，t=10.28），高能力组规模更小、学历与 CFA 占比更低——识别优秀投资经理要看行为而非简历与规模。除换手率需 Wind 授权外，其余均可由公开数据复算。</w:t>
      </w:r>
    </w:p>
    <w:p>
      <w:pPr>
        <w:spacing w:after="120" w:line="312" w:lineRule="auto"/>
      </w:pPr>
      <w:r>
        <w:rPr>
          <w:rFonts w:ascii="Times New Roman" w:hAnsi="Times New Roman" w:eastAsia="宋体"/>
          <w:b/>
          <w:i w:val="0"/>
          <w:sz w:val="18"/>
        </w:rPr>
        <w:t>关键词：投资经理；行为画像；风险调整收益；等权复合；过度自信；规模不经济</w:t>
      </w:r>
    </w:p>
    <w:p>
      <w:pPr>
        <w:spacing w:after="120" w:line="312" w:lineRule="auto"/>
      </w:pPr>
      <w:r>
        <w:rPr>
          <w:rFonts w:ascii="Times New Roman" w:hAnsi="Times New Roman" w:eastAsia="宋体"/>
          <w:b w:val="0"/>
          <w:i w:val="0"/>
          <w:sz w:val="18"/>
        </w:rPr>
        <w:t>JEL 分类号：G11；G12；G23</w:t>
      </w:r>
    </w:p>
    <w:p>
      <w:pPr>
        <w:spacing w:after="120" w:line="312" w:lineRule="auto"/>
        <w:jc w:val="center"/>
      </w:pPr>
      <w:r>
        <w:rPr>
          <w:rFonts w:ascii="Times New Roman" w:hAnsi="Times New Roman" w:eastAsia="Times New Roman"/>
          <w:b/>
          <w:i w:val="0"/>
          <w:sz w:val="21"/>
        </w:rPr>
        <w:t>What Kind of Investor Are You? A Behavioral Profile of Chinese Active Equity Fund Managers Based on a Five-Layer Behavioral Framework</w:t>
      </w:r>
    </w:p>
    <w:p>
      <w:pPr>
        <w:spacing w:after="120" w:line="312" w:lineRule="auto"/>
      </w:pPr>
      <w:r>
        <w:rPr>
          <w:rFonts w:ascii="Times New Roman" w:hAnsi="Times New Roman" w:eastAsia="Times New Roman"/>
          <w:b w:val="0"/>
          <w:i w:val="0"/>
          <w:sz w:val="18"/>
        </w:rPr>
        <w:t>Abstract: Using a sample of 400 Chinese active equity funds (2006-2026, 9,974 fund-quarter observations), we organize behavioral finance and active management literature into a five-layer framework (L1-L5) and distill fifteen literature-based indicators into six equally-weighted scoring dimensions. Four behavioral dimensions significantly explain FF5-adjusted returns; the risk-conversion sub-function carries the largest joint coefficient but shares a conceptual kernel with the dependent variable, so its validity rests on out-of-sample tests. Fundamental advantage is a boundary condition rather than an ability: significant univariately and out-of-sample, absorbed contemporaneously. Improved Active Share is rejected after six specification tests with sign flips. Quintile portfolios sorted on composite ability yield monotonically increasing alphas (0.64% to 3.77% per quarter, t=10.28), and top-ability managers run smaller funds with fewer advanced degrees. Except for turnover, which requires a licensed Wind terminal, all measures are computable from public holdings and NAV data.</w:t>
      </w:r>
    </w:p>
    <w:p>
      <w:pPr>
        <w:spacing w:after="120" w:line="312" w:lineRule="auto"/>
      </w:pPr>
      <w:r>
        <w:rPr>
          <w:rFonts w:ascii="Times New Roman" w:hAnsi="Times New Roman" w:eastAsia="Times New Roman"/>
          <w:b w:val="0"/>
          <w:i w:val="0"/>
          <w:sz w:val="18"/>
        </w:rPr>
        <w:t>Keywords: fund manager; behavioral profile; risk-adjusted return; equal-weight composite; overconfidence; diseconomies of scale</w:t>
      </w:r>
    </w:p>
    <w:p>
      <w:pPr>
        <w:spacing w:before="240" w:after="120"/>
      </w:pPr>
      <w:r>
        <w:rPr>
          <w:rFonts w:ascii="Times New Roman" w:hAnsi="Times New Roman" w:eastAsia="黑体"/>
          <w:b/>
          <w:i w:val="0"/>
          <w:sz w:val="28"/>
        </w:rPr>
        <w:t>1  引言</w:t>
      </w:r>
    </w:p>
    <w:p>
      <w:pPr>
        <w:spacing w:after="120" w:line="312" w:lineRule="auto"/>
        <w:ind w:firstLine="420"/>
      </w:pPr>
      <w:r>
        <w:rPr>
          <w:rFonts w:ascii="Times New Roman" w:hAnsi="Times New Roman" w:eastAsia="宋体"/>
          <w:b w:val="0"/>
          <w:i w:val="0"/>
          <w:sz w:val="21"/>
        </w:rPr>
        <w:t>投资经理的行为直接决定组合业绩，对自身行为特征的充分认识是改善投资、提升业绩的起点；对投资者与委托人而言，一套可检验、可复制的行为刻画方法也为业绩评价与管理人筛选提供了可操作工具。行为金融与主动管理文献已积累了成熟的测度体系：前景理论刻画风险态度的损益不对称[1]，处置效应刻画“售盈持亏”[2,3]，业绩反馈引发的过度自信导致换手放大[4,23]，行业集中度体现配置的信息优势[5]，持仓之外的主动行为可由调仓幅度捕捉[6]，择时能力可用分段回归检验[7,24]，风险向收益的转化质量有总风险、下行风险与抗操纵三类测度[8,9,10]；经理与组织层面则有职业顾虑[11]与规模不经济[12]。这些结论在成熟市场已获验证，但在中国市场是否同样成立，仍需系统检验。</w:t>
      </w:r>
    </w:p>
    <w:p>
      <w:pPr>
        <w:spacing w:after="120" w:line="312" w:lineRule="auto"/>
        <w:ind w:firstLine="420"/>
      </w:pPr>
      <w:r>
        <w:rPr>
          <w:rFonts w:ascii="Times New Roman" w:hAnsi="Times New Roman" w:eastAsia="宋体"/>
          <w:b w:val="0"/>
          <w:i w:val="0"/>
          <w:sz w:val="21"/>
        </w:rPr>
        <w:t>本文的做法是：以 400 只主动权益基金、2006Q3 至 2026Q2 共 80 个季度、9,974 个基金—季度观测（可进入横截面回归 362 只）为样本，把上述文献归纳为 L1–L5 五层行为框架，逐项检验各指标对 FF5 超额收益的解释力，再把方向与文献一致者按层等权复合为能力得分，据此刻画画像。框架为</w:t>
      </w:r>
      <w:r>
        <w:rPr>
          <w:rFonts w:ascii="Times New Roman" w:hAnsi="Times New Roman" w:eastAsia="宋体"/>
          <w:b/>
          <w:i w:val="0"/>
          <w:sz w:val="21"/>
        </w:rPr>
        <w:t>五层理论层次、六个计分维度</w:t>
      </w:r>
      <w:r>
        <w:rPr>
          <w:rFonts w:ascii="Times New Roman" w:hAnsi="Times New Roman" w:eastAsia="宋体"/>
          <w:b w:val="0"/>
          <w:i w:val="0"/>
          <w:sz w:val="21"/>
        </w:rPr>
        <w:t>——L4 风险应对层内含“过程应对”（做了什么）与“转化效率”（换回了什么）两种不同质的测度，作为测量单元须分开计分，故层数与维数不必相等（依据见 3.5）。</w:t>
      </w:r>
    </w:p>
    <w:p>
      <w:pPr>
        <w:spacing w:after="120" w:line="312" w:lineRule="auto"/>
        <w:ind w:firstLine="420"/>
      </w:pPr>
      <w:r>
        <w:rPr>
          <w:rFonts w:ascii="Times New Roman" w:hAnsi="Times New Roman" w:eastAsia="宋体"/>
          <w:b w:val="0"/>
          <w:i w:val="0"/>
          <w:sz w:val="21"/>
        </w:rPr>
        <w:t>主要发现有三。其一，认知层、选择层与风险应对层的两个职能共四个行为维度显著解释 alpha，转化效率的联立系数最大，但该职能与因变量共享“风险调整后收益”的概念内核，其有效性主要由样本外检验支撑，故定性为“风险使用效率的持续性”。其二，L1 基本面优势（新任经理、新基金、小规模）单维显著而同期联立不显著、样本外转为显著为正，它是业绩的边界条件而非能力本身。其三，改进主动份额在六道检验中符号翻转，与文献[13]的批评一致，剔除出画像。最后刻画了业绩最好与最差 5% 的群体画像，并选取 5 名正向典型画像 + 1 名反例做案例分析。</w:t>
      </w:r>
    </w:p>
    <w:p>
      <w:pPr>
        <w:spacing w:before="240" w:after="120"/>
      </w:pPr>
      <w:r>
        <w:rPr>
          <w:rFonts w:ascii="Times New Roman" w:hAnsi="Times New Roman" w:eastAsia="黑体"/>
          <w:b/>
          <w:i w:val="0"/>
          <w:sz w:val="28"/>
        </w:rPr>
        <w:t>2  理论研究</w:t>
      </w:r>
    </w:p>
    <w:p>
      <w:pPr>
        <w:spacing w:after="120" w:line="312" w:lineRule="auto"/>
        <w:ind w:firstLine="420"/>
      </w:pPr>
      <w:r>
        <w:rPr>
          <w:rFonts w:ascii="Times New Roman" w:hAnsi="Times New Roman" w:eastAsia="宋体"/>
          <w:b w:val="0"/>
          <w:i w:val="0"/>
          <w:sz w:val="21"/>
        </w:rPr>
        <w:t>本文将行为金融与主动管理文献归纳为 L1–L5 五个层次，每一层对应一条影响渠道与一组测度指标，汇总见表 1。五层分别回答五个问题：经理与组织的基本面状态如何（L1 基本面层：任职年限、基金年龄、规模的适配状态）、认知是否理性（L2 认知层）、配置是否体现信息优势（L3 选择层）、组合的行为应对与风险转化如何（L4 风险应对层，含过程应对与转化效率两职能）、交易是否遵循既定策略（L5 交易执行层）。</w:t>
      </w:r>
    </w:p>
    <w:p>
      <w:pPr>
        <w:spacing w:before="120" w:after="60"/>
        <w:jc w:val="center"/>
      </w:pPr>
      <w:r>
        <w:rPr>
          <w:rFonts w:ascii="Times New Roman" w:hAnsi="Times New Roman" w:eastAsia="黑体"/>
          <w:b/>
          <w:i w:val="0"/>
          <w:sz w:val="18"/>
        </w:rPr>
        <w:t>表 1  五层行为理论框架与指标体系</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077"/>
          </w:tcPr>
          <w:p>
            <w:pPr>
              <w:spacing w:before="20" w:after="20" w:line="259" w:lineRule="auto"/>
              <w:ind w:firstLine="0"/>
              <w:jc w:val="center"/>
            </w:pPr>
            <w:r/>
            <w:r>
              <w:rPr>
                <w:rFonts w:ascii="Times New Roman" w:hAnsi="Times New Roman" w:eastAsia="黑体"/>
                <w:b/>
                <w:i w:val="0"/>
                <w:sz w:val="16"/>
              </w:rPr>
              <w:t>层级</w:t>
            </w:r>
          </w:p>
        </w:tc>
        <w:tc>
          <w:tcPr>
            <w:tcW w:type="dxa" w:w="1814"/>
          </w:tcPr>
          <w:p>
            <w:pPr>
              <w:spacing w:before="20" w:after="20" w:line="259" w:lineRule="auto"/>
              <w:ind w:firstLine="0"/>
              <w:jc w:val="center"/>
            </w:pPr>
            <w:r/>
            <w:r>
              <w:rPr>
                <w:rFonts w:ascii="Times New Roman" w:hAnsi="Times New Roman" w:eastAsia="黑体"/>
                <w:b/>
                <w:i w:val="0"/>
                <w:sz w:val="16"/>
              </w:rPr>
              <w:t>影响渠道（理论依据）</w:t>
            </w:r>
          </w:p>
        </w:tc>
        <w:tc>
          <w:tcPr>
            <w:tcW w:type="dxa" w:w="1474"/>
          </w:tcPr>
          <w:p>
            <w:pPr>
              <w:spacing w:before="20" w:after="20" w:line="259" w:lineRule="auto"/>
              <w:ind w:firstLine="0"/>
              <w:jc w:val="center"/>
            </w:pPr>
            <w:r/>
            <w:r>
              <w:rPr>
                <w:rFonts w:ascii="Times New Roman" w:hAnsi="Times New Roman" w:eastAsia="黑体"/>
                <w:b/>
                <w:i w:val="0"/>
                <w:sz w:val="16"/>
              </w:rPr>
              <w:t>来源</w:t>
            </w:r>
          </w:p>
        </w:tc>
        <w:tc>
          <w:tcPr>
            <w:tcW w:type="dxa" w:w="1361"/>
          </w:tcPr>
          <w:p>
            <w:pPr>
              <w:spacing w:before="20" w:after="20" w:line="259" w:lineRule="auto"/>
              <w:ind w:firstLine="0"/>
              <w:jc w:val="center"/>
            </w:pPr>
            <w:r/>
            <w:r>
              <w:rPr>
                <w:rFonts w:ascii="Times New Roman" w:hAnsi="Times New Roman" w:eastAsia="黑体"/>
                <w:b/>
                <w:i w:val="0"/>
                <w:sz w:val="16"/>
              </w:rPr>
              <w:t>指标</w:t>
            </w:r>
          </w:p>
        </w:tc>
        <w:tc>
          <w:tcPr>
            <w:tcW w:type="dxa" w:w="2041"/>
          </w:tcPr>
          <w:p>
            <w:pPr>
              <w:spacing w:before="20" w:after="20" w:line="259" w:lineRule="auto"/>
              <w:ind w:firstLine="0"/>
              <w:jc w:val="center"/>
            </w:pPr>
            <w:r/>
            <w:r>
              <w:rPr>
                <w:rFonts w:ascii="Times New Roman" w:hAnsi="Times New Roman" w:eastAsia="黑体"/>
                <w:b/>
                <w:i w:val="0"/>
                <w:sz w:val="16"/>
              </w:rPr>
              <w:t>计算（公式）</w:t>
            </w:r>
          </w:p>
        </w:tc>
        <w:tc>
          <w:tcPr>
            <w:tcW w:type="dxa" w:w="1871"/>
          </w:tcPr>
          <w:p>
            <w:pPr>
              <w:spacing w:before="20" w:after="20" w:line="259" w:lineRule="auto"/>
              <w:ind w:firstLine="0"/>
              <w:jc w:val="center"/>
            </w:pPr>
            <w:r/>
            <w:r>
              <w:rPr>
                <w:rFonts w:ascii="Times New Roman" w:hAnsi="Times New Roman" w:eastAsia="黑体"/>
                <w:b/>
                <w:i w:val="0"/>
                <w:sz w:val="16"/>
              </w:rPr>
              <w:t>说明</w:t>
            </w:r>
          </w:p>
        </w:tc>
      </w:tr>
      <w:tr>
        <w:tc>
          <w:tcPr>
            <w:tcW w:type="dxa" w:w="1077"/>
          </w:tcPr>
          <w:p>
            <w:pPr>
              <w:spacing w:before="20" w:after="20" w:line="259" w:lineRule="auto"/>
              <w:ind w:firstLine="0"/>
              <w:jc w:val="center"/>
            </w:pPr>
            <w:r/>
            <w:r>
              <w:rPr>
                <w:rFonts w:ascii="Times New Roman" w:hAnsi="Times New Roman" w:eastAsia="宋体"/>
                <w:b w:val="0"/>
                <w:i w:val="0"/>
                <w:sz w:val="16"/>
              </w:rPr>
              <w:t>L1 基本面层</w:t>
              <w:br/>
            </w:r>
            <w:r>
              <w:rPr>
                <w:rFonts w:ascii="Times New Roman" w:hAnsi="Times New Roman" w:eastAsia="宋体"/>
                <w:b w:val="0"/>
                <w:i w:val="0"/>
                <w:sz w:val="16"/>
              </w:rPr>
              <w:t>（计分维：基本面优势）</w:t>
            </w:r>
          </w:p>
        </w:tc>
        <w:tc>
          <w:tcPr>
            <w:tcW w:type="dxa" w:w="1814"/>
          </w:tcPr>
          <w:p>
            <w:pPr>
              <w:spacing w:before="20" w:after="20" w:line="259" w:lineRule="auto"/>
              <w:ind w:firstLine="0"/>
              <w:jc w:val="left"/>
            </w:pPr>
            <w:r/>
            <w:r>
              <w:rPr>
                <w:rFonts w:ascii="Times New Roman" w:hAnsi="Times New Roman" w:eastAsia="宋体"/>
                <w:b w:val="0"/>
                <w:i w:val="0"/>
                <w:sz w:val="16"/>
              </w:rPr>
              <w:t>经验悖论：职业顾虑使新任经理更努力；规模不经济：资金流入与组织老化侵蚀 alpha（新基金效应）</w:t>
            </w:r>
          </w:p>
        </w:tc>
        <w:tc>
          <w:tcPr>
            <w:tcW w:type="dxa" w:w="1474"/>
          </w:tcPr>
          <w:p>
            <w:pPr>
              <w:spacing w:before="20" w:after="20" w:line="259" w:lineRule="auto"/>
              <w:ind w:firstLine="0"/>
              <w:jc w:val="left"/>
            </w:pPr>
            <w:r/>
            <w:r>
              <w:rPr>
                <w:rFonts w:ascii="Times New Roman" w:hAnsi="Times New Roman" w:eastAsia="宋体"/>
                <w:b w:val="0"/>
                <w:i w:val="0"/>
                <w:sz w:val="16"/>
              </w:rPr>
              <w:t>[11]；[12]</w:t>
            </w:r>
          </w:p>
        </w:tc>
        <w:tc>
          <w:tcPr>
            <w:tcW w:type="dxa" w:w="1361"/>
          </w:tcPr>
          <w:p>
            <w:pPr>
              <w:spacing w:before="20" w:after="20" w:line="259" w:lineRule="auto"/>
              <w:ind w:firstLine="0"/>
              <w:jc w:val="left"/>
            </w:pPr>
            <w:r/>
            <w:r>
              <w:rPr>
                <w:rFonts w:ascii="Times New Roman" w:hAnsi="Times New Roman" w:eastAsia="宋体"/>
                <w:b w:val="0"/>
                <w:i w:val="0"/>
                <w:sz w:val="16"/>
              </w:rPr>
              <w:t>任职年限 tenure；log 基金年龄；log 规模</w:t>
            </w:r>
          </w:p>
        </w:tc>
        <w:tc>
          <w:tcPr>
            <w:tcW w:type="dxa" w:w="2041"/>
          </w:tcPr>
          <w:p>
            <w:pPr>
              <w:spacing w:before="20" w:after="20" w:line="259" w:lineRule="auto"/>
              <w:ind w:firstLine="0"/>
              <w:jc w:val="left"/>
            </w:pPr>
            <w:r/>
            <w:r>
              <w:rPr>
                <w:rFonts w:ascii="Times New Roman" w:hAnsi="Times New Roman" w:eastAsia="宋体"/>
                <w:b w:val="0"/>
                <w:i w:val="0"/>
                <w:sz w:val="16"/>
              </w:rPr>
              <w:t>tenure = 观测日 − 首次任职日；log_age = ln(存续月数)；log_aum = ln(平均规模)；基本面优势 = [z(−tenure)+z(−log_age)+z(−log_aum)]/3</w:t>
            </w:r>
          </w:p>
        </w:tc>
        <w:tc>
          <w:tcPr>
            <w:tcW w:type="dxa" w:w="1871"/>
          </w:tcPr>
          <w:p>
            <w:pPr>
              <w:spacing w:before="20" w:after="20" w:line="259" w:lineRule="auto"/>
              <w:ind w:firstLine="0"/>
              <w:jc w:val="left"/>
            </w:pPr>
            <w:r/>
            <w:r>
              <w:rPr>
                <w:rFonts w:ascii="Times New Roman" w:hAnsi="Times New Roman" w:eastAsia="宋体"/>
                <w:b w:val="0"/>
                <w:i w:val="0"/>
                <w:sz w:val="16"/>
              </w:rPr>
              <w:t>三成分均负向（单变量 t：−1.85*/−4.13***/−1.16）；学历与 CFA 覆盖率仅 45.9%，不足以支撑稳健推断，故不进入计分（其在高能力组占比反而更低，这一反向发现留待后续研究）</w:t>
            </w:r>
          </w:p>
        </w:tc>
      </w:tr>
      <w:tr>
        <w:tc>
          <w:tcPr>
            <w:tcW w:type="dxa" w:w="1077"/>
          </w:tcPr>
          <w:p>
            <w:pPr>
              <w:spacing w:before="20" w:after="20" w:line="259" w:lineRule="auto"/>
              <w:ind w:firstLine="0"/>
              <w:jc w:val="center"/>
            </w:pPr>
            <w:r/>
            <w:r>
              <w:rPr>
                <w:rFonts w:ascii="Times New Roman" w:hAnsi="Times New Roman" w:eastAsia="宋体"/>
                <w:b w:val="0"/>
                <w:i w:val="0"/>
                <w:sz w:val="16"/>
              </w:rPr>
              <w:t>L2 认知层</w:t>
            </w:r>
          </w:p>
        </w:tc>
        <w:tc>
          <w:tcPr>
            <w:tcW w:type="dxa" w:w="1814"/>
          </w:tcPr>
          <w:p>
            <w:pPr>
              <w:spacing w:before="20" w:after="20" w:line="259" w:lineRule="auto"/>
              <w:ind w:firstLine="0"/>
              <w:jc w:val="left"/>
            </w:pPr>
            <w:r/>
            <w:r>
              <w:rPr>
                <w:rFonts w:ascii="Times New Roman" w:hAnsi="Times New Roman" w:eastAsia="宋体"/>
                <w:b w:val="0"/>
                <w:i w:val="0"/>
                <w:sz w:val="16"/>
              </w:rPr>
              <w:t>前景理论：损失域与收益域风险态度不对称；处置效应（售盈持亏）；业绩反馈引发过度自信</w:t>
            </w:r>
          </w:p>
        </w:tc>
        <w:tc>
          <w:tcPr>
            <w:tcW w:type="dxa" w:w="1474"/>
          </w:tcPr>
          <w:p>
            <w:pPr>
              <w:spacing w:before="20" w:after="20" w:line="259" w:lineRule="auto"/>
              <w:ind w:firstLine="0"/>
              <w:jc w:val="left"/>
            </w:pPr>
            <w:r/>
            <w:r>
              <w:rPr>
                <w:rFonts w:ascii="Times New Roman" w:hAnsi="Times New Roman" w:eastAsia="宋体"/>
                <w:b w:val="0"/>
                <w:i w:val="0"/>
                <w:sz w:val="16"/>
              </w:rPr>
              <w:t>[14]；[2]；[3]；[4]</w:t>
            </w:r>
          </w:p>
        </w:tc>
        <w:tc>
          <w:tcPr>
            <w:tcW w:type="dxa" w:w="1361"/>
          </w:tcPr>
          <w:p>
            <w:pPr>
              <w:spacing w:before="20" w:after="20" w:line="259" w:lineRule="auto"/>
              <w:ind w:firstLine="0"/>
              <w:jc w:val="left"/>
            </w:pPr>
            <w:r/>
            <w:r>
              <w:rPr>
                <w:rFonts w:ascii="Times New Roman" w:hAnsi="Times New Roman" w:eastAsia="宋体"/>
                <w:b w:val="0"/>
                <w:i w:val="0"/>
                <w:sz w:val="16"/>
              </w:rPr>
              <w:t>风险偏好不对称性 risk_asym；处置效应 de；过度自信 oc_conf</w:t>
            </w:r>
          </w:p>
        </w:tc>
        <w:tc>
          <w:tcPr>
            <w:tcW w:type="dxa" w:w="2041"/>
          </w:tcPr>
          <w:p>
            <w:pPr>
              <w:spacing w:before="20" w:after="20" w:line="259" w:lineRule="auto"/>
              <w:ind w:firstLine="0"/>
              <w:jc w:val="left"/>
            </w:pPr>
            <w:r/>
            <w:r>
              <w:rPr>
                <w:rFonts w:ascii="Times New Roman" w:hAnsi="Times New Roman" w:eastAsia="宋体"/>
                <w:b w:val="0"/>
                <w:i w:val="0"/>
                <w:sz w:val="16"/>
              </w:rPr>
              <w:t>risk_asym = σ(盈利期收益) − σ(亏损期收益)，滚动 8 季；de = PGR − PLR；oc_conf = (TO_t − TO_{t−1}) × 1(R_{t−1} &gt; 0)</w:t>
            </w:r>
          </w:p>
        </w:tc>
        <w:tc>
          <w:tcPr>
            <w:tcW w:type="dxa" w:w="1871"/>
          </w:tcPr>
          <w:p>
            <w:pPr>
              <w:spacing w:before="20" w:after="20" w:line="259" w:lineRule="auto"/>
              <w:ind w:firstLine="0"/>
              <w:jc w:val="left"/>
            </w:pPr>
            <w:r/>
            <w:r>
              <w:rPr>
                <w:rFonts w:ascii="Times New Roman" w:hAnsi="Times New Roman" w:eastAsia="宋体"/>
                <w:b w:val="0"/>
                <w:i w:val="0"/>
                <w:sz w:val="16"/>
              </w:rPr>
              <w:t>risk_asym 方向与前景理论的预期相反，本文按“下行风险定价特征”理解（该解释未经独立检验），余为偏差；方向：risk_asym 正、de 与 oc_conf 负</w:t>
            </w:r>
          </w:p>
        </w:tc>
      </w:tr>
      <w:tr>
        <w:tc>
          <w:tcPr>
            <w:tcW w:type="dxa" w:w="1077"/>
          </w:tcPr>
          <w:p>
            <w:pPr>
              <w:spacing w:before="20" w:after="20" w:line="259" w:lineRule="auto"/>
              <w:ind w:firstLine="0"/>
              <w:jc w:val="center"/>
            </w:pPr>
            <w:r/>
            <w:r>
              <w:rPr>
                <w:rFonts w:ascii="Times New Roman" w:hAnsi="Times New Roman" w:eastAsia="宋体"/>
                <w:b w:val="0"/>
                <w:i w:val="0"/>
                <w:sz w:val="16"/>
              </w:rPr>
              <w:t>L3 选择层</w:t>
            </w:r>
          </w:p>
        </w:tc>
        <w:tc>
          <w:tcPr>
            <w:tcW w:type="dxa" w:w="1814"/>
          </w:tcPr>
          <w:p>
            <w:pPr>
              <w:spacing w:before="20" w:after="20" w:line="259" w:lineRule="auto"/>
              <w:ind w:firstLine="0"/>
              <w:jc w:val="left"/>
            </w:pPr>
            <w:r/>
            <w:r>
              <w:rPr>
                <w:rFonts w:ascii="Times New Roman" w:hAnsi="Times New Roman" w:eastAsia="宋体"/>
                <w:b w:val="0"/>
                <w:i w:val="0"/>
                <w:sz w:val="16"/>
              </w:rPr>
              <w:t>主动管理的信息比率渠道：行业配置偏离体现私有信息；频繁行业轮动稀释信息优势</w:t>
            </w:r>
          </w:p>
        </w:tc>
        <w:tc>
          <w:tcPr>
            <w:tcW w:type="dxa" w:w="1474"/>
          </w:tcPr>
          <w:p>
            <w:pPr>
              <w:spacing w:before="20" w:after="20" w:line="259" w:lineRule="auto"/>
              <w:ind w:firstLine="0"/>
              <w:jc w:val="left"/>
            </w:pPr>
            <w:r/>
            <w:r>
              <w:rPr>
                <w:rFonts w:ascii="Times New Roman" w:hAnsi="Times New Roman" w:eastAsia="宋体"/>
                <w:b w:val="0"/>
                <w:i w:val="0"/>
                <w:sz w:val="16"/>
              </w:rPr>
              <w:t>[5]；[15]</w:t>
            </w:r>
          </w:p>
        </w:tc>
        <w:tc>
          <w:tcPr>
            <w:tcW w:type="dxa" w:w="1361"/>
          </w:tcPr>
          <w:p>
            <w:pPr>
              <w:spacing w:before="20" w:after="20" w:line="259" w:lineRule="auto"/>
              <w:ind w:firstLine="0"/>
              <w:jc w:val="left"/>
            </w:pPr>
            <w:r/>
            <w:r>
              <w:rPr>
                <w:rFonts w:ascii="Times New Roman" w:hAnsi="Times New Roman" w:eastAsia="宋体"/>
                <w:b w:val="0"/>
                <w:i w:val="0"/>
                <w:sz w:val="16"/>
              </w:rPr>
              <w:t>行业集中度 ICI；行业风格漂移 ISDI</w:t>
            </w:r>
          </w:p>
        </w:tc>
        <w:tc>
          <w:tcPr>
            <w:tcW w:type="dxa" w:w="2041"/>
          </w:tcPr>
          <w:p>
            <w:pPr>
              <w:spacing w:before="20" w:after="20" w:line="259" w:lineRule="auto"/>
              <w:ind w:firstLine="0"/>
              <w:jc w:val="left"/>
            </w:pPr>
            <w:r/>
            <w:r>
              <w:rPr>
                <w:rFonts w:ascii="Times New Roman" w:hAnsi="Times New Roman" w:eastAsia="宋体"/>
                <w:b w:val="0"/>
                <w:i w:val="0"/>
                <w:sz w:val="16"/>
              </w:rPr>
              <w:t>ICI = Σ_j (w_j − w̄_j)²（申万 31 行业，归一化权重）；ISDI = Σ_g |w_g,t − w_g,t−1|（高/中/低弹性行业组权重相邻期曼哈顿距离）</w:t>
            </w:r>
          </w:p>
        </w:tc>
        <w:tc>
          <w:tcPr>
            <w:tcW w:type="dxa" w:w="1871"/>
          </w:tcPr>
          <w:p>
            <w:pPr>
              <w:spacing w:before="20" w:after="20" w:line="259" w:lineRule="auto"/>
              <w:ind w:firstLine="0"/>
              <w:jc w:val="left"/>
            </w:pPr>
            <w:r/>
            <w:r>
              <w:rPr>
                <w:rFonts w:ascii="Times New Roman" w:hAnsi="Times New Roman" w:eastAsia="宋体"/>
                <w:b w:val="0"/>
                <w:i w:val="0"/>
                <w:sz w:val="16"/>
              </w:rPr>
              <w:t>ICI 高为行业押注，预期正向；ISDI 高为行业轮动频繁，预期负向</w:t>
            </w:r>
          </w:p>
        </w:tc>
      </w:tr>
      <w:tr>
        <w:tc>
          <w:tcPr>
            <w:tcW w:type="dxa" w:w="1077"/>
          </w:tcPr>
          <w:p>
            <w:pPr>
              <w:spacing w:before="20" w:after="20" w:line="259" w:lineRule="auto"/>
              <w:ind w:firstLine="0"/>
              <w:jc w:val="center"/>
            </w:pPr>
            <w:r/>
            <w:r>
              <w:rPr>
                <w:rFonts w:ascii="Times New Roman" w:hAnsi="Times New Roman" w:eastAsia="宋体"/>
                <w:b w:val="0"/>
                <w:i w:val="0"/>
                <w:sz w:val="16"/>
              </w:rPr>
              <w:t>L4 风险应对层</w:t>
              <w:br/>
            </w:r>
            <w:r>
              <w:rPr>
                <w:rFonts w:ascii="Times New Roman" w:hAnsi="Times New Roman" w:eastAsia="宋体"/>
                <w:b w:val="0"/>
                <w:i w:val="0"/>
                <w:sz w:val="16"/>
              </w:rPr>
              <w:t>·过程应对职能</w:t>
            </w:r>
          </w:p>
        </w:tc>
        <w:tc>
          <w:tcPr>
            <w:tcW w:type="dxa" w:w="1814"/>
          </w:tcPr>
          <w:p>
            <w:pPr>
              <w:spacing w:before="20" w:after="20" w:line="259" w:lineRule="auto"/>
              <w:ind w:firstLine="0"/>
              <w:jc w:val="left"/>
            </w:pPr>
            <w:r/>
            <w:r>
              <w:rPr>
                <w:rFonts w:ascii="Times New Roman" w:hAnsi="Times New Roman" w:eastAsia="宋体"/>
                <w:b w:val="0"/>
                <w:i w:val="0"/>
                <w:sz w:val="16"/>
              </w:rPr>
              <w:t>未观测行为渠道：调仓幅度捕捉持仓之外的主动行为贡献；市场择时捕捉对市场状态的应对</w:t>
            </w:r>
          </w:p>
        </w:tc>
        <w:tc>
          <w:tcPr>
            <w:tcW w:type="dxa" w:w="1474"/>
          </w:tcPr>
          <w:p>
            <w:pPr>
              <w:spacing w:before="20" w:after="20" w:line="259" w:lineRule="auto"/>
              <w:ind w:firstLine="0"/>
              <w:jc w:val="left"/>
            </w:pPr>
            <w:r/>
            <w:r>
              <w:rPr>
                <w:rFonts w:ascii="Times New Roman" w:hAnsi="Times New Roman" w:eastAsia="宋体"/>
                <w:b w:val="0"/>
                <w:i w:val="0"/>
                <w:sz w:val="16"/>
              </w:rPr>
              <w:t>[6]；[7]</w:t>
            </w:r>
          </w:p>
        </w:tc>
        <w:tc>
          <w:tcPr>
            <w:tcW w:type="dxa" w:w="1361"/>
          </w:tcPr>
          <w:p>
            <w:pPr>
              <w:spacing w:before="20" w:after="20" w:line="259" w:lineRule="auto"/>
              <w:ind w:firstLine="0"/>
              <w:jc w:val="left"/>
            </w:pPr>
            <w:r/>
            <w:r>
              <w:rPr>
                <w:rFonts w:ascii="Times New Roman" w:hAnsi="Times New Roman" w:eastAsia="宋体"/>
                <w:b w:val="0"/>
                <w:i w:val="0"/>
                <w:sz w:val="16"/>
              </w:rPr>
              <w:t>调仓幅度 ARG；下行保护 timing</w:t>
            </w:r>
          </w:p>
        </w:tc>
        <w:tc>
          <w:tcPr>
            <w:tcW w:type="dxa" w:w="2041"/>
          </w:tcPr>
          <w:p>
            <w:pPr>
              <w:spacing w:before="20" w:after="20" w:line="259" w:lineRule="auto"/>
              <w:ind w:firstLine="0"/>
              <w:jc w:val="left"/>
            </w:pPr>
            <w:r/>
            <w:r>
              <w:rPr>
                <w:rFonts w:ascii="Times New Roman" w:hAnsi="Times New Roman" w:eastAsia="宋体"/>
                <w:b w:val="0"/>
                <w:i w:val="0"/>
                <w:sz w:val="16"/>
              </w:rPr>
              <w:t>ARG = 季度内 Σ_t |R_fund,t − Σ_i w_i R_i,t|（月度）；timing = −γ，γ 为 HM 分段回归 min(0, MKT) 项系数</w:t>
            </w:r>
          </w:p>
        </w:tc>
        <w:tc>
          <w:tcPr>
            <w:tcW w:type="dxa" w:w="1871"/>
          </w:tcPr>
          <w:p>
            <w:pPr>
              <w:spacing w:before="20" w:after="20" w:line="259" w:lineRule="auto"/>
              <w:ind w:firstLine="0"/>
              <w:jc w:val="left"/>
            </w:pPr>
            <w:r/>
            <w:r>
              <w:rPr>
                <w:rFonts w:ascii="Times New Roman" w:hAnsi="Times New Roman" w:eastAsia="宋体"/>
                <w:b w:val="0"/>
                <w:i w:val="0"/>
                <w:sz w:val="16"/>
              </w:rPr>
              <w:t>ARG 高为持仓外操作幅度大；timing 高为下跌市场中保护能力强</w:t>
            </w:r>
          </w:p>
        </w:tc>
      </w:tr>
      <w:tr>
        <w:tc>
          <w:tcPr>
            <w:tcW w:type="dxa" w:w="1077"/>
          </w:tcPr>
          <w:p>
            <w:pPr>
              <w:spacing w:before="20" w:after="20" w:line="259" w:lineRule="auto"/>
              <w:ind w:firstLine="0"/>
              <w:jc w:val="center"/>
            </w:pPr>
            <w:r/>
            <w:r>
              <w:rPr>
                <w:rFonts w:ascii="Times New Roman" w:hAnsi="Times New Roman" w:eastAsia="宋体"/>
                <w:b w:val="0"/>
                <w:i w:val="0"/>
                <w:sz w:val="16"/>
              </w:rPr>
              <w:t>L4 风险应对层</w:t>
              <w:br/>
            </w:r>
            <w:r>
              <w:rPr>
                <w:rFonts w:ascii="Times New Roman" w:hAnsi="Times New Roman" w:eastAsia="宋体"/>
                <w:b w:val="0"/>
                <w:i w:val="0"/>
                <w:sz w:val="16"/>
              </w:rPr>
              <w:t>·转化效率职能</w:t>
            </w:r>
          </w:p>
        </w:tc>
        <w:tc>
          <w:tcPr>
            <w:tcW w:type="dxa" w:w="1814"/>
          </w:tcPr>
          <w:p>
            <w:pPr>
              <w:spacing w:before="20" w:after="20" w:line="259" w:lineRule="auto"/>
              <w:ind w:firstLine="0"/>
              <w:jc w:val="left"/>
            </w:pPr>
            <w:r/>
            <w:r>
              <w:rPr>
                <w:rFonts w:ascii="Times New Roman" w:hAnsi="Times New Roman" w:eastAsia="宋体"/>
                <w:b w:val="0"/>
                <w:i w:val="0"/>
                <w:sz w:val="16"/>
              </w:rPr>
              <w:t>风险定价与绩效测度渠道：同样的风险承担能否转化为超额收益；抗操纵测度防止业绩粉饰</w:t>
            </w:r>
          </w:p>
        </w:tc>
        <w:tc>
          <w:tcPr>
            <w:tcW w:type="dxa" w:w="1474"/>
          </w:tcPr>
          <w:p>
            <w:pPr>
              <w:spacing w:before="20" w:after="20" w:line="259" w:lineRule="auto"/>
              <w:ind w:firstLine="0"/>
              <w:jc w:val="left"/>
            </w:pPr>
            <w:r/>
            <w:r>
              <w:rPr>
                <w:rFonts w:ascii="Times New Roman" w:hAnsi="Times New Roman" w:eastAsia="宋体"/>
                <w:b w:val="0"/>
                <w:i w:val="0"/>
                <w:sz w:val="16"/>
              </w:rPr>
              <w:t>[8]；[9]；[10]</w:t>
            </w:r>
          </w:p>
        </w:tc>
        <w:tc>
          <w:tcPr>
            <w:tcW w:type="dxa" w:w="1361"/>
          </w:tcPr>
          <w:p>
            <w:pPr>
              <w:spacing w:before="20" w:after="20" w:line="259" w:lineRule="auto"/>
              <w:ind w:firstLine="0"/>
              <w:jc w:val="left"/>
            </w:pPr>
            <w:r/>
            <w:r>
              <w:rPr>
                <w:rFonts w:ascii="Times New Roman" w:hAnsi="Times New Roman" w:eastAsia="宋体"/>
                <w:b w:val="0"/>
                <w:i w:val="0"/>
                <w:sz w:val="16"/>
              </w:rPr>
              <w:t>Sharpe 比率 sharpe8；Sortino 比率 sortino8；抗操纵测度 mppm8</w:t>
            </w:r>
          </w:p>
        </w:tc>
        <w:tc>
          <w:tcPr>
            <w:tcW w:type="dxa" w:w="2041"/>
          </w:tcPr>
          <w:p>
            <w:pPr>
              <w:spacing w:before="20" w:after="20" w:line="259" w:lineRule="auto"/>
              <w:ind w:firstLine="0"/>
              <w:jc w:val="left"/>
            </w:pPr>
            <w:r/>
            <w:r>
              <w:rPr>
                <w:rFonts w:ascii="Times New Roman" w:hAnsi="Times New Roman" w:eastAsia="宋体"/>
                <w:b w:val="0"/>
                <w:i w:val="0"/>
                <w:sz w:val="16"/>
              </w:rPr>
              <w:t>滚动 8 季：均值/总波动；均值/下行波动；MPPM(RHO=3)，均滞后一期</w:t>
            </w:r>
          </w:p>
        </w:tc>
        <w:tc>
          <w:tcPr>
            <w:tcW w:type="dxa" w:w="1871"/>
          </w:tcPr>
          <w:p>
            <w:pPr>
              <w:spacing w:before="20" w:after="20" w:line="259" w:lineRule="auto"/>
              <w:ind w:firstLine="0"/>
              <w:jc w:val="left"/>
            </w:pPr>
            <w:r/>
            <w:r>
              <w:rPr>
                <w:rFonts w:ascii="Times New Roman" w:hAnsi="Times New Roman" w:eastAsia="宋体"/>
                <w:b w:val="0"/>
                <w:i w:val="0"/>
                <w:sz w:val="16"/>
              </w:rPr>
              <w:t>三个测度均度量“上期风险转化质量”，滞后一期避免前视偏差；联立系数最大，但与因变量概念同源，依据样本外检验（见 3.5）</w:t>
            </w:r>
          </w:p>
        </w:tc>
      </w:tr>
      <w:tr>
        <w:tc>
          <w:tcPr>
            <w:tcW w:type="dxa" w:w="1077"/>
          </w:tcPr>
          <w:p>
            <w:pPr>
              <w:spacing w:before="20" w:after="20" w:line="259" w:lineRule="auto"/>
              <w:ind w:firstLine="0"/>
              <w:jc w:val="center"/>
            </w:pPr>
            <w:r/>
            <w:r>
              <w:rPr>
                <w:rFonts w:ascii="Times New Roman" w:hAnsi="Times New Roman" w:eastAsia="宋体"/>
                <w:b w:val="0"/>
                <w:i w:val="0"/>
                <w:sz w:val="16"/>
              </w:rPr>
              <w:t>L5 交易执行层</w:t>
            </w:r>
          </w:p>
        </w:tc>
        <w:tc>
          <w:tcPr>
            <w:tcW w:type="dxa" w:w="1814"/>
          </w:tcPr>
          <w:p>
            <w:pPr>
              <w:spacing w:before="20" w:after="20" w:line="259" w:lineRule="auto"/>
              <w:ind w:firstLine="0"/>
              <w:jc w:val="left"/>
            </w:pPr>
            <w:r/>
            <w:r>
              <w:rPr>
                <w:rFonts w:ascii="Times New Roman" w:hAnsi="Times New Roman" w:eastAsia="宋体"/>
                <w:b w:val="0"/>
                <w:i w:val="0"/>
                <w:sz w:val="16"/>
              </w:rPr>
              <w:t>风格纪律渠道：净值风格漂移损害投资人预期；交易趋同（羊群行为）</w:t>
            </w:r>
          </w:p>
        </w:tc>
        <w:tc>
          <w:tcPr>
            <w:tcW w:type="dxa" w:w="1474"/>
          </w:tcPr>
          <w:p>
            <w:pPr>
              <w:spacing w:before="20" w:after="20" w:line="259" w:lineRule="auto"/>
              <w:ind w:firstLine="0"/>
              <w:jc w:val="left"/>
            </w:pPr>
            <w:r/>
            <w:r>
              <w:rPr>
                <w:rFonts w:ascii="Times New Roman" w:hAnsi="Times New Roman" w:eastAsia="宋体"/>
                <w:b w:val="0"/>
                <w:i w:val="0"/>
                <w:sz w:val="16"/>
              </w:rPr>
              <w:t>[16]；[17]；[18]</w:t>
            </w:r>
          </w:p>
        </w:tc>
        <w:tc>
          <w:tcPr>
            <w:tcW w:type="dxa" w:w="1361"/>
          </w:tcPr>
          <w:p>
            <w:pPr>
              <w:spacing w:before="20" w:after="20" w:line="259" w:lineRule="auto"/>
              <w:ind w:firstLine="0"/>
              <w:jc w:val="left"/>
            </w:pPr>
            <w:r/>
            <w:r>
              <w:rPr>
                <w:rFonts w:ascii="Times New Roman" w:hAnsi="Times New Roman" w:eastAsia="宋体"/>
                <w:b w:val="0"/>
                <w:i w:val="0"/>
                <w:sz w:val="16"/>
              </w:rPr>
              <w:t>策略偏离指数 SDI；交易趋同度 lsv</w:t>
            </w:r>
          </w:p>
        </w:tc>
        <w:tc>
          <w:tcPr>
            <w:tcW w:type="dxa" w:w="2041"/>
          </w:tcPr>
          <w:p>
            <w:pPr>
              <w:spacing w:before="20" w:after="20" w:line="259" w:lineRule="auto"/>
              <w:ind w:firstLine="0"/>
              <w:jc w:val="left"/>
            </w:pPr>
            <w:r/>
            <w:r>
              <w:rPr>
                <w:rFonts w:ascii="Times New Roman" w:hAnsi="Times New Roman" w:eastAsia="宋体"/>
                <w:b w:val="0"/>
                <w:i w:val="0"/>
                <w:sz w:val="16"/>
              </w:rPr>
              <w:t>SDI = 风格回归（8 季滚动 OLS）相邻期权重向量的曼哈顿距离；lsv = 均值_i(|p_i − p̄_t| − AF)</w:t>
            </w:r>
          </w:p>
        </w:tc>
        <w:tc>
          <w:tcPr>
            <w:tcW w:type="dxa" w:w="1871"/>
          </w:tcPr>
          <w:p>
            <w:pPr>
              <w:spacing w:before="20" w:after="20" w:line="259" w:lineRule="auto"/>
              <w:ind w:firstLine="0"/>
              <w:jc w:val="left"/>
            </w:pPr>
            <w:r/>
            <w:r>
              <w:rPr>
                <w:rFonts w:ascii="Times New Roman" w:hAnsi="Times New Roman" w:eastAsia="宋体"/>
                <w:b w:val="0"/>
                <w:i w:val="0"/>
                <w:sz w:val="16"/>
              </w:rPr>
              <w:t>SDI 高为风格漂移，预期负向；lsv 实证为正，但与羊群行为的理论预期相反，本文定性为时期依存且被同层指标掩盖（见 3.4），不解释为能力。</w:t>
            </w:r>
          </w:p>
        </w:tc>
      </w:tr>
    </w:tbl>
    <w:p>
      <w:pPr>
        <w:spacing w:before="60" w:after="200"/>
      </w:pPr>
      <w:r>
        <w:rPr>
          <w:rFonts w:ascii="Times New Roman" w:hAnsi="Times New Roman" w:eastAsia="宋体"/>
          <w:b w:val="0"/>
          <w:i w:val="0"/>
          <w:sz w:val="17"/>
        </w:rPr>
        <w:t>注：w 为持仓权重，σ 为标准差，TO 为换手率，R 为收益率，MKT 为市场超额收益。限于篇幅，各指标的完整计算参数与逐项稳健性检验记录备索。</w:t>
      </w:r>
    </w:p>
    <w:p>
      <w:pPr>
        <w:spacing w:before="240" w:after="120"/>
      </w:pPr>
      <w:r>
        <w:rPr>
          <w:rFonts w:ascii="Times New Roman" w:hAnsi="Times New Roman" w:eastAsia="黑体"/>
          <w:b/>
          <w:i w:val="0"/>
          <w:sz w:val="28"/>
        </w:rPr>
        <w:t>3  实证检验</w:t>
      </w:r>
    </w:p>
    <w:p>
      <w:pPr>
        <w:spacing w:before="240" w:after="120"/>
      </w:pPr>
      <w:r>
        <w:rPr>
          <w:rFonts w:ascii="Times New Roman" w:hAnsi="Times New Roman" w:eastAsia="黑体"/>
          <w:b/>
          <w:i w:val="0"/>
          <w:sz w:val="24"/>
        </w:rPr>
        <w:t>3.1  数据来源说明</w:t>
      </w:r>
    </w:p>
    <w:p>
      <w:pPr>
        <w:spacing w:after="120" w:line="312" w:lineRule="auto"/>
        <w:ind w:firstLine="420"/>
      </w:pPr>
      <w:r>
        <w:rPr>
          <w:rFonts w:ascii="Times New Roman" w:hAnsi="Times New Roman" w:eastAsia="宋体"/>
          <w:b w:val="0"/>
          <w:i w:val="0"/>
          <w:sz w:val="21"/>
        </w:rPr>
        <w:t>数据以公开渠道为主：基金日度复权净值来自 AKShare/东方财富，用于计算季度收益与滚动绩效指标；基金定期报告的全量持仓明细（428,571 条股票级记录）用于计算行业配置、处置效应与交易趋同度；FF5 因子取自 AKShare 因子库；换手率取自 Wind 授权终端；行业分类采用申万一级（31 行业，个股匹配率 99.2%）。因变量为 Fama &amp; French[19] 五因子模型调整后的超额收益（alpha），其中国市场适用性经文献[20]检验支持。限于篇幅，数据降级链与逐文件覆盖清单备索。</w:t>
      </w:r>
    </w:p>
    <w:p>
      <w:pPr>
        <w:spacing w:before="240" w:after="120"/>
      </w:pPr>
      <w:r>
        <w:rPr>
          <w:rFonts w:ascii="Times New Roman" w:hAnsi="Times New Roman" w:eastAsia="黑体"/>
          <w:b/>
          <w:i w:val="0"/>
          <w:sz w:val="24"/>
        </w:rPr>
        <w:t>3.2  统计性描述</w:t>
      </w:r>
    </w:p>
    <w:p>
      <w:pPr>
        <w:spacing w:after="120" w:line="312" w:lineRule="auto"/>
        <w:ind w:firstLine="420"/>
      </w:pPr>
      <w:r>
        <w:rPr>
          <w:rFonts w:ascii="Times New Roman" w:hAnsi="Times New Roman" w:eastAsia="宋体"/>
          <w:b w:val="0"/>
          <w:i w:val="0"/>
          <w:sz w:val="21"/>
        </w:rPr>
        <w:t>样本覆盖 2006Q3 至 2026Q2 的 80 个季度，并非一段时期的特殊结果：基金数从 2019 年末的 61 只跃升至 2020 年末的 286 只，2021–2026 年保持 320–400 只，完整覆盖 2022 年的单边下跌与 2024–2025 年的结构性行情。表 2 报告主要变量的描述统计。覆盖率须区分两个口径：基金—季度观测层面，处置效应 46.6%（依赖半年度持仓快照）、Sortino 58.8%、策略偏离指数 63.8%（滚动窗口暖机）；而本文画像与横截面回归采用基金层时序均值口径，该口径下除下行保护系数（88.8%，需至少 12 个季度）与策略偏离指数（91.5%）外各指标均不低于 92.8%，L1 三成分为 100%。表 2 覆盖率列报告基金层口径，与第 4 节画像一致。</w:t>
      </w:r>
    </w:p>
    <w:p>
      <w:pPr>
        <w:spacing w:before="120" w:after="60"/>
        <w:jc w:val="center"/>
      </w:pPr>
      <w:r>
        <w:rPr>
          <w:rFonts w:ascii="Times New Roman" w:hAnsi="Times New Roman" w:eastAsia="黑体"/>
          <w:b/>
          <w:i w:val="0"/>
          <w:sz w:val="18"/>
        </w:rPr>
        <w:t>表 2  主要变量描述统计（基金层时序均值，1%/99% 缩尾）</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474"/>
          </w:tcPr>
          <w:p>
            <w:pPr>
              <w:spacing w:before="20" w:after="20" w:line="259" w:lineRule="auto"/>
              <w:ind w:firstLine="0"/>
              <w:jc w:val="center"/>
            </w:pPr>
            <w:r/>
            <w:r>
              <w:rPr>
                <w:rFonts w:ascii="Times New Roman" w:hAnsi="Times New Roman" w:eastAsia="黑体"/>
                <w:b/>
                <w:i w:val="0"/>
                <w:sz w:val="16"/>
              </w:rPr>
              <w:t>变量</w:t>
            </w:r>
          </w:p>
        </w:tc>
        <w:tc>
          <w:tcPr>
            <w:tcW w:type="dxa" w:w="1928"/>
          </w:tcPr>
          <w:p>
            <w:pPr>
              <w:spacing w:before="20" w:after="20" w:line="259" w:lineRule="auto"/>
              <w:ind w:firstLine="0"/>
              <w:jc w:val="center"/>
            </w:pPr>
            <w:r/>
            <w:r>
              <w:rPr>
                <w:rFonts w:ascii="Times New Roman" w:hAnsi="Times New Roman" w:eastAsia="黑体"/>
                <w:b/>
                <w:i w:val="0"/>
                <w:sz w:val="16"/>
              </w:rPr>
              <w:t>中文名</w:t>
            </w:r>
          </w:p>
        </w:tc>
        <w:tc>
          <w:tcPr>
            <w:tcW w:type="dxa" w:w="737"/>
          </w:tcPr>
          <w:p>
            <w:pPr>
              <w:spacing w:before="20" w:after="20" w:line="259" w:lineRule="auto"/>
              <w:ind w:firstLine="0"/>
              <w:jc w:val="center"/>
            </w:pPr>
            <w:r/>
            <w:r>
              <w:rPr>
                <w:rFonts w:ascii="Times New Roman" w:hAnsi="Times New Roman" w:eastAsia="黑体"/>
                <w:b/>
                <w:i w:val="0"/>
                <w:sz w:val="16"/>
              </w:rPr>
              <w:t>N</w:t>
            </w:r>
          </w:p>
        </w:tc>
        <w:tc>
          <w:tcPr>
            <w:tcW w:type="dxa" w:w="1077"/>
          </w:tcPr>
          <w:p>
            <w:pPr>
              <w:spacing w:before="20" w:after="20" w:line="259" w:lineRule="auto"/>
              <w:ind w:firstLine="0"/>
              <w:jc w:val="center"/>
            </w:pPr>
            <w:r/>
            <w:r>
              <w:rPr>
                <w:rFonts w:ascii="Times New Roman" w:hAnsi="Times New Roman" w:eastAsia="黑体"/>
                <w:b/>
                <w:i w:val="0"/>
                <w:sz w:val="16"/>
              </w:rPr>
              <w:t>均值</w:t>
            </w:r>
          </w:p>
        </w:tc>
        <w:tc>
          <w:tcPr>
            <w:tcW w:type="dxa" w:w="1077"/>
          </w:tcPr>
          <w:p>
            <w:pPr>
              <w:spacing w:before="20" w:after="20" w:line="259" w:lineRule="auto"/>
              <w:ind w:firstLine="0"/>
              <w:jc w:val="center"/>
            </w:pPr>
            <w:r/>
            <w:r>
              <w:rPr>
                <w:rFonts w:ascii="Times New Roman" w:hAnsi="Times New Roman" w:eastAsia="黑体"/>
                <w:b/>
                <w:i w:val="0"/>
                <w:sz w:val="16"/>
              </w:rPr>
              <w:t>标准差</w:t>
            </w:r>
          </w:p>
        </w:tc>
        <w:tc>
          <w:tcPr>
            <w:tcW w:type="dxa" w:w="964"/>
          </w:tcPr>
          <w:p>
            <w:pPr>
              <w:spacing w:before="20" w:after="20" w:line="259" w:lineRule="auto"/>
              <w:ind w:firstLine="0"/>
              <w:jc w:val="center"/>
            </w:pPr>
            <w:r/>
            <w:r>
              <w:rPr>
                <w:rFonts w:ascii="Times New Roman" w:hAnsi="Times New Roman" w:eastAsia="黑体"/>
                <w:b/>
                <w:i w:val="0"/>
                <w:sz w:val="16"/>
              </w:rPr>
              <w:t>最小值</w:t>
            </w:r>
          </w:p>
        </w:tc>
        <w:tc>
          <w:tcPr>
            <w:tcW w:type="dxa" w:w="964"/>
          </w:tcPr>
          <w:p>
            <w:pPr>
              <w:spacing w:before="20" w:after="20" w:line="259" w:lineRule="auto"/>
              <w:ind w:firstLine="0"/>
              <w:jc w:val="center"/>
            </w:pPr>
            <w:r/>
            <w:r>
              <w:rPr>
                <w:rFonts w:ascii="Times New Roman" w:hAnsi="Times New Roman" w:eastAsia="黑体"/>
                <w:b/>
                <w:i w:val="0"/>
                <w:sz w:val="16"/>
              </w:rPr>
              <w:t>最大值</w:t>
            </w:r>
          </w:p>
        </w:tc>
        <w:tc>
          <w:tcPr>
            <w:tcW w:type="dxa" w:w="907"/>
          </w:tcPr>
          <w:p>
            <w:pPr>
              <w:spacing w:before="20" w:after="20" w:line="259" w:lineRule="auto"/>
              <w:ind w:firstLine="0"/>
              <w:jc w:val="center"/>
            </w:pPr>
            <w:r/>
            <w:r>
              <w:rPr>
                <w:rFonts w:ascii="Times New Roman" w:hAnsi="Times New Roman" w:eastAsia="黑体"/>
                <w:b/>
                <w:i w:val="0"/>
                <w:sz w:val="16"/>
              </w:rPr>
              <w:t>覆盖率</w:t>
            </w:r>
          </w:p>
        </w:tc>
      </w:tr>
      <w:tr>
        <w:tc>
          <w:tcPr>
            <w:tcW w:type="dxa" w:w="1474"/>
          </w:tcPr>
          <w:p>
            <w:pPr>
              <w:spacing w:before="20" w:after="20" w:line="259" w:lineRule="auto"/>
              <w:ind w:firstLine="0"/>
              <w:jc w:val="left"/>
            </w:pPr>
            <w:r/>
            <w:r>
              <w:rPr>
                <w:rFonts w:ascii="Times New Roman" w:hAnsi="Times New Roman" w:eastAsia="宋体"/>
                <w:b w:val="0"/>
                <w:i w:val="0"/>
                <w:sz w:val="16"/>
              </w:rPr>
              <w:t>mgr_total_tenure_v2</w:t>
            </w:r>
          </w:p>
        </w:tc>
        <w:tc>
          <w:tcPr>
            <w:tcW w:type="dxa" w:w="1928"/>
          </w:tcPr>
          <w:p>
            <w:pPr>
              <w:spacing w:before="20" w:after="20" w:line="259" w:lineRule="auto"/>
              <w:ind w:firstLine="0"/>
              <w:jc w:val="left"/>
            </w:pPr>
            <w:r/>
            <w:r>
              <w:rPr>
                <w:rFonts w:ascii="Times New Roman" w:hAnsi="Times New Roman" w:eastAsia="宋体"/>
                <w:b w:val="0"/>
                <w:i w:val="0"/>
                <w:sz w:val="16"/>
              </w:rPr>
              <w:t>任职年限（天）</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1048.3763</w:t>
            </w:r>
          </w:p>
        </w:tc>
        <w:tc>
          <w:tcPr>
            <w:tcW w:type="dxa" w:w="1077"/>
          </w:tcPr>
          <w:p>
            <w:pPr>
              <w:spacing w:before="20" w:after="20" w:line="259" w:lineRule="auto"/>
              <w:ind w:firstLine="0"/>
              <w:jc w:val="center"/>
            </w:pPr>
            <w:r/>
            <w:r>
              <w:rPr>
                <w:rFonts w:ascii="Times New Roman" w:hAnsi="Times New Roman" w:eastAsia="宋体"/>
                <w:b w:val="0"/>
                <w:i w:val="0"/>
                <w:sz w:val="16"/>
              </w:rPr>
              <w:t>817.8013</w:t>
            </w:r>
          </w:p>
        </w:tc>
        <w:tc>
          <w:tcPr>
            <w:tcW w:type="dxa" w:w="964"/>
          </w:tcPr>
          <w:p>
            <w:pPr>
              <w:spacing w:before="20" w:after="20" w:line="259" w:lineRule="auto"/>
              <w:ind w:firstLine="0"/>
              <w:jc w:val="center"/>
            </w:pPr>
            <w:r/>
            <w:r>
              <w:rPr>
                <w:rFonts w:ascii="Times New Roman" w:hAnsi="Times New Roman" w:eastAsia="宋体"/>
                <w:b w:val="0"/>
                <w:i w:val="0"/>
                <w:sz w:val="16"/>
              </w:rPr>
              <w:t>196.19</w:t>
            </w:r>
          </w:p>
        </w:tc>
        <w:tc>
          <w:tcPr>
            <w:tcW w:type="dxa" w:w="964"/>
          </w:tcPr>
          <w:p>
            <w:pPr>
              <w:spacing w:before="20" w:after="20" w:line="259" w:lineRule="auto"/>
              <w:ind w:firstLine="0"/>
              <w:jc w:val="center"/>
            </w:pPr>
            <w:r/>
            <w:r>
              <w:rPr>
                <w:rFonts w:ascii="Times New Roman" w:hAnsi="Times New Roman" w:eastAsia="宋体"/>
                <w:b w:val="0"/>
                <w:i w:val="0"/>
                <w:sz w:val="16"/>
              </w:rPr>
              <w:t>4292.68</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log_fund_age</w:t>
            </w:r>
          </w:p>
        </w:tc>
        <w:tc>
          <w:tcPr>
            <w:tcW w:type="dxa" w:w="1928"/>
          </w:tcPr>
          <w:p>
            <w:pPr>
              <w:spacing w:before="20" w:after="20" w:line="259" w:lineRule="auto"/>
              <w:ind w:firstLine="0"/>
              <w:jc w:val="left"/>
            </w:pPr>
            <w:r/>
            <w:r>
              <w:rPr>
                <w:rFonts w:ascii="Times New Roman" w:hAnsi="Times New Roman" w:eastAsia="宋体"/>
                <w:b w:val="0"/>
                <w:i w:val="0"/>
                <w:sz w:val="16"/>
              </w:rPr>
              <w:t>log 基金年龄</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1.3896</w:t>
            </w:r>
          </w:p>
        </w:tc>
        <w:tc>
          <w:tcPr>
            <w:tcW w:type="dxa" w:w="1077"/>
          </w:tcPr>
          <w:p>
            <w:pPr>
              <w:spacing w:before="20" w:after="20" w:line="259" w:lineRule="auto"/>
              <w:ind w:firstLine="0"/>
              <w:jc w:val="center"/>
            </w:pPr>
            <w:r/>
            <w:r>
              <w:rPr>
                <w:rFonts w:ascii="Times New Roman" w:hAnsi="Times New Roman" w:eastAsia="宋体"/>
                <w:b w:val="0"/>
                <w:i w:val="0"/>
                <w:sz w:val="16"/>
              </w:rPr>
              <w:t>1.0128</w:t>
            </w:r>
          </w:p>
        </w:tc>
        <w:tc>
          <w:tcPr>
            <w:tcW w:type="dxa" w:w="964"/>
          </w:tcPr>
          <w:p>
            <w:pPr>
              <w:spacing w:before="20" w:after="20" w:line="259" w:lineRule="auto"/>
              <w:ind w:firstLine="0"/>
              <w:jc w:val="center"/>
            </w:pPr>
            <w:r/>
            <w:r>
              <w:rPr>
                <w:rFonts w:ascii="Times New Roman" w:hAnsi="Times New Roman" w:eastAsia="宋体"/>
                <w:b w:val="0"/>
                <w:i w:val="0"/>
                <w:sz w:val="16"/>
              </w:rPr>
              <w:t>-0.63</w:t>
            </w:r>
          </w:p>
        </w:tc>
        <w:tc>
          <w:tcPr>
            <w:tcW w:type="dxa" w:w="964"/>
          </w:tcPr>
          <w:p>
            <w:pPr>
              <w:spacing w:before="20" w:after="20" w:line="259" w:lineRule="auto"/>
              <w:ind w:firstLine="0"/>
              <w:jc w:val="center"/>
            </w:pPr>
            <w:r/>
            <w:r>
              <w:rPr>
                <w:rFonts w:ascii="Times New Roman" w:hAnsi="Times New Roman" w:eastAsia="宋体"/>
                <w:b w:val="0"/>
                <w:i w:val="0"/>
                <w:sz w:val="16"/>
              </w:rPr>
              <w:t>2.96</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log_aum</w:t>
            </w:r>
          </w:p>
        </w:tc>
        <w:tc>
          <w:tcPr>
            <w:tcW w:type="dxa" w:w="1928"/>
          </w:tcPr>
          <w:p>
            <w:pPr>
              <w:spacing w:before="20" w:after="20" w:line="259" w:lineRule="auto"/>
              <w:ind w:firstLine="0"/>
              <w:jc w:val="left"/>
            </w:pPr>
            <w:r/>
            <w:r>
              <w:rPr>
                <w:rFonts w:ascii="Times New Roman" w:hAnsi="Times New Roman" w:eastAsia="宋体"/>
                <w:b w:val="0"/>
                <w:i w:val="0"/>
                <w:sz w:val="16"/>
              </w:rPr>
              <w:t>log 基金规模</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1.6139</w:t>
            </w:r>
          </w:p>
        </w:tc>
        <w:tc>
          <w:tcPr>
            <w:tcW w:type="dxa" w:w="1077"/>
          </w:tcPr>
          <w:p>
            <w:pPr>
              <w:spacing w:before="20" w:after="20" w:line="259" w:lineRule="auto"/>
              <w:ind w:firstLine="0"/>
              <w:jc w:val="center"/>
            </w:pPr>
            <w:r/>
            <w:r>
              <w:rPr>
                <w:rFonts w:ascii="Times New Roman" w:hAnsi="Times New Roman" w:eastAsia="宋体"/>
                <w:b w:val="0"/>
                <w:i w:val="0"/>
                <w:sz w:val="16"/>
              </w:rPr>
              <w:t>1.2184</w:t>
            </w:r>
          </w:p>
        </w:tc>
        <w:tc>
          <w:tcPr>
            <w:tcW w:type="dxa" w:w="964"/>
          </w:tcPr>
          <w:p>
            <w:pPr>
              <w:spacing w:before="20" w:after="20" w:line="259" w:lineRule="auto"/>
              <w:ind w:firstLine="0"/>
              <w:jc w:val="center"/>
            </w:pPr>
            <w:r/>
            <w:r>
              <w:rPr>
                <w:rFonts w:ascii="Times New Roman" w:hAnsi="Times New Roman" w:eastAsia="宋体"/>
                <w:b w:val="0"/>
                <w:i w:val="0"/>
                <w:sz w:val="16"/>
              </w:rPr>
              <w:t>0.00</w:t>
            </w:r>
          </w:p>
        </w:tc>
        <w:tc>
          <w:tcPr>
            <w:tcW w:type="dxa" w:w="964"/>
          </w:tcPr>
          <w:p>
            <w:pPr>
              <w:spacing w:before="20" w:after="20" w:line="259" w:lineRule="auto"/>
              <w:ind w:firstLine="0"/>
              <w:jc w:val="center"/>
            </w:pPr>
            <w:r/>
            <w:r>
              <w:rPr>
                <w:rFonts w:ascii="Times New Roman" w:hAnsi="Times New Roman" w:eastAsia="宋体"/>
                <w:b w:val="0"/>
                <w:i w:val="0"/>
                <w:sz w:val="16"/>
              </w:rPr>
              <w:t>4.59</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risk_asym</w:t>
            </w:r>
          </w:p>
        </w:tc>
        <w:tc>
          <w:tcPr>
            <w:tcW w:type="dxa" w:w="1928"/>
          </w:tcPr>
          <w:p>
            <w:pPr>
              <w:spacing w:before="20" w:after="20" w:line="259" w:lineRule="auto"/>
              <w:ind w:firstLine="0"/>
              <w:jc w:val="left"/>
            </w:pPr>
            <w:r/>
            <w:r>
              <w:rPr>
                <w:rFonts w:ascii="Times New Roman" w:hAnsi="Times New Roman" w:eastAsia="宋体"/>
                <w:b w:val="0"/>
                <w:i w:val="0"/>
                <w:sz w:val="16"/>
              </w:rPr>
              <w:t>风险偏好不对称性</w:t>
            </w:r>
          </w:p>
        </w:tc>
        <w:tc>
          <w:tcPr>
            <w:tcW w:type="dxa" w:w="737"/>
          </w:tcPr>
          <w:p>
            <w:pPr>
              <w:spacing w:before="20" w:after="20" w:line="259" w:lineRule="auto"/>
              <w:ind w:firstLine="0"/>
              <w:jc w:val="center"/>
            </w:pPr>
            <w:r/>
            <w:r>
              <w:rPr>
                <w:rFonts w:ascii="Times New Roman" w:hAnsi="Times New Roman" w:eastAsia="宋体"/>
                <w:b w:val="0"/>
                <w:i w:val="0"/>
                <w:sz w:val="16"/>
              </w:rPr>
              <w:t>386</w:t>
            </w:r>
          </w:p>
        </w:tc>
        <w:tc>
          <w:tcPr>
            <w:tcW w:type="dxa" w:w="1077"/>
          </w:tcPr>
          <w:p>
            <w:pPr>
              <w:spacing w:before="20" w:after="20" w:line="259" w:lineRule="auto"/>
              <w:ind w:firstLine="0"/>
              <w:jc w:val="center"/>
            </w:pPr>
            <w:r/>
            <w:r>
              <w:rPr>
                <w:rFonts w:ascii="Times New Roman" w:hAnsi="Times New Roman" w:eastAsia="宋体"/>
                <w:b w:val="0"/>
                <w:i w:val="0"/>
                <w:sz w:val="16"/>
              </w:rPr>
              <w:t>0.0445</w:t>
            </w:r>
          </w:p>
        </w:tc>
        <w:tc>
          <w:tcPr>
            <w:tcW w:type="dxa" w:w="1077"/>
          </w:tcPr>
          <w:p>
            <w:pPr>
              <w:spacing w:before="20" w:after="20" w:line="259" w:lineRule="auto"/>
              <w:ind w:firstLine="0"/>
              <w:jc w:val="center"/>
            </w:pPr>
            <w:r/>
            <w:r>
              <w:rPr>
                <w:rFonts w:ascii="Times New Roman" w:hAnsi="Times New Roman" w:eastAsia="宋体"/>
                <w:b w:val="0"/>
                <w:i w:val="0"/>
                <w:sz w:val="16"/>
              </w:rPr>
              <w:t>0.0507</w:t>
            </w:r>
          </w:p>
        </w:tc>
        <w:tc>
          <w:tcPr>
            <w:tcW w:type="dxa" w:w="964"/>
          </w:tcPr>
          <w:p>
            <w:pPr>
              <w:spacing w:before="20" w:after="20" w:line="259" w:lineRule="auto"/>
              <w:ind w:firstLine="0"/>
              <w:jc w:val="center"/>
            </w:pPr>
            <w:r/>
            <w:r>
              <w:rPr>
                <w:rFonts w:ascii="Times New Roman" w:hAnsi="Times New Roman" w:eastAsia="宋体"/>
                <w:b w:val="0"/>
                <w:i w:val="0"/>
                <w:sz w:val="16"/>
              </w:rPr>
              <w:t>-0.02</w:t>
            </w:r>
          </w:p>
        </w:tc>
        <w:tc>
          <w:tcPr>
            <w:tcW w:type="dxa" w:w="964"/>
          </w:tcPr>
          <w:p>
            <w:pPr>
              <w:spacing w:before="20" w:after="20" w:line="259" w:lineRule="auto"/>
              <w:ind w:firstLine="0"/>
              <w:jc w:val="center"/>
            </w:pPr>
            <w:r/>
            <w:r>
              <w:rPr>
                <w:rFonts w:ascii="Times New Roman" w:hAnsi="Times New Roman" w:eastAsia="宋体"/>
                <w:b w:val="0"/>
                <w:i w:val="0"/>
                <w:sz w:val="16"/>
              </w:rPr>
              <w:t>0.28</w:t>
            </w:r>
          </w:p>
        </w:tc>
        <w:tc>
          <w:tcPr>
            <w:tcW w:type="dxa" w:w="907"/>
          </w:tcPr>
          <w:p>
            <w:pPr>
              <w:spacing w:before="20" w:after="20" w:line="259" w:lineRule="auto"/>
              <w:ind w:firstLine="0"/>
              <w:jc w:val="center"/>
            </w:pPr>
            <w:r/>
            <w:r>
              <w:rPr>
                <w:rFonts w:ascii="Times New Roman" w:hAnsi="Times New Roman" w:eastAsia="宋体"/>
                <w:b w:val="0"/>
                <w:i w:val="0"/>
                <w:sz w:val="16"/>
              </w:rPr>
              <w:t>96.5%</w:t>
            </w:r>
          </w:p>
        </w:tc>
      </w:tr>
      <w:tr>
        <w:tc>
          <w:tcPr>
            <w:tcW w:type="dxa" w:w="1474"/>
          </w:tcPr>
          <w:p>
            <w:pPr>
              <w:spacing w:before="20" w:after="20" w:line="259" w:lineRule="auto"/>
              <w:ind w:firstLine="0"/>
              <w:jc w:val="left"/>
            </w:pPr>
            <w:r/>
            <w:r>
              <w:rPr>
                <w:rFonts w:ascii="Times New Roman" w:hAnsi="Times New Roman" w:eastAsia="宋体"/>
                <w:b w:val="0"/>
                <w:i w:val="0"/>
                <w:sz w:val="16"/>
              </w:rPr>
              <w:t>de</w:t>
            </w:r>
          </w:p>
        </w:tc>
        <w:tc>
          <w:tcPr>
            <w:tcW w:type="dxa" w:w="1928"/>
          </w:tcPr>
          <w:p>
            <w:pPr>
              <w:spacing w:before="20" w:after="20" w:line="259" w:lineRule="auto"/>
              <w:ind w:firstLine="0"/>
              <w:jc w:val="left"/>
            </w:pPr>
            <w:r/>
            <w:r>
              <w:rPr>
                <w:rFonts w:ascii="Times New Roman" w:hAnsi="Times New Roman" w:eastAsia="宋体"/>
                <w:b w:val="0"/>
                <w:i w:val="0"/>
                <w:sz w:val="16"/>
              </w:rPr>
              <w:t>处置效应</w:t>
            </w:r>
          </w:p>
        </w:tc>
        <w:tc>
          <w:tcPr>
            <w:tcW w:type="dxa" w:w="737"/>
          </w:tcPr>
          <w:p>
            <w:pPr>
              <w:spacing w:before="20" w:after="20" w:line="259" w:lineRule="auto"/>
              <w:ind w:firstLine="0"/>
              <w:jc w:val="center"/>
            </w:pPr>
            <w:r/>
            <w:r>
              <w:rPr>
                <w:rFonts w:ascii="Times New Roman" w:hAnsi="Times New Roman" w:eastAsia="宋体"/>
                <w:b w:val="0"/>
                <w:i w:val="0"/>
                <w:sz w:val="16"/>
              </w:rPr>
              <w:t>399</w:t>
            </w:r>
          </w:p>
        </w:tc>
        <w:tc>
          <w:tcPr>
            <w:tcW w:type="dxa" w:w="1077"/>
          </w:tcPr>
          <w:p>
            <w:pPr>
              <w:spacing w:before="20" w:after="20" w:line="259" w:lineRule="auto"/>
              <w:ind w:firstLine="0"/>
              <w:jc w:val="center"/>
            </w:pPr>
            <w:r/>
            <w:r>
              <w:rPr>
                <w:rFonts w:ascii="Times New Roman" w:hAnsi="Times New Roman" w:eastAsia="宋体"/>
                <w:b w:val="0"/>
                <w:i w:val="0"/>
                <w:sz w:val="16"/>
              </w:rPr>
              <w:t>-0.1333</w:t>
            </w:r>
          </w:p>
        </w:tc>
        <w:tc>
          <w:tcPr>
            <w:tcW w:type="dxa" w:w="1077"/>
          </w:tcPr>
          <w:p>
            <w:pPr>
              <w:spacing w:before="20" w:after="20" w:line="259" w:lineRule="auto"/>
              <w:ind w:firstLine="0"/>
              <w:jc w:val="center"/>
            </w:pPr>
            <w:r/>
            <w:r>
              <w:rPr>
                <w:rFonts w:ascii="Times New Roman" w:hAnsi="Times New Roman" w:eastAsia="宋体"/>
                <w:b w:val="0"/>
                <w:i w:val="0"/>
                <w:sz w:val="16"/>
              </w:rPr>
              <w:t>0.0720</w:t>
            </w:r>
          </w:p>
        </w:tc>
        <w:tc>
          <w:tcPr>
            <w:tcW w:type="dxa" w:w="964"/>
          </w:tcPr>
          <w:p>
            <w:pPr>
              <w:spacing w:before="20" w:after="20" w:line="259" w:lineRule="auto"/>
              <w:ind w:firstLine="0"/>
              <w:jc w:val="center"/>
            </w:pPr>
            <w:r/>
            <w:r>
              <w:rPr>
                <w:rFonts w:ascii="Times New Roman" w:hAnsi="Times New Roman" w:eastAsia="宋体"/>
                <w:b w:val="0"/>
                <w:i w:val="0"/>
                <w:sz w:val="16"/>
              </w:rPr>
              <w:t>-0.34</w:t>
            </w:r>
          </w:p>
        </w:tc>
        <w:tc>
          <w:tcPr>
            <w:tcW w:type="dxa" w:w="964"/>
          </w:tcPr>
          <w:p>
            <w:pPr>
              <w:spacing w:before="20" w:after="20" w:line="259" w:lineRule="auto"/>
              <w:ind w:firstLine="0"/>
              <w:jc w:val="center"/>
            </w:pPr>
            <w:r/>
            <w:r>
              <w:rPr>
                <w:rFonts w:ascii="Times New Roman" w:hAnsi="Times New Roman" w:eastAsia="宋体"/>
                <w:b w:val="0"/>
                <w:i w:val="0"/>
                <w:sz w:val="16"/>
              </w:rPr>
              <w:t>0.03</w:t>
            </w:r>
          </w:p>
        </w:tc>
        <w:tc>
          <w:tcPr>
            <w:tcW w:type="dxa" w:w="907"/>
          </w:tcPr>
          <w:p>
            <w:pPr>
              <w:spacing w:before="20" w:after="20" w:line="259" w:lineRule="auto"/>
              <w:ind w:firstLine="0"/>
              <w:jc w:val="center"/>
            </w:pPr>
            <w:r/>
            <w:r>
              <w:rPr>
                <w:rFonts w:ascii="Times New Roman" w:hAnsi="Times New Roman" w:eastAsia="宋体"/>
                <w:b w:val="0"/>
                <w:i w:val="0"/>
                <w:sz w:val="16"/>
              </w:rPr>
              <w:t>99.8%</w:t>
            </w:r>
          </w:p>
        </w:tc>
      </w:tr>
      <w:tr>
        <w:tc>
          <w:tcPr>
            <w:tcW w:type="dxa" w:w="1474"/>
          </w:tcPr>
          <w:p>
            <w:pPr>
              <w:spacing w:before="20" w:after="20" w:line="259" w:lineRule="auto"/>
              <w:ind w:firstLine="0"/>
              <w:jc w:val="left"/>
            </w:pPr>
            <w:r/>
            <w:r>
              <w:rPr>
                <w:rFonts w:ascii="Times New Roman" w:hAnsi="Times New Roman" w:eastAsia="宋体"/>
                <w:b w:val="0"/>
                <w:i w:val="0"/>
                <w:sz w:val="16"/>
              </w:rPr>
              <w:t>oc_conf</w:t>
            </w:r>
          </w:p>
        </w:tc>
        <w:tc>
          <w:tcPr>
            <w:tcW w:type="dxa" w:w="1928"/>
          </w:tcPr>
          <w:p>
            <w:pPr>
              <w:spacing w:before="20" w:after="20" w:line="259" w:lineRule="auto"/>
              <w:ind w:firstLine="0"/>
              <w:jc w:val="left"/>
            </w:pPr>
            <w:r/>
            <w:r>
              <w:rPr>
                <w:rFonts w:ascii="Times New Roman" w:hAnsi="Times New Roman" w:eastAsia="宋体"/>
                <w:b w:val="0"/>
                <w:i w:val="0"/>
                <w:sz w:val="16"/>
              </w:rPr>
              <w:t>过度自信（换手×过度交易）</w:t>
            </w:r>
          </w:p>
        </w:tc>
        <w:tc>
          <w:tcPr>
            <w:tcW w:type="dxa" w:w="737"/>
          </w:tcPr>
          <w:p>
            <w:pPr>
              <w:spacing w:before="20" w:after="20" w:line="259" w:lineRule="auto"/>
              <w:ind w:firstLine="0"/>
              <w:jc w:val="center"/>
            </w:pPr>
            <w:r/>
            <w:r>
              <w:rPr>
                <w:rFonts w:ascii="Times New Roman" w:hAnsi="Times New Roman" w:eastAsia="宋体"/>
                <w:b w:val="0"/>
                <w:i w:val="0"/>
                <w:sz w:val="16"/>
              </w:rPr>
              <w:t>394</w:t>
            </w:r>
          </w:p>
        </w:tc>
        <w:tc>
          <w:tcPr>
            <w:tcW w:type="dxa" w:w="1077"/>
          </w:tcPr>
          <w:p>
            <w:pPr>
              <w:spacing w:before="20" w:after="20" w:line="259" w:lineRule="auto"/>
              <w:ind w:firstLine="0"/>
              <w:jc w:val="center"/>
            </w:pPr>
            <w:r/>
            <w:r>
              <w:rPr>
                <w:rFonts w:ascii="Times New Roman" w:hAnsi="Times New Roman" w:eastAsia="宋体"/>
                <w:b w:val="0"/>
                <w:i w:val="0"/>
                <w:sz w:val="16"/>
              </w:rPr>
              <w:t>-2.1264</w:t>
            </w:r>
          </w:p>
        </w:tc>
        <w:tc>
          <w:tcPr>
            <w:tcW w:type="dxa" w:w="1077"/>
          </w:tcPr>
          <w:p>
            <w:pPr>
              <w:spacing w:before="20" w:after="20" w:line="259" w:lineRule="auto"/>
              <w:ind w:firstLine="0"/>
              <w:jc w:val="center"/>
            </w:pPr>
            <w:r/>
            <w:r>
              <w:rPr>
                <w:rFonts w:ascii="Times New Roman" w:hAnsi="Times New Roman" w:eastAsia="宋体"/>
                <w:b w:val="0"/>
                <w:i w:val="0"/>
                <w:sz w:val="16"/>
              </w:rPr>
              <w:t>14.8282</w:t>
            </w:r>
          </w:p>
        </w:tc>
        <w:tc>
          <w:tcPr>
            <w:tcW w:type="dxa" w:w="964"/>
          </w:tcPr>
          <w:p>
            <w:pPr>
              <w:spacing w:before="20" w:after="20" w:line="259" w:lineRule="auto"/>
              <w:ind w:firstLine="0"/>
              <w:jc w:val="center"/>
            </w:pPr>
            <w:r/>
            <w:r>
              <w:rPr>
                <w:rFonts w:ascii="Times New Roman" w:hAnsi="Times New Roman" w:eastAsia="宋体"/>
                <w:b w:val="0"/>
                <w:i w:val="0"/>
                <w:sz w:val="16"/>
              </w:rPr>
              <w:t>-71.95</w:t>
            </w:r>
          </w:p>
        </w:tc>
        <w:tc>
          <w:tcPr>
            <w:tcW w:type="dxa" w:w="964"/>
          </w:tcPr>
          <w:p>
            <w:pPr>
              <w:spacing w:before="20" w:after="20" w:line="259" w:lineRule="auto"/>
              <w:ind w:firstLine="0"/>
              <w:jc w:val="center"/>
            </w:pPr>
            <w:r/>
            <w:r>
              <w:rPr>
                <w:rFonts w:ascii="Times New Roman" w:hAnsi="Times New Roman" w:eastAsia="宋体"/>
                <w:b w:val="0"/>
                <w:i w:val="0"/>
                <w:sz w:val="16"/>
              </w:rPr>
              <w:t>47.44</w:t>
            </w:r>
          </w:p>
        </w:tc>
        <w:tc>
          <w:tcPr>
            <w:tcW w:type="dxa" w:w="907"/>
          </w:tcPr>
          <w:p>
            <w:pPr>
              <w:spacing w:before="20" w:after="20" w:line="259" w:lineRule="auto"/>
              <w:ind w:firstLine="0"/>
              <w:jc w:val="center"/>
            </w:pPr>
            <w:r/>
            <w:r>
              <w:rPr>
                <w:rFonts w:ascii="Times New Roman" w:hAnsi="Times New Roman" w:eastAsia="宋体"/>
                <w:b w:val="0"/>
                <w:i w:val="0"/>
                <w:sz w:val="16"/>
              </w:rPr>
              <w:t>98.5%</w:t>
            </w:r>
          </w:p>
        </w:tc>
      </w:tr>
      <w:tr>
        <w:tc>
          <w:tcPr>
            <w:tcW w:type="dxa" w:w="1474"/>
          </w:tcPr>
          <w:p>
            <w:pPr>
              <w:spacing w:before="20" w:after="20" w:line="259" w:lineRule="auto"/>
              <w:ind w:firstLine="0"/>
              <w:jc w:val="left"/>
            </w:pPr>
            <w:r/>
            <w:r>
              <w:rPr>
                <w:rFonts w:ascii="Times New Roman" w:hAnsi="Times New Roman" w:eastAsia="宋体"/>
                <w:b w:val="0"/>
                <w:i w:val="0"/>
                <w:sz w:val="16"/>
              </w:rPr>
              <w:t>ICI</w:t>
            </w:r>
          </w:p>
        </w:tc>
        <w:tc>
          <w:tcPr>
            <w:tcW w:type="dxa" w:w="1928"/>
          </w:tcPr>
          <w:p>
            <w:pPr>
              <w:spacing w:before="20" w:after="20" w:line="259" w:lineRule="auto"/>
              <w:ind w:firstLine="0"/>
              <w:jc w:val="left"/>
            </w:pPr>
            <w:r/>
            <w:r>
              <w:rPr>
                <w:rFonts w:ascii="Times New Roman" w:hAnsi="Times New Roman" w:eastAsia="宋体"/>
                <w:b w:val="0"/>
                <w:i w:val="0"/>
                <w:sz w:val="16"/>
              </w:rPr>
              <w:t>行业集中度</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0.2897</w:t>
            </w:r>
          </w:p>
        </w:tc>
        <w:tc>
          <w:tcPr>
            <w:tcW w:type="dxa" w:w="1077"/>
          </w:tcPr>
          <w:p>
            <w:pPr>
              <w:spacing w:before="20" w:after="20" w:line="259" w:lineRule="auto"/>
              <w:ind w:firstLine="0"/>
              <w:jc w:val="center"/>
            </w:pPr>
            <w:r/>
            <w:r>
              <w:rPr>
                <w:rFonts w:ascii="Times New Roman" w:hAnsi="Times New Roman" w:eastAsia="宋体"/>
                <w:b w:val="0"/>
                <w:i w:val="0"/>
                <w:sz w:val="16"/>
              </w:rPr>
              <w:t>0.1570</w:t>
            </w:r>
          </w:p>
        </w:tc>
        <w:tc>
          <w:tcPr>
            <w:tcW w:type="dxa" w:w="964"/>
          </w:tcPr>
          <w:p>
            <w:pPr>
              <w:spacing w:before="20" w:after="20" w:line="259" w:lineRule="auto"/>
              <w:ind w:firstLine="0"/>
              <w:jc w:val="center"/>
            </w:pPr>
            <w:r/>
            <w:r>
              <w:rPr>
                <w:rFonts w:ascii="Times New Roman" w:hAnsi="Times New Roman" w:eastAsia="宋体"/>
                <w:b w:val="0"/>
                <w:i w:val="0"/>
                <w:sz w:val="16"/>
              </w:rPr>
              <w:t>0.10</w:t>
            </w:r>
          </w:p>
        </w:tc>
        <w:tc>
          <w:tcPr>
            <w:tcW w:type="dxa" w:w="964"/>
          </w:tcPr>
          <w:p>
            <w:pPr>
              <w:spacing w:before="20" w:after="20" w:line="259" w:lineRule="auto"/>
              <w:ind w:firstLine="0"/>
              <w:jc w:val="center"/>
            </w:pPr>
            <w:r/>
            <w:r>
              <w:rPr>
                <w:rFonts w:ascii="Times New Roman" w:hAnsi="Times New Roman" w:eastAsia="宋体"/>
                <w:b w:val="0"/>
                <w:i w:val="0"/>
                <w:sz w:val="16"/>
              </w:rPr>
              <w:t>0.86</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ISDI</w:t>
            </w:r>
          </w:p>
        </w:tc>
        <w:tc>
          <w:tcPr>
            <w:tcW w:type="dxa" w:w="1928"/>
          </w:tcPr>
          <w:p>
            <w:pPr>
              <w:spacing w:before="20" w:after="20" w:line="259" w:lineRule="auto"/>
              <w:ind w:firstLine="0"/>
              <w:jc w:val="left"/>
            </w:pPr>
            <w:r/>
            <w:r>
              <w:rPr>
                <w:rFonts w:ascii="Times New Roman" w:hAnsi="Times New Roman" w:eastAsia="宋体"/>
                <w:b w:val="0"/>
                <w:i w:val="0"/>
                <w:sz w:val="16"/>
              </w:rPr>
              <w:t>行业风格漂移指数</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0.2395</w:t>
            </w:r>
          </w:p>
        </w:tc>
        <w:tc>
          <w:tcPr>
            <w:tcW w:type="dxa" w:w="1077"/>
          </w:tcPr>
          <w:p>
            <w:pPr>
              <w:spacing w:before="20" w:after="20" w:line="259" w:lineRule="auto"/>
              <w:ind w:firstLine="0"/>
              <w:jc w:val="center"/>
            </w:pPr>
            <w:r/>
            <w:r>
              <w:rPr>
                <w:rFonts w:ascii="Times New Roman" w:hAnsi="Times New Roman" w:eastAsia="宋体"/>
                <w:b w:val="0"/>
                <w:i w:val="0"/>
                <w:sz w:val="16"/>
              </w:rPr>
              <w:t>0.1272</w:t>
            </w:r>
          </w:p>
        </w:tc>
        <w:tc>
          <w:tcPr>
            <w:tcW w:type="dxa" w:w="964"/>
          </w:tcPr>
          <w:p>
            <w:pPr>
              <w:spacing w:before="20" w:after="20" w:line="259" w:lineRule="auto"/>
              <w:ind w:firstLine="0"/>
              <w:jc w:val="center"/>
            </w:pPr>
            <w:r/>
            <w:r>
              <w:rPr>
                <w:rFonts w:ascii="Times New Roman" w:hAnsi="Times New Roman" w:eastAsia="宋体"/>
                <w:b w:val="0"/>
                <w:i w:val="0"/>
                <w:sz w:val="16"/>
              </w:rPr>
              <w:t>1.00e-04</w:t>
            </w:r>
          </w:p>
        </w:tc>
        <w:tc>
          <w:tcPr>
            <w:tcW w:type="dxa" w:w="964"/>
          </w:tcPr>
          <w:p>
            <w:pPr>
              <w:spacing w:before="20" w:after="20" w:line="259" w:lineRule="auto"/>
              <w:ind w:firstLine="0"/>
              <w:jc w:val="center"/>
            </w:pPr>
            <w:r/>
            <w:r>
              <w:rPr>
                <w:rFonts w:ascii="Times New Roman" w:hAnsi="Times New Roman" w:eastAsia="宋体"/>
                <w:b w:val="0"/>
                <w:i w:val="0"/>
                <w:sz w:val="16"/>
              </w:rPr>
              <w:t>0.52</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ARG</w:t>
            </w:r>
          </w:p>
        </w:tc>
        <w:tc>
          <w:tcPr>
            <w:tcW w:type="dxa" w:w="1928"/>
          </w:tcPr>
          <w:p>
            <w:pPr>
              <w:spacing w:before="20" w:after="20" w:line="259" w:lineRule="auto"/>
              <w:ind w:firstLine="0"/>
              <w:jc w:val="left"/>
            </w:pPr>
            <w:r/>
            <w:r>
              <w:rPr>
                <w:rFonts w:ascii="Times New Roman" w:hAnsi="Times New Roman" w:eastAsia="宋体"/>
                <w:b w:val="0"/>
                <w:i w:val="0"/>
                <w:sz w:val="16"/>
              </w:rPr>
              <w:t>调仓幅度</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0.1647</w:t>
            </w:r>
          </w:p>
        </w:tc>
        <w:tc>
          <w:tcPr>
            <w:tcW w:type="dxa" w:w="1077"/>
          </w:tcPr>
          <w:p>
            <w:pPr>
              <w:spacing w:before="20" w:after="20" w:line="259" w:lineRule="auto"/>
              <w:ind w:firstLine="0"/>
              <w:jc w:val="center"/>
            </w:pPr>
            <w:r/>
            <w:r>
              <w:rPr>
                <w:rFonts w:ascii="Times New Roman" w:hAnsi="Times New Roman" w:eastAsia="宋体"/>
                <w:b w:val="0"/>
                <w:i w:val="0"/>
                <w:sz w:val="16"/>
              </w:rPr>
              <w:t>0.1115</w:t>
            </w:r>
          </w:p>
        </w:tc>
        <w:tc>
          <w:tcPr>
            <w:tcW w:type="dxa" w:w="964"/>
          </w:tcPr>
          <w:p>
            <w:pPr>
              <w:spacing w:before="20" w:after="20" w:line="259" w:lineRule="auto"/>
              <w:ind w:firstLine="0"/>
              <w:jc w:val="center"/>
            </w:pPr>
            <w:r/>
            <w:r>
              <w:rPr>
                <w:rFonts w:ascii="Times New Roman" w:hAnsi="Times New Roman" w:eastAsia="宋体"/>
                <w:b w:val="0"/>
                <w:i w:val="0"/>
                <w:sz w:val="16"/>
              </w:rPr>
              <w:t>0.03</w:t>
            </w:r>
          </w:p>
        </w:tc>
        <w:tc>
          <w:tcPr>
            <w:tcW w:type="dxa" w:w="964"/>
          </w:tcPr>
          <w:p>
            <w:pPr>
              <w:spacing w:before="20" w:after="20" w:line="259" w:lineRule="auto"/>
              <w:ind w:firstLine="0"/>
              <w:jc w:val="center"/>
            </w:pPr>
            <w:r/>
            <w:r>
              <w:rPr>
                <w:rFonts w:ascii="Times New Roman" w:hAnsi="Times New Roman" w:eastAsia="宋体"/>
                <w:b w:val="0"/>
                <w:i w:val="0"/>
                <w:sz w:val="16"/>
              </w:rPr>
              <w:t>0.44</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timing</w:t>
            </w:r>
          </w:p>
        </w:tc>
        <w:tc>
          <w:tcPr>
            <w:tcW w:type="dxa" w:w="1928"/>
          </w:tcPr>
          <w:p>
            <w:pPr>
              <w:spacing w:before="20" w:after="20" w:line="259" w:lineRule="auto"/>
              <w:ind w:firstLine="0"/>
              <w:jc w:val="left"/>
            </w:pPr>
            <w:r/>
            <w:r>
              <w:rPr>
                <w:rFonts w:ascii="Times New Roman" w:hAnsi="Times New Roman" w:eastAsia="宋体"/>
                <w:b w:val="0"/>
                <w:i w:val="0"/>
                <w:sz w:val="16"/>
              </w:rPr>
              <w:t>下行保护系数（−HM γ）</w:t>
            </w:r>
          </w:p>
        </w:tc>
        <w:tc>
          <w:tcPr>
            <w:tcW w:type="dxa" w:w="737"/>
          </w:tcPr>
          <w:p>
            <w:pPr>
              <w:spacing w:before="20" w:after="20" w:line="259" w:lineRule="auto"/>
              <w:ind w:firstLine="0"/>
              <w:jc w:val="center"/>
            </w:pPr>
            <w:r/>
            <w:r>
              <w:rPr>
                <w:rFonts w:ascii="Times New Roman" w:hAnsi="Times New Roman" w:eastAsia="宋体"/>
                <w:b w:val="0"/>
                <w:i w:val="0"/>
                <w:sz w:val="16"/>
              </w:rPr>
              <w:t>355</w:t>
            </w:r>
          </w:p>
        </w:tc>
        <w:tc>
          <w:tcPr>
            <w:tcW w:type="dxa" w:w="1077"/>
          </w:tcPr>
          <w:p>
            <w:pPr>
              <w:spacing w:before="20" w:after="20" w:line="259" w:lineRule="auto"/>
              <w:ind w:firstLine="0"/>
              <w:jc w:val="center"/>
            </w:pPr>
            <w:r/>
            <w:r>
              <w:rPr>
                <w:rFonts w:ascii="Times New Roman" w:hAnsi="Times New Roman" w:eastAsia="宋体"/>
                <w:b w:val="0"/>
                <w:i w:val="0"/>
                <w:sz w:val="16"/>
              </w:rPr>
              <w:t>0.9135</w:t>
            </w:r>
          </w:p>
        </w:tc>
        <w:tc>
          <w:tcPr>
            <w:tcW w:type="dxa" w:w="1077"/>
          </w:tcPr>
          <w:p>
            <w:pPr>
              <w:spacing w:before="20" w:after="20" w:line="259" w:lineRule="auto"/>
              <w:ind w:firstLine="0"/>
              <w:jc w:val="center"/>
            </w:pPr>
            <w:r/>
            <w:r>
              <w:rPr>
                <w:rFonts w:ascii="Times New Roman" w:hAnsi="Times New Roman" w:eastAsia="宋体"/>
                <w:b w:val="0"/>
                <w:i w:val="0"/>
                <w:sz w:val="16"/>
              </w:rPr>
              <w:t>0.7448</w:t>
            </w:r>
          </w:p>
        </w:tc>
        <w:tc>
          <w:tcPr>
            <w:tcW w:type="dxa" w:w="964"/>
          </w:tcPr>
          <w:p>
            <w:pPr>
              <w:spacing w:before="20" w:after="20" w:line="259" w:lineRule="auto"/>
              <w:ind w:firstLine="0"/>
              <w:jc w:val="center"/>
            </w:pPr>
            <w:r/>
            <w:r>
              <w:rPr>
                <w:rFonts w:ascii="Times New Roman" w:hAnsi="Times New Roman" w:eastAsia="宋体"/>
                <w:b w:val="0"/>
                <w:i w:val="0"/>
                <w:sz w:val="16"/>
              </w:rPr>
              <w:t>-1.83</w:t>
            </w:r>
          </w:p>
        </w:tc>
        <w:tc>
          <w:tcPr>
            <w:tcW w:type="dxa" w:w="964"/>
          </w:tcPr>
          <w:p>
            <w:pPr>
              <w:spacing w:before="20" w:after="20" w:line="259" w:lineRule="auto"/>
              <w:ind w:firstLine="0"/>
              <w:jc w:val="center"/>
            </w:pPr>
            <w:r/>
            <w:r>
              <w:rPr>
                <w:rFonts w:ascii="Times New Roman" w:hAnsi="Times New Roman" w:eastAsia="宋体"/>
                <w:b w:val="0"/>
                <w:i w:val="0"/>
                <w:sz w:val="16"/>
              </w:rPr>
              <w:t>2.56</w:t>
            </w:r>
          </w:p>
        </w:tc>
        <w:tc>
          <w:tcPr>
            <w:tcW w:type="dxa" w:w="907"/>
          </w:tcPr>
          <w:p>
            <w:pPr>
              <w:spacing w:before="20" w:after="20" w:line="259" w:lineRule="auto"/>
              <w:ind w:firstLine="0"/>
              <w:jc w:val="center"/>
            </w:pPr>
            <w:r/>
            <w:r>
              <w:rPr>
                <w:rFonts w:ascii="Times New Roman" w:hAnsi="Times New Roman" w:eastAsia="宋体"/>
                <w:b w:val="0"/>
                <w:i w:val="0"/>
                <w:sz w:val="16"/>
              </w:rPr>
              <w:t>88.8%</w:t>
            </w:r>
          </w:p>
        </w:tc>
      </w:tr>
      <w:tr>
        <w:tc>
          <w:tcPr>
            <w:tcW w:type="dxa" w:w="1474"/>
          </w:tcPr>
          <w:p>
            <w:pPr>
              <w:spacing w:before="20" w:after="20" w:line="259" w:lineRule="auto"/>
              <w:ind w:firstLine="0"/>
              <w:jc w:val="left"/>
            </w:pPr>
            <w:r/>
            <w:r>
              <w:rPr>
                <w:rFonts w:ascii="Times New Roman" w:hAnsi="Times New Roman" w:eastAsia="宋体"/>
                <w:b w:val="0"/>
                <w:i w:val="0"/>
                <w:sz w:val="16"/>
              </w:rPr>
              <w:t>mppm8_lag</w:t>
            </w:r>
          </w:p>
        </w:tc>
        <w:tc>
          <w:tcPr>
            <w:tcW w:type="dxa" w:w="1928"/>
          </w:tcPr>
          <w:p>
            <w:pPr>
              <w:spacing w:before="20" w:after="20" w:line="259" w:lineRule="auto"/>
              <w:ind w:firstLine="0"/>
              <w:jc w:val="left"/>
            </w:pPr>
            <w:r/>
            <w:r>
              <w:rPr>
                <w:rFonts w:ascii="Times New Roman" w:hAnsi="Times New Roman" w:eastAsia="宋体"/>
                <w:b w:val="0"/>
                <w:i w:val="0"/>
                <w:sz w:val="16"/>
              </w:rPr>
              <w:t>操纵稳健业绩测度MPPM</w:t>
            </w:r>
          </w:p>
        </w:tc>
        <w:tc>
          <w:tcPr>
            <w:tcW w:type="dxa" w:w="737"/>
          </w:tcPr>
          <w:p>
            <w:pPr>
              <w:spacing w:before="20" w:after="20" w:line="259" w:lineRule="auto"/>
              <w:ind w:firstLine="0"/>
              <w:jc w:val="center"/>
            </w:pPr>
            <w:r/>
            <w:r>
              <w:rPr>
                <w:rFonts w:ascii="Times New Roman" w:hAnsi="Times New Roman" w:eastAsia="宋体"/>
                <w:b w:val="0"/>
                <w:i w:val="0"/>
                <w:sz w:val="16"/>
              </w:rPr>
              <w:t>394</w:t>
            </w:r>
          </w:p>
        </w:tc>
        <w:tc>
          <w:tcPr>
            <w:tcW w:type="dxa" w:w="1077"/>
          </w:tcPr>
          <w:p>
            <w:pPr>
              <w:spacing w:before="20" w:after="20" w:line="259" w:lineRule="auto"/>
              <w:ind w:firstLine="0"/>
              <w:jc w:val="center"/>
            </w:pPr>
            <w:r/>
            <w:r>
              <w:rPr>
                <w:rFonts w:ascii="Times New Roman" w:hAnsi="Times New Roman" w:eastAsia="宋体"/>
                <w:b w:val="0"/>
                <w:i w:val="0"/>
                <w:sz w:val="16"/>
              </w:rPr>
              <w:t>0.0249</w:t>
            </w:r>
          </w:p>
        </w:tc>
        <w:tc>
          <w:tcPr>
            <w:tcW w:type="dxa" w:w="1077"/>
          </w:tcPr>
          <w:p>
            <w:pPr>
              <w:spacing w:before="20" w:after="20" w:line="259" w:lineRule="auto"/>
              <w:ind w:firstLine="0"/>
              <w:jc w:val="center"/>
            </w:pPr>
            <w:r/>
            <w:r>
              <w:rPr>
                <w:rFonts w:ascii="Times New Roman" w:hAnsi="Times New Roman" w:eastAsia="宋体"/>
                <w:b w:val="0"/>
                <w:i w:val="0"/>
                <w:sz w:val="16"/>
              </w:rPr>
              <w:t>0.0963</w:t>
            </w:r>
          </w:p>
        </w:tc>
        <w:tc>
          <w:tcPr>
            <w:tcW w:type="dxa" w:w="964"/>
          </w:tcPr>
          <w:p>
            <w:pPr>
              <w:spacing w:before="20" w:after="20" w:line="259" w:lineRule="auto"/>
              <w:ind w:firstLine="0"/>
              <w:jc w:val="center"/>
            </w:pPr>
            <w:r/>
            <w:r>
              <w:rPr>
                <w:rFonts w:ascii="Times New Roman" w:hAnsi="Times New Roman" w:eastAsia="宋体"/>
                <w:b w:val="0"/>
                <w:i w:val="0"/>
                <w:sz w:val="16"/>
              </w:rPr>
              <w:t>-0.17</w:t>
            </w:r>
          </w:p>
        </w:tc>
        <w:tc>
          <w:tcPr>
            <w:tcW w:type="dxa" w:w="964"/>
          </w:tcPr>
          <w:p>
            <w:pPr>
              <w:spacing w:before="20" w:after="20" w:line="259" w:lineRule="auto"/>
              <w:ind w:firstLine="0"/>
              <w:jc w:val="center"/>
            </w:pPr>
            <w:r/>
            <w:r>
              <w:rPr>
                <w:rFonts w:ascii="Times New Roman" w:hAnsi="Times New Roman" w:eastAsia="宋体"/>
                <w:b w:val="0"/>
                <w:i w:val="0"/>
                <w:sz w:val="16"/>
              </w:rPr>
              <w:t>0.46</w:t>
            </w:r>
          </w:p>
        </w:tc>
        <w:tc>
          <w:tcPr>
            <w:tcW w:type="dxa" w:w="907"/>
          </w:tcPr>
          <w:p>
            <w:pPr>
              <w:spacing w:before="20" w:after="20" w:line="259" w:lineRule="auto"/>
              <w:ind w:firstLine="0"/>
              <w:jc w:val="center"/>
            </w:pPr>
            <w:r/>
            <w:r>
              <w:rPr>
                <w:rFonts w:ascii="Times New Roman" w:hAnsi="Times New Roman" w:eastAsia="宋体"/>
                <w:b w:val="0"/>
                <w:i w:val="0"/>
                <w:sz w:val="16"/>
              </w:rPr>
              <w:t>98.5%</w:t>
            </w:r>
          </w:p>
        </w:tc>
      </w:tr>
      <w:tr>
        <w:tc>
          <w:tcPr>
            <w:tcW w:type="dxa" w:w="1474"/>
          </w:tcPr>
          <w:p>
            <w:pPr>
              <w:spacing w:before="20" w:after="20" w:line="259" w:lineRule="auto"/>
              <w:ind w:firstLine="0"/>
              <w:jc w:val="left"/>
            </w:pPr>
            <w:r/>
            <w:r>
              <w:rPr>
                <w:rFonts w:ascii="Times New Roman" w:hAnsi="Times New Roman" w:eastAsia="宋体"/>
                <w:b w:val="0"/>
                <w:i w:val="0"/>
                <w:sz w:val="16"/>
              </w:rPr>
              <w:t>sortino8_lag</w:t>
            </w:r>
          </w:p>
        </w:tc>
        <w:tc>
          <w:tcPr>
            <w:tcW w:type="dxa" w:w="1928"/>
          </w:tcPr>
          <w:p>
            <w:pPr>
              <w:spacing w:before="20" w:after="20" w:line="259" w:lineRule="auto"/>
              <w:ind w:firstLine="0"/>
              <w:jc w:val="left"/>
            </w:pPr>
            <w:r/>
            <w:r>
              <w:rPr>
                <w:rFonts w:ascii="Times New Roman" w:hAnsi="Times New Roman" w:eastAsia="宋体"/>
                <w:b w:val="0"/>
                <w:i w:val="0"/>
                <w:sz w:val="16"/>
              </w:rPr>
              <w:t>Sortino比率</w:t>
            </w:r>
          </w:p>
        </w:tc>
        <w:tc>
          <w:tcPr>
            <w:tcW w:type="dxa" w:w="737"/>
          </w:tcPr>
          <w:p>
            <w:pPr>
              <w:spacing w:before="20" w:after="20" w:line="259" w:lineRule="auto"/>
              <w:ind w:firstLine="0"/>
              <w:jc w:val="center"/>
            </w:pPr>
            <w:r/>
            <w:r>
              <w:rPr>
                <w:rFonts w:ascii="Times New Roman" w:hAnsi="Times New Roman" w:eastAsia="宋体"/>
                <w:b w:val="0"/>
                <w:i w:val="0"/>
                <w:sz w:val="16"/>
              </w:rPr>
              <w:t>371</w:t>
            </w:r>
          </w:p>
        </w:tc>
        <w:tc>
          <w:tcPr>
            <w:tcW w:type="dxa" w:w="1077"/>
          </w:tcPr>
          <w:p>
            <w:pPr>
              <w:spacing w:before="20" w:after="20" w:line="259" w:lineRule="auto"/>
              <w:ind w:firstLine="0"/>
              <w:jc w:val="center"/>
            </w:pPr>
            <w:r/>
            <w:r>
              <w:rPr>
                <w:rFonts w:ascii="Times New Roman" w:hAnsi="Times New Roman" w:eastAsia="宋体"/>
                <w:b w:val="0"/>
                <w:i w:val="0"/>
                <w:sz w:val="16"/>
              </w:rPr>
              <w:t>0.2323</w:t>
            </w:r>
          </w:p>
        </w:tc>
        <w:tc>
          <w:tcPr>
            <w:tcW w:type="dxa" w:w="1077"/>
          </w:tcPr>
          <w:p>
            <w:pPr>
              <w:spacing w:before="20" w:after="20" w:line="259" w:lineRule="auto"/>
              <w:ind w:firstLine="0"/>
              <w:jc w:val="center"/>
            </w:pPr>
            <w:r/>
            <w:r>
              <w:rPr>
                <w:rFonts w:ascii="Times New Roman" w:hAnsi="Times New Roman" w:eastAsia="宋体"/>
                <w:b w:val="0"/>
                <w:i w:val="0"/>
                <w:sz w:val="16"/>
              </w:rPr>
              <w:t>0.7044</w:t>
            </w:r>
          </w:p>
        </w:tc>
        <w:tc>
          <w:tcPr>
            <w:tcW w:type="dxa" w:w="964"/>
          </w:tcPr>
          <w:p>
            <w:pPr>
              <w:spacing w:before="20" w:after="20" w:line="259" w:lineRule="auto"/>
              <w:ind w:firstLine="0"/>
              <w:jc w:val="center"/>
            </w:pPr>
            <w:r/>
            <w:r>
              <w:rPr>
                <w:rFonts w:ascii="Times New Roman" w:hAnsi="Times New Roman" w:eastAsia="宋体"/>
                <w:b w:val="0"/>
                <w:i w:val="0"/>
                <w:sz w:val="16"/>
              </w:rPr>
              <w:t>-0.60</w:t>
            </w:r>
          </w:p>
        </w:tc>
        <w:tc>
          <w:tcPr>
            <w:tcW w:type="dxa" w:w="964"/>
          </w:tcPr>
          <w:p>
            <w:pPr>
              <w:spacing w:before="20" w:after="20" w:line="259" w:lineRule="auto"/>
              <w:ind w:firstLine="0"/>
              <w:jc w:val="center"/>
            </w:pPr>
            <w:r/>
            <w:r>
              <w:rPr>
                <w:rFonts w:ascii="Times New Roman" w:hAnsi="Times New Roman" w:eastAsia="宋体"/>
                <w:b w:val="0"/>
                <w:i w:val="0"/>
                <w:sz w:val="16"/>
              </w:rPr>
              <w:t>4.19</w:t>
            </w:r>
          </w:p>
        </w:tc>
        <w:tc>
          <w:tcPr>
            <w:tcW w:type="dxa" w:w="907"/>
          </w:tcPr>
          <w:p>
            <w:pPr>
              <w:spacing w:before="20" w:after="20" w:line="259" w:lineRule="auto"/>
              <w:ind w:firstLine="0"/>
              <w:jc w:val="center"/>
            </w:pPr>
            <w:r/>
            <w:r>
              <w:rPr>
                <w:rFonts w:ascii="Times New Roman" w:hAnsi="Times New Roman" w:eastAsia="宋体"/>
                <w:b w:val="0"/>
                <w:i w:val="0"/>
                <w:sz w:val="16"/>
              </w:rPr>
              <w:t>92.8%</w:t>
            </w:r>
          </w:p>
        </w:tc>
      </w:tr>
      <w:tr>
        <w:tc>
          <w:tcPr>
            <w:tcW w:type="dxa" w:w="1474"/>
          </w:tcPr>
          <w:p>
            <w:pPr>
              <w:spacing w:before="20" w:after="20" w:line="259" w:lineRule="auto"/>
              <w:ind w:firstLine="0"/>
              <w:jc w:val="left"/>
            </w:pPr>
            <w:r/>
            <w:r>
              <w:rPr>
                <w:rFonts w:ascii="Times New Roman" w:hAnsi="Times New Roman" w:eastAsia="宋体"/>
                <w:b w:val="0"/>
                <w:i w:val="0"/>
                <w:sz w:val="16"/>
              </w:rPr>
              <w:t>sharpe8_lag</w:t>
            </w:r>
          </w:p>
        </w:tc>
        <w:tc>
          <w:tcPr>
            <w:tcW w:type="dxa" w:w="1928"/>
          </w:tcPr>
          <w:p>
            <w:pPr>
              <w:spacing w:before="20" w:after="20" w:line="259" w:lineRule="auto"/>
              <w:ind w:firstLine="0"/>
              <w:jc w:val="left"/>
            </w:pPr>
            <w:r/>
            <w:r>
              <w:rPr>
                <w:rFonts w:ascii="Times New Roman" w:hAnsi="Times New Roman" w:eastAsia="宋体"/>
                <w:b w:val="0"/>
                <w:i w:val="0"/>
                <w:sz w:val="16"/>
              </w:rPr>
              <w:t>Sharpe比率</w:t>
            </w:r>
          </w:p>
        </w:tc>
        <w:tc>
          <w:tcPr>
            <w:tcW w:type="dxa" w:w="737"/>
          </w:tcPr>
          <w:p>
            <w:pPr>
              <w:spacing w:before="20" w:after="20" w:line="259" w:lineRule="auto"/>
              <w:ind w:firstLine="0"/>
              <w:jc w:val="center"/>
            </w:pPr>
            <w:r/>
            <w:r>
              <w:rPr>
                <w:rFonts w:ascii="Times New Roman" w:hAnsi="Times New Roman" w:eastAsia="宋体"/>
                <w:b w:val="0"/>
                <w:i w:val="0"/>
                <w:sz w:val="16"/>
              </w:rPr>
              <w:t>394</w:t>
            </w:r>
          </w:p>
        </w:tc>
        <w:tc>
          <w:tcPr>
            <w:tcW w:type="dxa" w:w="1077"/>
          </w:tcPr>
          <w:p>
            <w:pPr>
              <w:spacing w:before="20" w:after="20" w:line="259" w:lineRule="auto"/>
              <w:ind w:firstLine="0"/>
              <w:jc w:val="center"/>
            </w:pPr>
            <w:r/>
            <w:r>
              <w:rPr>
                <w:rFonts w:ascii="Times New Roman" w:hAnsi="Times New Roman" w:eastAsia="宋体"/>
                <w:b w:val="0"/>
                <w:i w:val="0"/>
                <w:sz w:val="16"/>
              </w:rPr>
              <w:t>0.1323</w:t>
            </w:r>
          </w:p>
        </w:tc>
        <w:tc>
          <w:tcPr>
            <w:tcW w:type="dxa" w:w="1077"/>
          </w:tcPr>
          <w:p>
            <w:pPr>
              <w:spacing w:before="20" w:after="20" w:line="259" w:lineRule="auto"/>
              <w:ind w:firstLine="0"/>
              <w:jc w:val="center"/>
            </w:pPr>
            <w:r/>
            <w:r>
              <w:rPr>
                <w:rFonts w:ascii="Times New Roman" w:hAnsi="Times New Roman" w:eastAsia="宋体"/>
                <w:b w:val="0"/>
                <w:i w:val="0"/>
                <w:sz w:val="16"/>
              </w:rPr>
              <w:t>0.2130</w:t>
            </w:r>
          </w:p>
        </w:tc>
        <w:tc>
          <w:tcPr>
            <w:tcW w:type="dxa" w:w="964"/>
          </w:tcPr>
          <w:p>
            <w:pPr>
              <w:spacing w:before="20" w:after="20" w:line="259" w:lineRule="auto"/>
              <w:ind w:firstLine="0"/>
              <w:jc w:val="center"/>
            </w:pPr>
            <w:r/>
            <w:r>
              <w:rPr>
                <w:rFonts w:ascii="Times New Roman" w:hAnsi="Times New Roman" w:eastAsia="宋体"/>
                <w:b w:val="0"/>
                <w:i w:val="0"/>
                <w:sz w:val="16"/>
              </w:rPr>
              <w:t>-0.51</w:t>
            </w:r>
          </w:p>
        </w:tc>
        <w:tc>
          <w:tcPr>
            <w:tcW w:type="dxa" w:w="964"/>
          </w:tcPr>
          <w:p>
            <w:pPr>
              <w:spacing w:before="20" w:after="20" w:line="259" w:lineRule="auto"/>
              <w:ind w:firstLine="0"/>
              <w:jc w:val="center"/>
            </w:pPr>
            <w:r/>
            <w:r>
              <w:rPr>
                <w:rFonts w:ascii="Times New Roman" w:hAnsi="Times New Roman" w:eastAsia="宋体"/>
                <w:b w:val="0"/>
                <w:i w:val="0"/>
                <w:sz w:val="16"/>
              </w:rPr>
              <w:t>0.70</w:t>
            </w:r>
          </w:p>
        </w:tc>
        <w:tc>
          <w:tcPr>
            <w:tcW w:type="dxa" w:w="907"/>
          </w:tcPr>
          <w:p>
            <w:pPr>
              <w:spacing w:before="20" w:after="20" w:line="259" w:lineRule="auto"/>
              <w:ind w:firstLine="0"/>
              <w:jc w:val="center"/>
            </w:pPr>
            <w:r/>
            <w:r>
              <w:rPr>
                <w:rFonts w:ascii="Times New Roman" w:hAnsi="Times New Roman" w:eastAsia="宋体"/>
                <w:b w:val="0"/>
                <w:i w:val="0"/>
                <w:sz w:val="16"/>
              </w:rPr>
              <w:t>98.5%</w:t>
            </w:r>
          </w:p>
        </w:tc>
      </w:tr>
      <w:tr>
        <w:tc>
          <w:tcPr>
            <w:tcW w:type="dxa" w:w="1474"/>
          </w:tcPr>
          <w:p>
            <w:pPr>
              <w:spacing w:before="20" w:after="20" w:line="259" w:lineRule="auto"/>
              <w:ind w:firstLine="0"/>
              <w:jc w:val="left"/>
            </w:pPr>
            <w:r/>
            <w:r>
              <w:rPr>
                <w:rFonts w:ascii="Times New Roman" w:hAnsi="Times New Roman" w:eastAsia="宋体"/>
                <w:b w:val="0"/>
                <w:i w:val="0"/>
                <w:sz w:val="16"/>
              </w:rPr>
              <w:t>SDI</w:t>
            </w:r>
          </w:p>
        </w:tc>
        <w:tc>
          <w:tcPr>
            <w:tcW w:type="dxa" w:w="1928"/>
          </w:tcPr>
          <w:p>
            <w:pPr>
              <w:spacing w:before="20" w:after="20" w:line="259" w:lineRule="auto"/>
              <w:ind w:firstLine="0"/>
              <w:jc w:val="left"/>
            </w:pPr>
            <w:r/>
            <w:r>
              <w:rPr>
                <w:rFonts w:ascii="Times New Roman" w:hAnsi="Times New Roman" w:eastAsia="宋体"/>
                <w:b w:val="0"/>
                <w:i w:val="0"/>
                <w:sz w:val="16"/>
              </w:rPr>
              <w:t>策略偏离指数</w:t>
            </w:r>
          </w:p>
        </w:tc>
        <w:tc>
          <w:tcPr>
            <w:tcW w:type="dxa" w:w="737"/>
          </w:tcPr>
          <w:p>
            <w:pPr>
              <w:spacing w:before="20" w:after="20" w:line="259" w:lineRule="auto"/>
              <w:ind w:firstLine="0"/>
              <w:jc w:val="center"/>
            </w:pPr>
            <w:r/>
            <w:r>
              <w:rPr>
                <w:rFonts w:ascii="Times New Roman" w:hAnsi="Times New Roman" w:eastAsia="宋体"/>
                <w:b w:val="0"/>
                <w:i w:val="0"/>
                <w:sz w:val="16"/>
              </w:rPr>
              <w:t>366</w:t>
            </w:r>
          </w:p>
        </w:tc>
        <w:tc>
          <w:tcPr>
            <w:tcW w:type="dxa" w:w="1077"/>
          </w:tcPr>
          <w:p>
            <w:pPr>
              <w:spacing w:before="20" w:after="20" w:line="259" w:lineRule="auto"/>
              <w:ind w:firstLine="0"/>
              <w:jc w:val="center"/>
            </w:pPr>
            <w:r/>
            <w:r>
              <w:rPr>
                <w:rFonts w:ascii="Times New Roman" w:hAnsi="Times New Roman" w:eastAsia="宋体"/>
                <w:b w:val="0"/>
                <w:i w:val="0"/>
                <w:sz w:val="16"/>
              </w:rPr>
              <w:t>0.2332</w:t>
            </w:r>
          </w:p>
        </w:tc>
        <w:tc>
          <w:tcPr>
            <w:tcW w:type="dxa" w:w="1077"/>
          </w:tcPr>
          <w:p>
            <w:pPr>
              <w:spacing w:before="20" w:after="20" w:line="259" w:lineRule="auto"/>
              <w:ind w:firstLine="0"/>
              <w:jc w:val="center"/>
            </w:pPr>
            <w:r/>
            <w:r>
              <w:rPr>
                <w:rFonts w:ascii="Times New Roman" w:hAnsi="Times New Roman" w:eastAsia="宋体"/>
                <w:b w:val="0"/>
                <w:i w:val="0"/>
                <w:sz w:val="16"/>
              </w:rPr>
              <w:t>0.2288</w:t>
            </w:r>
          </w:p>
        </w:tc>
        <w:tc>
          <w:tcPr>
            <w:tcW w:type="dxa" w:w="964"/>
          </w:tcPr>
          <w:p>
            <w:pPr>
              <w:spacing w:before="20" w:after="20" w:line="259" w:lineRule="auto"/>
              <w:ind w:firstLine="0"/>
              <w:jc w:val="center"/>
            </w:pPr>
            <w:r/>
            <w:r>
              <w:rPr>
                <w:rFonts w:ascii="Times New Roman" w:hAnsi="Times New Roman" w:eastAsia="宋体"/>
                <w:b w:val="0"/>
                <w:i w:val="0"/>
                <w:sz w:val="16"/>
              </w:rPr>
              <w:t>0.00</w:t>
            </w:r>
          </w:p>
        </w:tc>
        <w:tc>
          <w:tcPr>
            <w:tcW w:type="dxa" w:w="964"/>
          </w:tcPr>
          <w:p>
            <w:pPr>
              <w:spacing w:before="20" w:after="20" w:line="259" w:lineRule="auto"/>
              <w:ind w:firstLine="0"/>
              <w:jc w:val="center"/>
            </w:pPr>
            <w:r/>
            <w:r>
              <w:rPr>
                <w:rFonts w:ascii="Times New Roman" w:hAnsi="Times New Roman" w:eastAsia="宋体"/>
                <w:b w:val="0"/>
                <w:i w:val="0"/>
                <w:sz w:val="16"/>
              </w:rPr>
              <w:t>0.76</w:t>
            </w:r>
          </w:p>
        </w:tc>
        <w:tc>
          <w:tcPr>
            <w:tcW w:type="dxa" w:w="907"/>
          </w:tcPr>
          <w:p>
            <w:pPr>
              <w:spacing w:before="20" w:after="20" w:line="259" w:lineRule="auto"/>
              <w:ind w:firstLine="0"/>
              <w:jc w:val="center"/>
            </w:pPr>
            <w:r/>
            <w:r>
              <w:rPr>
                <w:rFonts w:ascii="Times New Roman" w:hAnsi="Times New Roman" w:eastAsia="宋体"/>
                <w:b w:val="0"/>
                <w:i w:val="0"/>
                <w:sz w:val="16"/>
              </w:rPr>
              <w:t>91.5%</w:t>
            </w:r>
          </w:p>
        </w:tc>
      </w:tr>
      <w:tr>
        <w:tc>
          <w:tcPr>
            <w:tcW w:type="dxa" w:w="1474"/>
          </w:tcPr>
          <w:p>
            <w:pPr>
              <w:spacing w:before="20" w:after="20" w:line="259" w:lineRule="auto"/>
              <w:ind w:firstLine="0"/>
              <w:jc w:val="left"/>
            </w:pPr>
            <w:r/>
            <w:r>
              <w:rPr>
                <w:rFonts w:ascii="Times New Roman" w:hAnsi="Times New Roman" w:eastAsia="宋体"/>
                <w:b w:val="0"/>
                <w:i w:val="0"/>
                <w:sz w:val="16"/>
              </w:rPr>
              <w:t>lsv</w:t>
            </w:r>
          </w:p>
        </w:tc>
        <w:tc>
          <w:tcPr>
            <w:tcW w:type="dxa" w:w="1928"/>
          </w:tcPr>
          <w:p>
            <w:pPr>
              <w:spacing w:before="20" w:after="20" w:line="259" w:lineRule="auto"/>
              <w:ind w:firstLine="0"/>
              <w:jc w:val="left"/>
            </w:pPr>
            <w:r/>
            <w:r>
              <w:rPr>
                <w:rFonts w:ascii="Times New Roman" w:hAnsi="Times New Roman" w:eastAsia="宋体"/>
                <w:b w:val="0"/>
                <w:i w:val="0"/>
                <w:sz w:val="16"/>
              </w:rPr>
              <w:t>交易趋同度LSV</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0.0910</w:t>
            </w:r>
          </w:p>
        </w:tc>
        <w:tc>
          <w:tcPr>
            <w:tcW w:type="dxa" w:w="1077"/>
          </w:tcPr>
          <w:p>
            <w:pPr>
              <w:spacing w:before="20" w:after="20" w:line="259" w:lineRule="auto"/>
              <w:ind w:firstLine="0"/>
              <w:jc w:val="center"/>
            </w:pPr>
            <w:r/>
            <w:r>
              <w:rPr>
                <w:rFonts w:ascii="Times New Roman" w:hAnsi="Times New Roman" w:eastAsia="宋体"/>
                <w:b w:val="0"/>
                <w:i w:val="0"/>
                <w:sz w:val="16"/>
              </w:rPr>
              <w:t>0.0183</w:t>
            </w:r>
          </w:p>
        </w:tc>
        <w:tc>
          <w:tcPr>
            <w:tcW w:type="dxa" w:w="964"/>
          </w:tcPr>
          <w:p>
            <w:pPr>
              <w:spacing w:before="20" w:after="20" w:line="259" w:lineRule="auto"/>
              <w:ind w:firstLine="0"/>
              <w:jc w:val="center"/>
            </w:pPr>
            <w:r/>
            <w:r>
              <w:rPr>
                <w:rFonts w:ascii="Times New Roman" w:hAnsi="Times New Roman" w:eastAsia="宋体"/>
                <w:b w:val="0"/>
                <w:i w:val="0"/>
                <w:sz w:val="16"/>
              </w:rPr>
              <w:t>0.05</w:t>
            </w:r>
          </w:p>
        </w:tc>
        <w:tc>
          <w:tcPr>
            <w:tcW w:type="dxa" w:w="964"/>
          </w:tcPr>
          <w:p>
            <w:pPr>
              <w:spacing w:before="20" w:after="20" w:line="259" w:lineRule="auto"/>
              <w:ind w:firstLine="0"/>
              <w:jc w:val="center"/>
            </w:pPr>
            <w:r/>
            <w:r>
              <w:rPr>
                <w:rFonts w:ascii="Times New Roman" w:hAnsi="Times New Roman" w:eastAsia="宋体"/>
                <w:b w:val="0"/>
                <w:i w:val="0"/>
                <w:sz w:val="16"/>
              </w:rPr>
              <w:t>0.14</w:t>
            </w:r>
          </w:p>
        </w:tc>
        <w:tc>
          <w:tcPr>
            <w:tcW w:type="dxa" w:w="907"/>
          </w:tcPr>
          <w:p>
            <w:pPr>
              <w:spacing w:before="20" w:after="20" w:line="259" w:lineRule="auto"/>
              <w:ind w:firstLine="0"/>
              <w:jc w:val="center"/>
            </w:pPr>
            <w:r/>
            <w:r>
              <w:rPr>
                <w:rFonts w:ascii="Times New Roman" w:hAnsi="Times New Roman" w:eastAsia="宋体"/>
                <w:b w:val="0"/>
                <w:i w:val="0"/>
                <w:sz w:val="16"/>
              </w:rPr>
              <w:t>100.0%</w:t>
            </w:r>
          </w:p>
        </w:tc>
      </w:tr>
      <w:tr>
        <w:tc>
          <w:tcPr>
            <w:tcW w:type="dxa" w:w="1474"/>
          </w:tcPr>
          <w:p>
            <w:pPr>
              <w:spacing w:before="20" w:after="20" w:line="259" w:lineRule="auto"/>
              <w:ind w:firstLine="0"/>
              <w:jc w:val="left"/>
            </w:pPr>
            <w:r/>
            <w:r>
              <w:rPr>
                <w:rFonts w:ascii="Times New Roman" w:hAnsi="Times New Roman" w:eastAsia="宋体"/>
                <w:b w:val="0"/>
                <w:i w:val="0"/>
                <w:sz w:val="16"/>
              </w:rPr>
              <w:t>ff5_adj_return</w:t>
            </w:r>
          </w:p>
        </w:tc>
        <w:tc>
          <w:tcPr>
            <w:tcW w:type="dxa" w:w="1928"/>
          </w:tcPr>
          <w:p>
            <w:pPr>
              <w:spacing w:before="20" w:after="20" w:line="259" w:lineRule="auto"/>
              <w:ind w:firstLine="0"/>
              <w:jc w:val="left"/>
            </w:pPr>
            <w:r/>
            <w:r>
              <w:rPr>
                <w:rFonts w:ascii="Times New Roman" w:hAnsi="Times New Roman" w:eastAsia="宋体"/>
                <w:b w:val="0"/>
                <w:i w:val="0"/>
                <w:sz w:val="16"/>
              </w:rPr>
              <w:t>FF5 超额收益（基金层alpha）</w:t>
            </w:r>
          </w:p>
        </w:tc>
        <w:tc>
          <w:tcPr>
            <w:tcW w:type="dxa" w:w="737"/>
          </w:tcPr>
          <w:p>
            <w:pPr>
              <w:spacing w:before="20" w:after="20" w:line="259" w:lineRule="auto"/>
              <w:ind w:firstLine="0"/>
              <w:jc w:val="center"/>
            </w:pPr>
            <w:r/>
            <w:r>
              <w:rPr>
                <w:rFonts w:ascii="Times New Roman" w:hAnsi="Times New Roman" w:eastAsia="宋体"/>
                <w:b w:val="0"/>
                <w:i w:val="0"/>
                <w:sz w:val="16"/>
              </w:rPr>
              <w:t>362</w:t>
            </w:r>
          </w:p>
        </w:tc>
        <w:tc>
          <w:tcPr>
            <w:tcW w:type="dxa" w:w="1077"/>
          </w:tcPr>
          <w:p>
            <w:pPr>
              <w:spacing w:before="20" w:after="20" w:line="259" w:lineRule="auto"/>
              <w:ind w:firstLine="0"/>
              <w:jc w:val="center"/>
            </w:pPr>
            <w:r/>
            <w:r>
              <w:rPr>
                <w:rFonts w:ascii="Times New Roman" w:hAnsi="Times New Roman" w:eastAsia="宋体"/>
                <w:b w:val="0"/>
                <w:i w:val="0"/>
                <w:sz w:val="16"/>
              </w:rPr>
              <w:t>0.0203</w:t>
            </w:r>
          </w:p>
        </w:tc>
        <w:tc>
          <w:tcPr>
            <w:tcW w:type="dxa" w:w="1077"/>
          </w:tcPr>
          <w:p>
            <w:pPr>
              <w:spacing w:before="20" w:after="20" w:line="259" w:lineRule="auto"/>
              <w:ind w:firstLine="0"/>
              <w:jc w:val="center"/>
            </w:pPr>
            <w:r/>
            <w:r>
              <w:rPr>
                <w:rFonts w:ascii="Times New Roman" w:hAnsi="Times New Roman" w:eastAsia="宋体"/>
                <w:b w:val="0"/>
                <w:i w:val="0"/>
                <w:sz w:val="16"/>
              </w:rPr>
              <w:t>0.0195</w:t>
            </w:r>
          </w:p>
        </w:tc>
        <w:tc>
          <w:tcPr>
            <w:tcW w:type="dxa" w:w="964"/>
          </w:tcPr>
          <w:p>
            <w:pPr>
              <w:spacing w:before="20" w:after="20" w:line="259" w:lineRule="auto"/>
              <w:ind w:firstLine="0"/>
              <w:jc w:val="center"/>
            </w:pPr>
            <w:r/>
            <w:r>
              <w:rPr>
                <w:rFonts w:ascii="Times New Roman" w:hAnsi="Times New Roman" w:eastAsia="宋体"/>
                <w:b w:val="0"/>
                <w:i w:val="0"/>
                <w:sz w:val="16"/>
              </w:rPr>
              <w:t>-0.02</w:t>
            </w:r>
          </w:p>
        </w:tc>
        <w:tc>
          <w:tcPr>
            <w:tcW w:type="dxa" w:w="964"/>
          </w:tcPr>
          <w:p>
            <w:pPr>
              <w:spacing w:before="20" w:after="20" w:line="259" w:lineRule="auto"/>
              <w:ind w:firstLine="0"/>
              <w:jc w:val="center"/>
            </w:pPr>
            <w:r/>
            <w:r>
              <w:rPr>
                <w:rFonts w:ascii="Times New Roman" w:hAnsi="Times New Roman" w:eastAsia="宋体"/>
                <w:b w:val="0"/>
                <w:i w:val="0"/>
                <w:sz w:val="16"/>
              </w:rPr>
              <w:t>0.08</w:t>
            </w:r>
          </w:p>
        </w:tc>
        <w:tc>
          <w:tcPr>
            <w:tcW w:type="dxa" w:w="907"/>
          </w:tcPr>
          <w:p>
            <w:pPr>
              <w:spacing w:before="20" w:after="20" w:line="259" w:lineRule="auto"/>
              <w:ind w:firstLine="0"/>
              <w:jc w:val="center"/>
            </w:pPr>
            <w:r/>
            <w:r>
              <w:rPr>
                <w:rFonts w:ascii="Times New Roman" w:hAnsi="Times New Roman" w:eastAsia="宋体"/>
                <w:b w:val="0"/>
                <w:i w:val="0"/>
                <w:sz w:val="16"/>
              </w:rPr>
              <w:t>—</w:t>
            </w:r>
          </w:p>
        </w:tc>
      </w:tr>
      <w:tr>
        <w:tc>
          <w:tcPr>
            <w:tcW w:type="dxa" w:w="1474"/>
          </w:tcPr>
          <w:p>
            <w:pPr>
              <w:spacing w:before="20" w:after="20" w:line="259" w:lineRule="auto"/>
              <w:ind w:firstLine="0"/>
              <w:jc w:val="left"/>
            </w:pPr>
            <w:r/>
            <w:r>
              <w:rPr>
                <w:rFonts w:ascii="Times New Roman" w:hAnsi="Times New Roman" w:eastAsia="宋体"/>
                <w:b w:val="0"/>
                <w:i w:val="0"/>
                <w:sz w:val="16"/>
              </w:rPr>
              <w:t>quarter_return</w:t>
            </w:r>
          </w:p>
        </w:tc>
        <w:tc>
          <w:tcPr>
            <w:tcW w:type="dxa" w:w="1928"/>
          </w:tcPr>
          <w:p>
            <w:pPr>
              <w:spacing w:before="20" w:after="20" w:line="259" w:lineRule="auto"/>
              <w:ind w:firstLine="0"/>
              <w:jc w:val="left"/>
            </w:pPr>
            <w:r/>
            <w:r>
              <w:rPr>
                <w:rFonts w:ascii="Times New Roman" w:hAnsi="Times New Roman" w:eastAsia="宋体"/>
                <w:b w:val="0"/>
                <w:i w:val="0"/>
                <w:sz w:val="16"/>
              </w:rPr>
              <w:t>季度收益</w:t>
            </w:r>
          </w:p>
        </w:tc>
        <w:tc>
          <w:tcPr>
            <w:tcW w:type="dxa" w:w="737"/>
          </w:tcPr>
          <w:p>
            <w:pPr>
              <w:spacing w:before="20" w:after="20" w:line="259" w:lineRule="auto"/>
              <w:ind w:firstLine="0"/>
              <w:jc w:val="center"/>
            </w:pPr>
            <w:r/>
            <w:r>
              <w:rPr>
                <w:rFonts w:ascii="Times New Roman" w:hAnsi="Times New Roman" w:eastAsia="宋体"/>
                <w:b w:val="0"/>
                <w:i w:val="0"/>
                <w:sz w:val="16"/>
              </w:rPr>
              <w:t>400</w:t>
            </w:r>
          </w:p>
        </w:tc>
        <w:tc>
          <w:tcPr>
            <w:tcW w:type="dxa" w:w="1077"/>
          </w:tcPr>
          <w:p>
            <w:pPr>
              <w:spacing w:before="20" w:after="20" w:line="259" w:lineRule="auto"/>
              <w:ind w:firstLine="0"/>
              <w:jc w:val="center"/>
            </w:pPr>
            <w:r/>
            <w:r>
              <w:rPr>
                <w:rFonts w:ascii="Times New Roman" w:hAnsi="Times New Roman" w:eastAsia="宋体"/>
                <w:b w:val="0"/>
                <w:i w:val="0"/>
                <w:sz w:val="16"/>
              </w:rPr>
              <w:t>0.0836</w:t>
            </w:r>
          </w:p>
        </w:tc>
        <w:tc>
          <w:tcPr>
            <w:tcW w:type="dxa" w:w="1077"/>
          </w:tcPr>
          <w:p>
            <w:pPr>
              <w:spacing w:before="20" w:after="20" w:line="259" w:lineRule="auto"/>
              <w:ind w:firstLine="0"/>
              <w:jc w:val="center"/>
            </w:pPr>
            <w:r/>
            <w:r>
              <w:rPr>
                <w:rFonts w:ascii="Times New Roman" w:hAnsi="Times New Roman" w:eastAsia="宋体"/>
                <w:b w:val="0"/>
                <w:i w:val="0"/>
                <w:sz w:val="16"/>
              </w:rPr>
              <w:t>0.0632</w:t>
            </w:r>
          </w:p>
        </w:tc>
        <w:tc>
          <w:tcPr>
            <w:tcW w:type="dxa" w:w="964"/>
          </w:tcPr>
          <w:p>
            <w:pPr>
              <w:spacing w:before="20" w:after="20" w:line="259" w:lineRule="auto"/>
              <w:ind w:firstLine="0"/>
              <w:jc w:val="center"/>
            </w:pPr>
            <w:r/>
            <w:r>
              <w:rPr>
                <w:rFonts w:ascii="Times New Roman" w:hAnsi="Times New Roman" w:eastAsia="宋体"/>
                <w:b w:val="0"/>
                <w:i w:val="0"/>
                <w:sz w:val="16"/>
              </w:rPr>
              <w:t>0.02</w:t>
            </w:r>
          </w:p>
        </w:tc>
        <w:tc>
          <w:tcPr>
            <w:tcW w:type="dxa" w:w="964"/>
          </w:tcPr>
          <w:p>
            <w:pPr>
              <w:spacing w:before="20" w:after="20" w:line="259" w:lineRule="auto"/>
              <w:ind w:firstLine="0"/>
              <w:jc w:val="center"/>
            </w:pPr>
            <w:r/>
            <w:r>
              <w:rPr>
                <w:rFonts w:ascii="Times New Roman" w:hAnsi="Times New Roman" w:eastAsia="宋体"/>
                <w:b w:val="0"/>
                <w:i w:val="0"/>
                <w:sz w:val="16"/>
              </w:rPr>
              <w:t>0.37</w:t>
            </w:r>
          </w:p>
        </w:tc>
        <w:tc>
          <w:tcPr>
            <w:tcW w:type="dxa" w:w="907"/>
          </w:tcPr>
          <w:p>
            <w:pPr>
              <w:spacing w:before="20" w:after="20" w:line="259" w:lineRule="auto"/>
              <w:ind w:firstLine="0"/>
              <w:jc w:val="center"/>
            </w:pPr>
            <w:r/>
            <w:r>
              <w:rPr>
                <w:rFonts w:ascii="Times New Roman" w:hAnsi="Times New Roman" w:eastAsia="宋体"/>
                <w:b w:val="0"/>
                <w:i w:val="0"/>
                <w:sz w:val="16"/>
              </w:rPr>
              <w:t>—</w:t>
            </w:r>
          </w:p>
        </w:tc>
      </w:tr>
    </w:tbl>
    <w:p>
      <w:pPr>
        <w:spacing w:before="60" w:after="200"/>
      </w:pPr>
      <w:r>
        <w:rPr>
          <w:rFonts w:ascii="Times New Roman" w:hAnsi="Times New Roman" w:eastAsia="宋体"/>
          <w:b w:val="0"/>
          <w:i w:val="0"/>
          <w:sz w:val="17"/>
        </w:rPr>
        <w:t>注：L1 三变量自本版起由控制变量升级为“基本面优势”计分维的成分；ff5_adj_return 为基金层 FF5 alpha（N=362 即可进入横截面回归的基金数）。覆盖率列为基金层口径（样本期内至少可算出一期即计入）。</w:t>
      </w:r>
    </w:p>
    <w:p>
      <w:pPr>
        <w:spacing w:before="240" w:after="120"/>
      </w:pPr>
      <w:r>
        <w:rPr>
          <w:rFonts w:ascii="Times New Roman" w:hAnsi="Times New Roman" w:eastAsia="黑体"/>
          <w:b/>
          <w:i w:val="0"/>
          <w:sz w:val="24"/>
        </w:rPr>
        <w:t>3.3  检验手段：主要回归方程</w:t>
      </w:r>
    </w:p>
    <w:p>
      <w:pPr>
        <w:spacing w:after="120" w:line="312" w:lineRule="auto"/>
        <w:ind w:firstLine="420"/>
      </w:pPr>
      <w:r>
        <w:rPr>
          <w:rFonts w:ascii="Times New Roman" w:hAnsi="Times New Roman" w:eastAsia="宋体"/>
          <w:b w:val="0"/>
          <w:i w:val="0"/>
          <w:sz w:val="21"/>
        </w:rPr>
        <w:t>本文的因变量分两个层面：基金层 alpha（全样本期 FF5 时序回归截距）与季度层 alpha_q（FF5 时序回归的截距加残差，保留逐期信息）。自变量为各行为指标（当期值），绩效类指标（sharpe8/sortino8/mppm8）统一滞后一期，避免前视偏差。主要回归方程见表 3。</w:t>
      </w:r>
    </w:p>
    <w:p>
      <w:pPr>
        <w:spacing w:before="120" w:after="60"/>
        <w:jc w:val="center"/>
      </w:pPr>
      <w:r>
        <w:rPr>
          <w:rFonts w:ascii="Times New Roman" w:hAnsi="Times New Roman" w:eastAsia="黑体"/>
          <w:b/>
          <w:i w:val="0"/>
          <w:sz w:val="18"/>
        </w:rPr>
        <w:t>表 3  主要回归方程</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701"/>
          </w:tcPr>
          <w:p>
            <w:pPr>
              <w:spacing w:before="20" w:after="20" w:line="259" w:lineRule="auto"/>
              <w:ind w:firstLine="0"/>
              <w:jc w:val="center"/>
            </w:pPr>
            <w:r/>
            <w:r>
              <w:rPr>
                <w:rFonts w:ascii="Times New Roman" w:hAnsi="Times New Roman" w:eastAsia="黑体"/>
                <w:b/>
                <w:i w:val="0"/>
                <w:sz w:val="16"/>
              </w:rPr>
              <w:t>方程</w:t>
            </w:r>
          </w:p>
        </w:tc>
        <w:tc>
          <w:tcPr>
            <w:tcW w:type="dxa" w:w="4535"/>
          </w:tcPr>
          <w:p>
            <w:pPr>
              <w:spacing w:before="20" w:after="20" w:line="259" w:lineRule="auto"/>
              <w:ind w:firstLine="0"/>
              <w:jc w:val="center"/>
            </w:pPr>
            <w:r/>
            <w:r>
              <w:rPr>
                <w:rFonts w:ascii="Times New Roman" w:hAnsi="Times New Roman" w:eastAsia="黑体"/>
                <w:b/>
                <w:i w:val="0"/>
                <w:sz w:val="16"/>
              </w:rPr>
              <w:t>设定</w:t>
            </w:r>
          </w:p>
        </w:tc>
        <w:tc>
          <w:tcPr>
            <w:tcW w:type="dxa" w:w="1928"/>
          </w:tcPr>
          <w:p>
            <w:pPr>
              <w:spacing w:before="20" w:after="20" w:line="259" w:lineRule="auto"/>
              <w:ind w:firstLine="0"/>
              <w:jc w:val="center"/>
            </w:pPr>
            <w:r/>
            <w:r>
              <w:rPr>
                <w:rFonts w:ascii="Times New Roman" w:hAnsi="Times New Roman" w:eastAsia="黑体"/>
                <w:b/>
                <w:i w:val="0"/>
                <w:sz w:val="16"/>
              </w:rPr>
              <w:t>说明/标准误</w:t>
            </w:r>
          </w:p>
        </w:tc>
        <w:tc>
          <w:tcPr>
            <w:tcW w:type="dxa" w:w="1417"/>
          </w:tcPr>
          <w:p>
            <w:pPr>
              <w:spacing w:before="20" w:after="20" w:line="259" w:lineRule="auto"/>
              <w:ind w:firstLine="0"/>
              <w:jc w:val="center"/>
            </w:pPr>
            <w:r/>
            <w:r>
              <w:rPr>
                <w:rFonts w:ascii="Times New Roman" w:hAnsi="Times New Roman" w:eastAsia="黑体"/>
                <w:b/>
                <w:i w:val="0"/>
                <w:sz w:val="16"/>
              </w:rPr>
              <w:t>样本</w:t>
            </w:r>
          </w:p>
        </w:tc>
      </w:tr>
      <w:tr>
        <w:tc>
          <w:tcPr>
            <w:tcW w:type="dxa" w:w="1701"/>
          </w:tcPr>
          <w:p>
            <w:pPr>
              <w:spacing w:before="20" w:after="20" w:line="259" w:lineRule="auto"/>
              <w:ind w:firstLine="0"/>
              <w:jc w:val="left"/>
            </w:pPr>
            <w:r/>
            <w:r>
              <w:rPr>
                <w:rFonts w:ascii="Times New Roman" w:hAnsi="Times New Roman" w:eastAsia="宋体"/>
                <w:b w:val="0"/>
                <w:i w:val="0"/>
                <w:sz w:val="16"/>
              </w:rPr>
              <w:t>(1) 因变量·基金层</w:t>
            </w:r>
          </w:p>
        </w:tc>
        <w:tc>
          <w:tcPr>
            <w:tcW w:type="dxa" w:w="4535"/>
          </w:tcPr>
          <w:p>
            <w:pPr>
              <w:spacing w:before="20" w:after="20" w:line="259" w:lineRule="auto"/>
              <w:ind w:firstLine="0"/>
              <w:jc w:val="left"/>
            </w:pPr>
            <w:r/>
            <w:r>
              <w:rPr>
                <w:rFonts w:ascii="Times New Roman" w:hAnsi="Times New Roman" w:eastAsia="宋体"/>
                <w:b w:val="0"/>
                <w:i w:val="0"/>
                <w:sz w:val="16"/>
              </w:rPr>
              <w:t>ex_it = α_i + β_i′F_t + e_it（F 为 FF5 因子向量，逐基金时序回归）</w:t>
            </w:r>
          </w:p>
        </w:tc>
        <w:tc>
          <w:tcPr>
            <w:tcW w:type="dxa" w:w="1928"/>
          </w:tcPr>
          <w:p>
            <w:pPr>
              <w:spacing w:before="20" w:after="20" w:line="259" w:lineRule="auto"/>
              <w:ind w:firstLine="0"/>
              <w:jc w:val="left"/>
            </w:pPr>
            <w:r/>
            <w:r>
              <w:rPr>
                <w:rFonts w:ascii="Times New Roman" w:hAnsi="Times New Roman" w:eastAsia="宋体"/>
                <w:b w:val="0"/>
                <w:i w:val="0"/>
                <w:sz w:val="16"/>
              </w:rPr>
              <w:t>ff5_adj_return_i = α̂_i</w:t>
            </w:r>
          </w:p>
        </w:tc>
        <w:tc>
          <w:tcPr>
            <w:tcW w:type="dxa" w:w="1417"/>
          </w:tcPr>
          <w:p>
            <w:pPr>
              <w:spacing w:before="20" w:after="20" w:line="259" w:lineRule="auto"/>
              <w:ind w:firstLine="0"/>
              <w:jc w:val="center"/>
            </w:pPr>
            <w:r/>
            <w:r>
              <w:rPr>
                <w:rFonts w:ascii="Times New Roman" w:hAnsi="Times New Roman" w:eastAsia="宋体"/>
                <w:b w:val="0"/>
                <w:i w:val="0"/>
                <w:sz w:val="16"/>
              </w:rPr>
              <w:t>≥12 个季度</w:t>
            </w:r>
          </w:p>
        </w:tc>
      </w:tr>
      <w:tr>
        <w:tc>
          <w:tcPr>
            <w:tcW w:type="dxa" w:w="1701"/>
          </w:tcPr>
          <w:p>
            <w:pPr>
              <w:spacing w:before="20" w:after="20" w:line="259" w:lineRule="auto"/>
              <w:ind w:firstLine="0"/>
              <w:jc w:val="left"/>
            </w:pPr>
            <w:r/>
            <w:r>
              <w:rPr>
                <w:rFonts w:ascii="Times New Roman" w:hAnsi="Times New Roman" w:eastAsia="宋体"/>
                <w:b w:val="0"/>
                <w:i w:val="0"/>
                <w:sz w:val="16"/>
              </w:rPr>
              <w:t>(2) 因变量·季度层</w:t>
            </w:r>
          </w:p>
        </w:tc>
        <w:tc>
          <w:tcPr>
            <w:tcW w:type="dxa" w:w="4535"/>
          </w:tcPr>
          <w:p>
            <w:pPr>
              <w:spacing w:before="20" w:after="20" w:line="259" w:lineRule="auto"/>
              <w:ind w:firstLine="0"/>
              <w:jc w:val="left"/>
            </w:pPr>
            <w:r/>
            <w:r>
              <w:rPr>
                <w:rFonts w:ascii="Times New Roman" w:hAnsi="Times New Roman" w:eastAsia="宋体"/>
                <w:b w:val="0"/>
                <w:i w:val="0"/>
                <w:sz w:val="16"/>
              </w:rPr>
              <w:t>同 (1)</w:t>
            </w:r>
          </w:p>
        </w:tc>
        <w:tc>
          <w:tcPr>
            <w:tcW w:type="dxa" w:w="1928"/>
          </w:tcPr>
          <w:p>
            <w:pPr>
              <w:spacing w:before="20" w:after="20" w:line="259" w:lineRule="auto"/>
              <w:ind w:firstLine="0"/>
              <w:jc w:val="left"/>
            </w:pPr>
            <w:r/>
            <w:r>
              <w:rPr>
                <w:rFonts w:ascii="Times New Roman" w:hAnsi="Times New Roman" w:eastAsia="宋体"/>
                <w:b w:val="0"/>
                <w:i w:val="0"/>
                <w:sz w:val="16"/>
              </w:rPr>
              <w:t>alpha_q_it = α̂_i + ê_it（截距 + 残差）</w:t>
            </w:r>
          </w:p>
        </w:tc>
        <w:tc>
          <w:tcPr>
            <w:tcW w:type="dxa" w:w="1417"/>
          </w:tcPr>
          <w:p>
            <w:pPr>
              <w:spacing w:before="20" w:after="20" w:line="259" w:lineRule="auto"/>
              <w:ind w:firstLine="0"/>
              <w:jc w:val="center"/>
            </w:pPr>
            <w:r/>
            <w:r>
              <w:rPr>
                <w:rFonts w:ascii="Times New Roman" w:hAnsi="Times New Roman" w:eastAsia="宋体"/>
                <w:b w:val="0"/>
                <w:i w:val="0"/>
                <w:sz w:val="16"/>
              </w:rPr>
              <w:t>≥12 个季度</w:t>
            </w:r>
          </w:p>
        </w:tc>
      </w:tr>
      <w:tr>
        <w:tc>
          <w:tcPr>
            <w:tcW w:type="dxa" w:w="1701"/>
          </w:tcPr>
          <w:p>
            <w:pPr>
              <w:spacing w:before="20" w:after="20" w:line="259" w:lineRule="auto"/>
              <w:ind w:firstLine="0"/>
              <w:jc w:val="left"/>
            </w:pPr>
            <w:r/>
            <w:r>
              <w:rPr>
                <w:rFonts w:ascii="Times New Roman" w:hAnsi="Times New Roman" w:eastAsia="宋体"/>
                <w:b w:val="0"/>
                <w:i w:val="0"/>
                <w:sz w:val="16"/>
              </w:rPr>
              <w:t>(3) 择时系数</w:t>
            </w:r>
          </w:p>
        </w:tc>
        <w:tc>
          <w:tcPr>
            <w:tcW w:type="dxa" w:w="4535"/>
          </w:tcPr>
          <w:p>
            <w:pPr>
              <w:spacing w:before="20" w:after="20" w:line="259" w:lineRule="auto"/>
              <w:ind w:firstLine="0"/>
              <w:jc w:val="left"/>
            </w:pPr>
            <w:r/>
            <w:r>
              <w:rPr>
                <w:rFonts w:ascii="Times New Roman" w:hAnsi="Times New Roman" w:eastAsia="宋体"/>
                <w:b w:val="0"/>
                <w:i w:val="0"/>
                <w:sz w:val="16"/>
              </w:rPr>
              <w:t>ex_it = a_i + b_i·MKT_t + γ_i·min(0, MKT_t) + e_it</w:t>
            </w:r>
          </w:p>
        </w:tc>
        <w:tc>
          <w:tcPr>
            <w:tcW w:type="dxa" w:w="1928"/>
          </w:tcPr>
          <w:p>
            <w:pPr>
              <w:spacing w:before="20" w:after="20" w:line="259" w:lineRule="auto"/>
              <w:ind w:firstLine="0"/>
              <w:jc w:val="left"/>
            </w:pPr>
            <w:r/>
            <w:r>
              <w:rPr>
                <w:rFonts w:ascii="Times New Roman" w:hAnsi="Times New Roman" w:eastAsia="宋体"/>
                <w:b w:val="0"/>
                <w:i w:val="0"/>
                <w:sz w:val="16"/>
              </w:rPr>
              <w:t>timing_i = −γ̂_i（下行保护）</w:t>
            </w:r>
          </w:p>
        </w:tc>
        <w:tc>
          <w:tcPr>
            <w:tcW w:type="dxa" w:w="1417"/>
          </w:tcPr>
          <w:p>
            <w:pPr>
              <w:spacing w:before="20" w:after="20" w:line="259" w:lineRule="auto"/>
              <w:ind w:firstLine="0"/>
              <w:jc w:val="center"/>
            </w:pPr>
            <w:r/>
            <w:r>
              <w:rPr>
                <w:rFonts w:ascii="Times New Roman" w:hAnsi="Times New Roman" w:eastAsia="宋体"/>
                <w:b w:val="0"/>
                <w:i w:val="0"/>
                <w:sz w:val="16"/>
              </w:rPr>
              <w:t>≥12 个季度</w:t>
            </w:r>
          </w:p>
        </w:tc>
      </w:tr>
      <w:tr>
        <w:tc>
          <w:tcPr>
            <w:tcW w:type="dxa" w:w="1701"/>
          </w:tcPr>
          <w:p>
            <w:pPr>
              <w:spacing w:before="20" w:after="20" w:line="259" w:lineRule="auto"/>
              <w:ind w:firstLine="0"/>
              <w:jc w:val="left"/>
            </w:pPr>
            <w:r/>
            <w:r>
              <w:rPr>
                <w:rFonts w:ascii="Times New Roman" w:hAnsi="Times New Roman" w:eastAsia="宋体"/>
                <w:b w:val="0"/>
                <w:i w:val="0"/>
                <w:sz w:val="16"/>
              </w:rPr>
              <w:t>(4) 规格I·基金层横截面</w:t>
            </w:r>
          </w:p>
        </w:tc>
        <w:tc>
          <w:tcPr>
            <w:tcW w:type="dxa" w:w="4535"/>
          </w:tcPr>
          <w:p>
            <w:pPr>
              <w:spacing w:before="20" w:after="20" w:line="259" w:lineRule="auto"/>
              <w:ind w:firstLine="0"/>
              <w:jc w:val="left"/>
            </w:pPr>
            <w:r/>
            <w:r>
              <w:rPr>
                <w:rFonts w:ascii="Times New Roman" w:hAnsi="Times New Roman" w:eastAsia="宋体"/>
                <w:b w:val="0"/>
                <w:i w:val="0"/>
                <w:sz w:val="16"/>
              </w:rPr>
              <w:t>ff5_adj_return_i = c + β·X̄_i + δ′Z_i + u_i（Z = 任职年限、log 基金年龄、log 规模）</w:t>
            </w:r>
          </w:p>
        </w:tc>
        <w:tc>
          <w:tcPr>
            <w:tcW w:type="dxa" w:w="1928"/>
          </w:tcPr>
          <w:p>
            <w:pPr>
              <w:spacing w:before="20" w:after="20" w:line="259" w:lineRule="auto"/>
              <w:ind w:firstLine="0"/>
              <w:jc w:val="left"/>
            </w:pPr>
            <w:r/>
            <w:r>
              <w:rPr>
                <w:rFonts w:ascii="Times New Roman" w:hAnsi="Times New Roman" w:eastAsia="宋体"/>
                <w:b w:val="0"/>
                <w:i w:val="0"/>
                <w:sz w:val="16"/>
              </w:rPr>
              <w:t>HC1 稳健标准误</w:t>
            </w:r>
          </w:p>
        </w:tc>
        <w:tc>
          <w:tcPr>
            <w:tcW w:type="dxa" w:w="1417"/>
          </w:tcPr>
          <w:p>
            <w:pPr>
              <w:spacing w:before="20" w:after="20" w:line="259" w:lineRule="auto"/>
              <w:ind w:firstLine="0"/>
              <w:jc w:val="center"/>
            </w:pPr>
            <w:r/>
            <w:r>
              <w:rPr>
                <w:rFonts w:ascii="Times New Roman" w:hAnsi="Times New Roman" w:eastAsia="宋体"/>
                <w:b w:val="0"/>
                <w:i w:val="0"/>
                <w:sz w:val="16"/>
              </w:rPr>
              <w:t>N=362</w:t>
            </w:r>
          </w:p>
        </w:tc>
      </w:tr>
      <w:tr>
        <w:tc>
          <w:tcPr>
            <w:tcW w:type="dxa" w:w="1701"/>
          </w:tcPr>
          <w:p>
            <w:pPr>
              <w:spacing w:before="20" w:after="20" w:line="259" w:lineRule="auto"/>
              <w:ind w:firstLine="0"/>
              <w:jc w:val="left"/>
            </w:pPr>
            <w:r/>
            <w:r>
              <w:rPr>
                <w:rFonts w:ascii="Times New Roman" w:hAnsi="Times New Roman" w:eastAsia="宋体"/>
                <w:b w:val="0"/>
                <w:i w:val="0"/>
                <w:sz w:val="16"/>
              </w:rPr>
              <w:t>(5) 规格II·季度面板</w:t>
            </w:r>
          </w:p>
        </w:tc>
        <w:tc>
          <w:tcPr>
            <w:tcW w:type="dxa" w:w="4535"/>
          </w:tcPr>
          <w:p>
            <w:pPr>
              <w:spacing w:before="20" w:after="20" w:line="259" w:lineRule="auto"/>
              <w:ind w:firstLine="0"/>
              <w:jc w:val="left"/>
            </w:pPr>
            <w:r/>
            <w:r>
              <w:rPr>
                <w:rFonts w:ascii="Times New Roman" w:hAnsi="Times New Roman" w:eastAsia="宋体"/>
                <w:b w:val="0"/>
                <w:i w:val="0"/>
                <w:sz w:val="16"/>
              </w:rPr>
              <w:t>alpha_q_it = c + β·X_it + δ′Z_it + Σ_q λ_q + e_it（季度固定效应）</w:t>
            </w:r>
          </w:p>
        </w:tc>
        <w:tc>
          <w:tcPr>
            <w:tcW w:type="dxa" w:w="1928"/>
          </w:tcPr>
          <w:p>
            <w:pPr>
              <w:spacing w:before="20" w:after="20" w:line="259" w:lineRule="auto"/>
              <w:ind w:firstLine="0"/>
              <w:jc w:val="left"/>
            </w:pPr>
            <w:r/>
            <w:r>
              <w:rPr>
                <w:rFonts w:ascii="Times New Roman" w:hAnsi="Times New Roman" w:eastAsia="宋体"/>
                <w:b w:val="0"/>
                <w:i w:val="0"/>
                <w:sz w:val="16"/>
              </w:rPr>
              <w:t>基金层面聚类标准误</w:t>
            </w:r>
          </w:p>
        </w:tc>
        <w:tc>
          <w:tcPr>
            <w:tcW w:type="dxa" w:w="1417"/>
          </w:tcPr>
          <w:p>
            <w:pPr>
              <w:spacing w:before="20" w:after="20" w:line="259" w:lineRule="auto"/>
              <w:ind w:firstLine="0"/>
              <w:jc w:val="center"/>
            </w:pPr>
            <w:r/>
            <w:r>
              <w:rPr>
                <w:rFonts w:ascii="Times New Roman" w:hAnsi="Times New Roman" w:eastAsia="宋体"/>
                <w:b w:val="0"/>
                <w:i w:val="0"/>
                <w:sz w:val="16"/>
              </w:rPr>
              <w:t>N=2,262（全模型）</w:t>
            </w:r>
          </w:p>
        </w:tc>
      </w:tr>
      <w:tr>
        <w:tc>
          <w:tcPr>
            <w:tcW w:type="dxa" w:w="1701"/>
          </w:tcPr>
          <w:p>
            <w:pPr>
              <w:spacing w:before="20" w:after="20" w:line="259" w:lineRule="auto"/>
              <w:ind w:firstLine="0"/>
              <w:jc w:val="left"/>
            </w:pPr>
            <w:r/>
            <w:r>
              <w:rPr>
                <w:rFonts w:ascii="Times New Roman" w:hAnsi="Times New Roman" w:eastAsia="宋体"/>
                <w:b w:val="0"/>
                <w:i w:val="0"/>
                <w:sz w:val="16"/>
              </w:rPr>
              <w:t>(6) 能力复合得分</w:t>
            </w:r>
          </w:p>
        </w:tc>
        <w:tc>
          <w:tcPr>
            <w:tcW w:type="dxa" w:w="4535"/>
          </w:tcPr>
          <w:p>
            <w:pPr>
              <w:spacing w:before="20" w:after="20" w:line="259" w:lineRule="auto"/>
              <w:ind w:firstLine="0"/>
              <w:jc w:val="left"/>
            </w:pPr>
            <w:r/>
            <w:r>
              <w:rPr>
                <w:rFonts w:ascii="Times New Roman" w:hAnsi="Times New Roman" w:eastAsia="宋体"/>
                <w:b w:val="0"/>
                <w:i w:val="0"/>
                <w:sz w:val="16"/>
              </w:rPr>
              <w:t>1%/99% 缩尾后 z 标准化，按理论定向，维度内等权、六维再等权；缺失成分按剩余成分取均值，不填 0</w:t>
            </w:r>
          </w:p>
        </w:tc>
        <w:tc>
          <w:tcPr>
            <w:tcW w:type="dxa" w:w="1928"/>
          </w:tcPr>
          <w:p>
            <w:pPr>
              <w:spacing w:before="20" w:after="20" w:line="259" w:lineRule="auto"/>
              <w:ind w:firstLine="0"/>
              <w:jc w:val="left"/>
            </w:pPr>
            <w:r/>
            <w:r>
              <w:rPr>
                <w:rFonts w:ascii="Times New Roman" w:hAnsi="Times New Roman" w:eastAsia="宋体"/>
                <w:b w:val="0"/>
                <w:i w:val="0"/>
                <w:sz w:val="16"/>
              </w:rPr>
              <w:t>综合能力得分</w:t>
            </w:r>
          </w:p>
        </w:tc>
        <w:tc>
          <w:tcPr>
            <w:tcW w:type="dxa" w:w="1417"/>
          </w:tcPr>
          <w:p>
            <w:pPr>
              <w:spacing w:before="20" w:after="20" w:line="259" w:lineRule="auto"/>
              <w:ind w:firstLine="0"/>
              <w:jc w:val="center"/>
            </w:pPr>
            <w:r/>
            <w:r>
              <w:rPr>
                <w:rFonts w:ascii="Times New Roman" w:hAnsi="Times New Roman" w:eastAsia="宋体"/>
                <w:b w:val="0"/>
                <w:i w:val="0"/>
                <w:sz w:val="16"/>
              </w:rPr>
              <w:t>N=362</w:t>
            </w:r>
          </w:p>
        </w:tc>
      </w:tr>
      <w:tr>
        <w:tc>
          <w:tcPr>
            <w:tcW w:type="dxa" w:w="1701"/>
          </w:tcPr>
          <w:p>
            <w:pPr>
              <w:spacing w:before="20" w:after="20" w:line="259" w:lineRule="auto"/>
              <w:ind w:firstLine="0"/>
              <w:jc w:val="left"/>
            </w:pPr>
            <w:r/>
            <w:r>
              <w:rPr>
                <w:rFonts w:ascii="Times New Roman" w:hAnsi="Times New Roman" w:eastAsia="宋体"/>
                <w:b w:val="0"/>
                <w:i w:val="0"/>
                <w:sz w:val="16"/>
              </w:rPr>
              <w:t>(7) 复合得分回归</w:t>
            </w:r>
          </w:p>
        </w:tc>
        <w:tc>
          <w:tcPr>
            <w:tcW w:type="dxa" w:w="4535"/>
          </w:tcPr>
          <w:p>
            <w:pPr>
              <w:spacing w:before="20" w:after="20" w:line="259" w:lineRule="auto"/>
              <w:ind w:firstLine="0"/>
              <w:jc w:val="left"/>
            </w:pPr>
            <w:r/>
            <w:r>
              <w:rPr>
                <w:rFonts w:ascii="Times New Roman" w:hAnsi="Times New Roman" w:eastAsia="宋体"/>
                <w:b w:val="0"/>
                <w:i w:val="0"/>
                <w:sz w:val="16"/>
              </w:rPr>
              <w:t>ff5_adj_return_i = c + Σ_d β_d·Score_d,i + u_i（六维联立，不叠加上式 Z——L1 得分即 Z 的线性组合，叠加将完全共线）</w:t>
            </w:r>
          </w:p>
        </w:tc>
        <w:tc>
          <w:tcPr>
            <w:tcW w:type="dxa" w:w="1928"/>
          </w:tcPr>
          <w:p>
            <w:pPr>
              <w:spacing w:before="20" w:after="20" w:line="259" w:lineRule="auto"/>
              <w:ind w:firstLine="0"/>
              <w:jc w:val="left"/>
            </w:pPr>
            <w:r/>
            <w:r>
              <w:rPr>
                <w:rFonts w:ascii="Times New Roman" w:hAnsi="Times New Roman" w:eastAsia="宋体"/>
                <w:b w:val="0"/>
                <w:i w:val="0"/>
                <w:sz w:val="16"/>
              </w:rPr>
              <w:t>HC1 稳健标准误</w:t>
            </w:r>
          </w:p>
        </w:tc>
        <w:tc>
          <w:tcPr>
            <w:tcW w:type="dxa" w:w="1417"/>
          </w:tcPr>
          <w:p>
            <w:pPr>
              <w:spacing w:before="20" w:after="20" w:line="259" w:lineRule="auto"/>
              <w:ind w:firstLine="0"/>
              <w:jc w:val="center"/>
            </w:pPr>
            <w:r/>
            <w:r>
              <w:rPr>
                <w:rFonts w:ascii="Times New Roman" w:hAnsi="Times New Roman" w:eastAsia="宋体"/>
                <w:b w:val="0"/>
                <w:i w:val="0"/>
                <w:sz w:val="16"/>
              </w:rPr>
              <w:t>N=362</w:t>
            </w:r>
          </w:p>
        </w:tc>
      </w:tr>
    </w:tbl>
    <w:p>
      <w:pPr>
        <w:spacing w:before="60" w:after="200"/>
      </w:pPr>
      <w:r>
        <w:rPr>
          <w:rFonts w:ascii="Times New Roman" w:hAnsi="Times New Roman" w:eastAsia="宋体"/>
          <w:b w:val="0"/>
          <w:i w:val="0"/>
          <w:sz w:val="17"/>
        </w:rPr>
        <w:t>注：X̄_i 为指标在基金内的时序均值。两规格互为稳健性检验：规格I 是横截面能力排序，规格II 利用季度变异并控制季度共同冲击。规格II 一律使用 alpha_q——旧面板中 ff5_adj_return 在基金内为常数（362 只基金各仅一个取值），直接做季度回归会机械放大样本量并虚增 t 值，这正是改进主动份额结论反复的根源（见 3.4）。</w:t>
      </w:r>
    </w:p>
    <w:p>
      <w:pPr>
        <w:spacing w:before="240" w:after="120"/>
      </w:pPr>
      <w:r>
        <w:rPr>
          <w:rFonts w:ascii="Times New Roman" w:hAnsi="Times New Roman" w:eastAsia="黑体"/>
          <w:b/>
          <w:i w:val="0"/>
          <w:sz w:val="24"/>
        </w:rPr>
        <w:t>3.4  检验结果</w:t>
      </w:r>
    </w:p>
    <w:p>
      <w:pPr>
        <w:spacing w:after="120" w:line="312" w:lineRule="auto"/>
        <w:ind w:firstLine="420"/>
      </w:pPr>
      <w:r>
        <w:rPr>
          <w:rFonts w:ascii="Times New Roman" w:hAnsi="Times New Roman" w:eastAsia="宋体"/>
          <w:b w:val="0"/>
          <w:i w:val="0"/>
          <w:sz w:val="21"/>
        </w:rPr>
        <w:t>表 4 汇总 15 个成分指标在两个规格下的单变量回归结果。15 个成分的方向全部与文献预期一致：L2 的 risk_asym 正向、de 与 oc_conf 负向；L3 的 ICI 正向、ISDI 负向；L4 的 ARG、timing 与三个转化测度正向；L5 的 SDI 负向；L1 三成分均负向（任职越短、基金越新、规模越小，alpha 越高）。显著性上，以规格 I 为主口径，L2–L5 的十二个成分全部达到 5% 水平（其中 oc_conf 与 lsv 在规格 II 下不显著，因方向与规格 I 一致而保留在复合得分中）；L1 三成分中基金年龄在 1% 水平显著、任职年限在 10% 水平边际显著、规模方向一致但不显著（t=−1.16），故 L1 的显著性主要由基金年龄承载。</w:t>
      </w:r>
    </w:p>
    <w:p>
      <w:pPr>
        <w:spacing w:before="120" w:after="60"/>
        <w:jc w:val="center"/>
      </w:pPr>
      <w:r>
        <w:rPr>
          <w:rFonts w:ascii="Times New Roman" w:hAnsi="Times New Roman" w:eastAsia="黑体"/>
          <w:b/>
          <w:i w:val="0"/>
          <w:sz w:val="18"/>
        </w:rPr>
        <w:t>表 4  指标汇总表：各层次指标的显著性结果（单变量回归）</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077"/>
          </w:tcPr>
          <w:p>
            <w:pPr>
              <w:spacing w:before="20" w:after="20" w:line="259" w:lineRule="auto"/>
              <w:ind w:firstLine="0"/>
              <w:jc w:val="center"/>
            </w:pPr>
            <w:r/>
            <w:r>
              <w:rPr>
                <w:rFonts w:ascii="Times New Roman" w:hAnsi="Times New Roman" w:eastAsia="黑体"/>
                <w:b/>
                <w:i w:val="0"/>
                <w:sz w:val="15"/>
              </w:rPr>
              <w:t>层级</w:t>
            </w:r>
          </w:p>
        </w:tc>
        <w:tc>
          <w:tcPr>
            <w:tcW w:type="dxa" w:w="1361"/>
          </w:tcPr>
          <w:p>
            <w:pPr>
              <w:spacing w:before="20" w:after="20" w:line="259" w:lineRule="auto"/>
              <w:ind w:firstLine="0"/>
              <w:jc w:val="center"/>
            </w:pPr>
            <w:r/>
            <w:r>
              <w:rPr>
                <w:rFonts w:ascii="Times New Roman" w:hAnsi="Times New Roman" w:eastAsia="黑体"/>
                <w:b/>
                <w:i w:val="0"/>
                <w:sz w:val="15"/>
              </w:rPr>
              <w:t>指标</w:t>
            </w:r>
          </w:p>
        </w:tc>
        <w:tc>
          <w:tcPr>
            <w:tcW w:type="dxa" w:w="1871"/>
          </w:tcPr>
          <w:p>
            <w:pPr>
              <w:spacing w:before="20" w:after="20" w:line="259" w:lineRule="auto"/>
              <w:ind w:firstLine="0"/>
              <w:jc w:val="center"/>
            </w:pPr>
            <w:r/>
            <w:r>
              <w:rPr>
                <w:rFonts w:ascii="Times New Roman" w:hAnsi="Times New Roman" w:eastAsia="黑体"/>
                <w:b/>
                <w:i w:val="0"/>
                <w:sz w:val="15"/>
              </w:rPr>
              <w:t>计算（公式）</w:t>
            </w:r>
          </w:p>
        </w:tc>
        <w:tc>
          <w:tcPr>
            <w:tcW w:type="dxa" w:w="1247"/>
          </w:tcPr>
          <w:p>
            <w:pPr>
              <w:spacing w:before="20" w:after="20" w:line="259" w:lineRule="auto"/>
              <w:ind w:firstLine="0"/>
              <w:jc w:val="center"/>
            </w:pPr>
            <w:r/>
            <w:r>
              <w:rPr>
                <w:rFonts w:ascii="Times New Roman" w:hAnsi="Times New Roman" w:eastAsia="黑体"/>
                <w:b/>
                <w:i w:val="0"/>
                <w:sz w:val="15"/>
              </w:rPr>
              <w:t>规格I（横截面）</w:t>
            </w:r>
          </w:p>
        </w:tc>
        <w:tc>
          <w:tcPr>
            <w:tcW w:type="dxa" w:w="1247"/>
          </w:tcPr>
          <w:p>
            <w:pPr>
              <w:spacing w:before="20" w:after="20" w:line="259" w:lineRule="auto"/>
              <w:ind w:firstLine="0"/>
              <w:jc w:val="center"/>
            </w:pPr>
            <w:r/>
            <w:r>
              <w:rPr>
                <w:rFonts w:ascii="Times New Roman" w:hAnsi="Times New Roman" w:eastAsia="黑体"/>
                <w:b/>
                <w:i w:val="0"/>
                <w:sz w:val="15"/>
              </w:rPr>
              <w:t>规格II（面板）</w:t>
            </w:r>
          </w:p>
        </w:tc>
        <w:tc>
          <w:tcPr>
            <w:tcW w:type="dxa" w:w="2778"/>
          </w:tcPr>
          <w:p>
            <w:pPr>
              <w:spacing w:before="20" w:after="20" w:line="259" w:lineRule="auto"/>
              <w:ind w:firstLine="0"/>
              <w:jc w:val="center"/>
            </w:pPr>
            <w:r/>
            <w:r>
              <w:rPr>
                <w:rFonts w:ascii="Times New Roman" w:hAnsi="Times New Roman" w:eastAsia="黑体"/>
                <w:b/>
                <w:i w:val="0"/>
                <w:sz w:val="15"/>
              </w:rPr>
              <w:t>代表意义</w:t>
            </w:r>
          </w:p>
        </w:tc>
      </w:tr>
      <w:tr>
        <w:tc>
          <w:tcPr>
            <w:tcW w:type="dxa" w:w="1077"/>
          </w:tcPr>
          <w:p>
            <w:pPr>
              <w:spacing w:before="20" w:after="20" w:line="259" w:lineRule="auto"/>
              <w:ind w:firstLine="0"/>
              <w:jc w:val="left"/>
            </w:pPr>
            <w:r/>
            <w:r>
              <w:rPr>
                <w:rFonts w:ascii="Times New Roman" w:hAnsi="Times New Roman" w:eastAsia="宋体"/>
                <w:b w:val="0"/>
                <w:i w:val="0"/>
                <w:sz w:val="15"/>
              </w:rPr>
              <w:t>L1 基本面层</w:t>
            </w:r>
          </w:p>
        </w:tc>
        <w:tc>
          <w:tcPr>
            <w:tcW w:type="dxa" w:w="1361"/>
          </w:tcPr>
          <w:p>
            <w:pPr>
              <w:spacing w:before="20" w:after="20" w:line="259" w:lineRule="auto"/>
              <w:ind w:firstLine="0"/>
              <w:jc w:val="left"/>
            </w:pPr>
            <w:r/>
            <w:r>
              <w:rPr>
                <w:rFonts w:ascii="Times New Roman" w:hAnsi="Times New Roman" w:eastAsia="宋体"/>
                <w:b w:val="0"/>
                <w:i w:val="0"/>
                <w:sz w:val="15"/>
              </w:rPr>
              <w:t>mgr_total_tenure_v2</w:t>
              <w:br/>
            </w:r>
            <w:r>
              <w:rPr>
                <w:rFonts w:ascii="Times New Roman" w:hAnsi="Times New Roman" w:eastAsia="宋体"/>
                <w:b w:val="0"/>
                <w:i w:val="0"/>
                <w:sz w:val="15"/>
              </w:rPr>
              <w:t>任职年限（天）</w:t>
            </w:r>
          </w:p>
        </w:tc>
        <w:tc>
          <w:tcPr>
            <w:tcW w:type="dxa" w:w="1871"/>
          </w:tcPr>
          <w:p>
            <w:pPr>
              <w:spacing w:before="20" w:after="20" w:line="259" w:lineRule="auto"/>
              <w:ind w:firstLine="0"/>
              <w:jc w:val="left"/>
            </w:pPr>
            <w:r/>
            <w:r>
              <w:rPr>
                <w:rFonts w:ascii="Times New Roman" w:hAnsi="Times New Roman" w:eastAsia="宋体"/>
                <w:b w:val="0"/>
                <w:i w:val="0"/>
                <w:sz w:val="15"/>
              </w:rPr>
              <w:t>观测日−首次任职日（天）</w:t>
            </w:r>
          </w:p>
        </w:tc>
        <w:tc>
          <w:tcPr>
            <w:tcW w:type="dxa" w:w="1247"/>
          </w:tcPr>
          <w:p>
            <w:pPr>
              <w:spacing w:before="20" w:after="20" w:line="259" w:lineRule="auto"/>
              <w:ind w:firstLine="0"/>
              <w:jc w:val="center"/>
            </w:pPr>
            <w:r/>
            <w:r>
              <w:rPr>
                <w:rFonts w:ascii="Times New Roman" w:hAnsi="Times New Roman" w:eastAsia="宋体"/>
                <w:b w:val="0"/>
                <w:i w:val="0"/>
                <w:sz w:val="15"/>
              </w:rPr>
              <w:t>t=-1.85*（单变量）</w:t>
            </w:r>
          </w:p>
        </w:tc>
        <w:tc>
          <w:tcPr>
            <w:tcW w:type="dxa" w:w="1247"/>
          </w:tcPr>
          <w:p>
            <w:pPr>
              <w:spacing w:before="20" w:after="20" w:line="259" w:lineRule="auto"/>
              <w:ind w:firstLine="0"/>
              <w:jc w:val="center"/>
            </w:pPr>
            <w:r/>
            <w:r>
              <w:rPr>
                <w:rFonts w:ascii="Times New Roman" w:hAnsi="Times New Roman" w:eastAsia="宋体"/>
                <w:b w:val="0"/>
                <w:i w:val="0"/>
                <w:sz w:val="15"/>
              </w:rPr>
              <w:t>—（控制层，并入规格I）</w:t>
            </w:r>
          </w:p>
        </w:tc>
        <w:tc>
          <w:tcPr>
            <w:tcW w:type="dxa" w:w="2778"/>
          </w:tcPr>
          <w:p>
            <w:pPr>
              <w:spacing w:before="20" w:after="20" w:line="259" w:lineRule="auto"/>
              <w:ind w:firstLine="0"/>
              <w:jc w:val="left"/>
            </w:pPr>
            <w:r/>
            <w:r>
              <w:rPr>
                <w:rFonts w:ascii="Times New Roman" w:hAnsi="Times New Roman" w:eastAsia="宋体"/>
                <w:b w:val="0"/>
                <w:i w:val="0"/>
                <w:sz w:val="15"/>
              </w:rPr>
              <w:t>经验悖论：任职越久 alpha 越低</w:t>
            </w:r>
          </w:p>
        </w:tc>
      </w:tr>
      <w:tr>
        <w:tc>
          <w:tcPr>
            <w:tcW w:type="dxa" w:w="1077"/>
          </w:tcPr>
          <w:p>
            <w:pPr>
              <w:spacing w:before="20" w:after="20" w:line="259" w:lineRule="auto"/>
              <w:ind w:firstLine="0"/>
              <w:jc w:val="left"/>
            </w:pPr>
            <w:r/>
            <w:r>
              <w:rPr>
                <w:rFonts w:ascii="Times New Roman" w:hAnsi="Times New Roman" w:eastAsia="宋体"/>
                <w:b w:val="0"/>
                <w:i w:val="0"/>
                <w:sz w:val="15"/>
              </w:rPr>
              <w:t>L1 基本面层</w:t>
            </w:r>
          </w:p>
        </w:tc>
        <w:tc>
          <w:tcPr>
            <w:tcW w:type="dxa" w:w="1361"/>
          </w:tcPr>
          <w:p>
            <w:pPr>
              <w:spacing w:before="20" w:after="20" w:line="259" w:lineRule="auto"/>
              <w:ind w:firstLine="0"/>
              <w:jc w:val="left"/>
            </w:pPr>
            <w:r/>
            <w:r>
              <w:rPr>
                <w:rFonts w:ascii="Times New Roman" w:hAnsi="Times New Roman" w:eastAsia="宋体"/>
                <w:b w:val="0"/>
                <w:i w:val="0"/>
                <w:sz w:val="15"/>
              </w:rPr>
              <w:t>log_fund_age</w:t>
              <w:br/>
            </w:r>
            <w:r>
              <w:rPr>
                <w:rFonts w:ascii="Times New Roman" w:hAnsi="Times New Roman" w:eastAsia="宋体"/>
                <w:b w:val="0"/>
                <w:i w:val="0"/>
                <w:sz w:val="15"/>
              </w:rPr>
              <w:t>log 基金年龄</w:t>
            </w:r>
          </w:p>
        </w:tc>
        <w:tc>
          <w:tcPr>
            <w:tcW w:type="dxa" w:w="1871"/>
          </w:tcPr>
          <w:p>
            <w:pPr>
              <w:spacing w:before="20" w:after="20" w:line="259" w:lineRule="auto"/>
              <w:ind w:firstLine="0"/>
              <w:jc w:val="left"/>
            </w:pPr>
            <w:r/>
            <w:r>
              <w:rPr>
                <w:rFonts w:ascii="Times New Roman" w:hAnsi="Times New Roman" w:eastAsia="宋体"/>
                <w:b w:val="0"/>
                <w:i w:val="0"/>
                <w:sz w:val="15"/>
              </w:rPr>
              <w:t>ln(存续月数)</w:t>
            </w:r>
          </w:p>
        </w:tc>
        <w:tc>
          <w:tcPr>
            <w:tcW w:type="dxa" w:w="1247"/>
          </w:tcPr>
          <w:p>
            <w:pPr>
              <w:spacing w:before="20" w:after="20" w:line="259" w:lineRule="auto"/>
              <w:ind w:firstLine="0"/>
              <w:jc w:val="center"/>
            </w:pPr>
            <w:r/>
            <w:r>
              <w:rPr>
                <w:rFonts w:ascii="Times New Roman" w:hAnsi="Times New Roman" w:eastAsia="宋体"/>
                <w:b w:val="0"/>
                <w:i w:val="0"/>
                <w:sz w:val="15"/>
              </w:rPr>
              <w:t>t=-4.13***（单变量）</w:t>
            </w:r>
          </w:p>
        </w:tc>
        <w:tc>
          <w:tcPr>
            <w:tcW w:type="dxa" w:w="1247"/>
          </w:tcPr>
          <w:p>
            <w:pPr>
              <w:spacing w:before="20" w:after="20" w:line="259" w:lineRule="auto"/>
              <w:ind w:firstLine="0"/>
              <w:jc w:val="center"/>
            </w:pPr>
            <w:r/>
            <w:r>
              <w:rPr>
                <w:rFonts w:ascii="Times New Roman" w:hAnsi="Times New Roman" w:eastAsia="宋体"/>
                <w:b w:val="0"/>
                <w:i w:val="0"/>
                <w:sz w:val="15"/>
              </w:rPr>
              <w:t>—（控制层，并入规格I）</w:t>
            </w:r>
          </w:p>
        </w:tc>
        <w:tc>
          <w:tcPr>
            <w:tcW w:type="dxa" w:w="2778"/>
          </w:tcPr>
          <w:p>
            <w:pPr>
              <w:spacing w:before="20" w:after="20" w:line="259" w:lineRule="auto"/>
              <w:ind w:firstLine="0"/>
              <w:jc w:val="left"/>
            </w:pPr>
            <w:r/>
            <w:r>
              <w:rPr>
                <w:rFonts w:ascii="Times New Roman" w:hAnsi="Times New Roman" w:eastAsia="宋体"/>
                <w:b w:val="0"/>
                <w:i w:val="0"/>
                <w:sz w:val="15"/>
              </w:rPr>
              <w:t>新基金效应：基金越新 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L1 基本面层</w:t>
            </w:r>
          </w:p>
        </w:tc>
        <w:tc>
          <w:tcPr>
            <w:tcW w:type="dxa" w:w="1361"/>
          </w:tcPr>
          <w:p>
            <w:pPr>
              <w:spacing w:before="20" w:after="20" w:line="259" w:lineRule="auto"/>
              <w:ind w:firstLine="0"/>
              <w:jc w:val="left"/>
            </w:pPr>
            <w:r/>
            <w:r>
              <w:rPr>
                <w:rFonts w:ascii="Times New Roman" w:hAnsi="Times New Roman" w:eastAsia="宋体"/>
                <w:b w:val="0"/>
                <w:i w:val="0"/>
                <w:sz w:val="15"/>
              </w:rPr>
              <w:t>log_aum</w:t>
              <w:br/>
            </w:r>
            <w:r>
              <w:rPr>
                <w:rFonts w:ascii="Times New Roman" w:hAnsi="Times New Roman" w:eastAsia="宋体"/>
                <w:b w:val="0"/>
                <w:i w:val="0"/>
                <w:sz w:val="15"/>
              </w:rPr>
              <w:t>log 基金规模</w:t>
            </w:r>
          </w:p>
        </w:tc>
        <w:tc>
          <w:tcPr>
            <w:tcW w:type="dxa" w:w="1871"/>
          </w:tcPr>
          <w:p>
            <w:pPr>
              <w:spacing w:before="20" w:after="20" w:line="259" w:lineRule="auto"/>
              <w:ind w:firstLine="0"/>
              <w:jc w:val="left"/>
            </w:pPr>
            <w:r/>
            <w:r>
              <w:rPr>
                <w:rFonts w:ascii="Times New Roman" w:hAnsi="Times New Roman" w:eastAsia="宋体"/>
                <w:b w:val="0"/>
                <w:i w:val="0"/>
                <w:sz w:val="15"/>
              </w:rPr>
              <w:t>ln(平均规模，亿元)</w:t>
            </w:r>
          </w:p>
        </w:tc>
        <w:tc>
          <w:tcPr>
            <w:tcW w:type="dxa" w:w="1247"/>
          </w:tcPr>
          <w:p>
            <w:pPr>
              <w:spacing w:before="20" w:after="20" w:line="259" w:lineRule="auto"/>
              <w:ind w:firstLine="0"/>
              <w:jc w:val="center"/>
            </w:pPr>
            <w:r/>
            <w:r>
              <w:rPr>
                <w:rFonts w:ascii="Times New Roman" w:hAnsi="Times New Roman" w:eastAsia="宋体"/>
                <w:b w:val="0"/>
                <w:i w:val="0"/>
                <w:sz w:val="15"/>
              </w:rPr>
              <w:t>t=-1.16（单变量）</w:t>
            </w:r>
          </w:p>
        </w:tc>
        <w:tc>
          <w:tcPr>
            <w:tcW w:type="dxa" w:w="1247"/>
          </w:tcPr>
          <w:p>
            <w:pPr>
              <w:spacing w:before="20" w:after="20" w:line="259" w:lineRule="auto"/>
              <w:ind w:firstLine="0"/>
              <w:jc w:val="center"/>
            </w:pPr>
            <w:r/>
            <w:r>
              <w:rPr>
                <w:rFonts w:ascii="Times New Roman" w:hAnsi="Times New Roman" w:eastAsia="宋体"/>
                <w:b w:val="0"/>
                <w:i w:val="0"/>
                <w:sz w:val="15"/>
              </w:rPr>
              <w:t>—（控制层，并入规格I）</w:t>
            </w:r>
          </w:p>
        </w:tc>
        <w:tc>
          <w:tcPr>
            <w:tcW w:type="dxa" w:w="2778"/>
          </w:tcPr>
          <w:p>
            <w:pPr>
              <w:spacing w:before="20" w:after="20" w:line="259" w:lineRule="auto"/>
              <w:ind w:firstLine="0"/>
              <w:jc w:val="left"/>
            </w:pPr>
            <w:r/>
            <w:r>
              <w:rPr>
                <w:rFonts w:ascii="Times New Roman" w:hAnsi="Times New Roman" w:eastAsia="宋体"/>
                <w:b w:val="0"/>
                <w:i w:val="0"/>
                <w:sz w:val="15"/>
              </w:rPr>
              <w:t>规模不经济：规模越小 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L2 认知层</w:t>
            </w:r>
          </w:p>
        </w:tc>
        <w:tc>
          <w:tcPr>
            <w:tcW w:type="dxa" w:w="1361"/>
          </w:tcPr>
          <w:p>
            <w:pPr>
              <w:spacing w:before="20" w:after="20" w:line="259" w:lineRule="auto"/>
              <w:ind w:firstLine="0"/>
              <w:jc w:val="left"/>
            </w:pPr>
            <w:r/>
            <w:r>
              <w:rPr>
                <w:rFonts w:ascii="Times New Roman" w:hAnsi="Times New Roman" w:eastAsia="宋体"/>
                <w:b w:val="0"/>
                <w:i w:val="0"/>
                <w:sz w:val="15"/>
              </w:rPr>
              <w:t>risk_asym</w:t>
              <w:br/>
            </w:r>
            <w:r>
              <w:rPr>
                <w:rFonts w:ascii="Times New Roman" w:hAnsi="Times New Roman" w:eastAsia="宋体"/>
                <w:b w:val="0"/>
                <w:i w:val="0"/>
                <w:sz w:val="15"/>
              </w:rPr>
              <w:t>风险偏好不对称性</w:t>
            </w:r>
          </w:p>
        </w:tc>
        <w:tc>
          <w:tcPr>
            <w:tcW w:type="dxa" w:w="1871"/>
          </w:tcPr>
          <w:p>
            <w:pPr>
              <w:spacing w:before="20" w:after="20" w:line="259" w:lineRule="auto"/>
              <w:ind w:firstLine="0"/>
              <w:jc w:val="left"/>
            </w:pPr>
            <w:r/>
            <w:r>
              <w:rPr>
                <w:rFonts w:ascii="Times New Roman" w:hAnsi="Times New Roman" w:eastAsia="宋体"/>
                <w:b w:val="0"/>
                <w:i w:val="0"/>
                <w:sz w:val="15"/>
              </w:rPr>
              <w:t>σ(盈利期收益)−σ(亏损期收益)，滚动8季</w:t>
            </w:r>
          </w:p>
        </w:tc>
        <w:tc>
          <w:tcPr>
            <w:tcW w:type="dxa" w:w="1247"/>
          </w:tcPr>
          <w:p>
            <w:pPr>
              <w:spacing w:before="20" w:after="20" w:line="259" w:lineRule="auto"/>
              <w:ind w:firstLine="0"/>
              <w:jc w:val="center"/>
            </w:pPr>
            <w:r/>
            <w:r>
              <w:rPr>
                <w:rFonts w:ascii="Times New Roman" w:hAnsi="Times New Roman" w:eastAsia="宋体"/>
                <w:b w:val="0"/>
                <w:i w:val="0"/>
                <w:sz w:val="15"/>
              </w:rPr>
              <w:t>t=+3.10***</w:t>
            </w:r>
          </w:p>
        </w:tc>
        <w:tc>
          <w:tcPr>
            <w:tcW w:type="dxa" w:w="1247"/>
          </w:tcPr>
          <w:p>
            <w:pPr>
              <w:spacing w:before="20" w:after="20" w:line="259" w:lineRule="auto"/>
              <w:ind w:firstLine="0"/>
              <w:jc w:val="center"/>
            </w:pPr>
            <w:r/>
            <w:r>
              <w:rPr>
                <w:rFonts w:ascii="Times New Roman" w:hAnsi="Times New Roman" w:eastAsia="宋体"/>
                <w:b w:val="0"/>
                <w:i w:val="0"/>
                <w:sz w:val="15"/>
              </w:rPr>
              <w:t>t=+11.68***</w:t>
            </w:r>
          </w:p>
        </w:tc>
        <w:tc>
          <w:tcPr>
            <w:tcW w:type="dxa" w:w="2778"/>
          </w:tcPr>
          <w:p>
            <w:pPr>
              <w:spacing w:before="20" w:after="20" w:line="259" w:lineRule="auto"/>
              <w:ind w:firstLine="0"/>
              <w:jc w:val="left"/>
            </w:pPr>
            <w:r/>
            <w:r>
              <w:rPr>
                <w:rFonts w:ascii="Times New Roman" w:hAnsi="Times New Roman" w:eastAsia="宋体"/>
                <w:b w:val="0"/>
                <w:i w:val="0"/>
                <w:sz w:val="15"/>
              </w:rPr>
              <w:t>盈时进攻、亏时防守的波动不对称</w:t>
            </w:r>
          </w:p>
        </w:tc>
      </w:tr>
      <w:tr>
        <w:tc>
          <w:tcPr>
            <w:tcW w:type="dxa" w:w="1077"/>
          </w:tcPr>
          <w:p>
            <w:pPr>
              <w:spacing w:before="20" w:after="20" w:line="259" w:lineRule="auto"/>
              <w:ind w:firstLine="0"/>
              <w:jc w:val="left"/>
            </w:pPr>
            <w:r/>
            <w:r>
              <w:rPr>
                <w:rFonts w:ascii="Times New Roman" w:hAnsi="Times New Roman" w:eastAsia="宋体"/>
                <w:b w:val="0"/>
                <w:i w:val="0"/>
                <w:sz w:val="15"/>
              </w:rPr>
              <w:t>L2 认知层</w:t>
            </w:r>
          </w:p>
        </w:tc>
        <w:tc>
          <w:tcPr>
            <w:tcW w:type="dxa" w:w="1361"/>
          </w:tcPr>
          <w:p>
            <w:pPr>
              <w:spacing w:before="20" w:after="20" w:line="259" w:lineRule="auto"/>
              <w:ind w:firstLine="0"/>
              <w:jc w:val="left"/>
            </w:pPr>
            <w:r/>
            <w:r>
              <w:rPr>
                <w:rFonts w:ascii="Times New Roman" w:hAnsi="Times New Roman" w:eastAsia="宋体"/>
                <w:b w:val="0"/>
                <w:i w:val="0"/>
                <w:sz w:val="15"/>
              </w:rPr>
              <w:t>de</w:t>
              <w:br/>
            </w:r>
            <w:r>
              <w:rPr>
                <w:rFonts w:ascii="Times New Roman" w:hAnsi="Times New Roman" w:eastAsia="宋体"/>
                <w:b w:val="0"/>
                <w:i w:val="0"/>
                <w:sz w:val="15"/>
              </w:rPr>
              <w:t>处置效应</w:t>
            </w:r>
          </w:p>
        </w:tc>
        <w:tc>
          <w:tcPr>
            <w:tcW w:type="dxa" w:w="1871"/>
          </w:tcPr>
          <w:p>
            <w:pPr>
              <w:spacing w:before="20" w:after="20" w:line="259" w:lineRule="auto"/>
              <w:ind w:firstLine="0"/>
              <w:jc w:val="left"/>
            </w:pPr>
            <w:r/>
            <w:r>
              <w:rPr>
                <w:rFonts w:ascii="Times New Roman" w:hAnsi="Times New Roman" w:eastAsia="宋体"/>
                <w:b w:val="0"/>
                <w:i w:val="0"/>
                <w:sz w:val="15"/>
              </w:rPr>
              <w:t>PGR−PLR（Odean 1998）</w:t>
            </w:r>
          </w:p>
        </w:tc>
        <w:tc>
          <w:tcPr>
            <w:tcW w:type="dxa" w:w="1247"/>
          </w:tcPr>
          <w:p>
            <w:pPr>
              <w:spacing w:before="20" w:after="20" w:line="259" w:lineRule="auto"/>
              <w:ind w:firstLine="0"/>
              <w:jc w:val="center"/>
            </w:pPr>
            <w:r/>
            <w:r>
              <w:rPr>
                <w:rFonts w:ascii="Times New Roman" w:hAnsi="Times New Roman" w:eastAsia="宋体"/>
                <w:b w:val="0"/>
                <w:i w:val="0"/>
                <w:sz w:val="15"/>
              </w:rPr>
              <w:t>t=-4.46***</w:t>
            </w:r>
          </w:p>
        </w:tc>
        <w:tc>
          <w:tcPr>
            <w:tcW w:type="dxa" w:w="1247"/>
          </w:tcPr>
          <w:p>
            <w:pPr>
              <w:spacing w:before="20" w:after="20" w:line="259" w:lineRule="auto"/>
              <w:ind w:firstLine="0"/>
              <w:jc w:val="center"/>
            </w:pPr>
            <w:r/>
            <w:r>
              <w:rPr>
                <w:rFonts w:ascii="Times New Roman" w:hAnsi="Times New Roman" w:eastAsia="宋体"/>
                <w:b w:val="0"/>
                <w:i w:val="0"/>
                <w:sz w:val="15"/>
              </w:rPr>
              <w:t>t=-10.17***</w:t>
            </w:r>
          </w:p>
        </w:tc>
        <w:tc>
          <w:tcPr>
            <w:tcW w:type="dxa" w:w="2778"/>
          </w:tcPr>
          <w:p>
            <w:pPr>
              <w:spacing w:before="20" w:after="20" w:line="259" w:lineRule="auto"/>
              <w:ind w:firstLine="0"/>
              <w:jc w:val="left"/>
            </w:pPr>
            <w:r/>
            <w:r>
              <w:rPr>
                <w:rFonts w:ascii="Times New Roman" w:hAnsi="Times New Roman" w:eastAsia="宋体"/>
                <w:b w:val="0"/>
                <w:i w:val="0"/>
                <w:sz w:val="15"/>
              </w:rPr>
              <w:t>处置效应越强（售盈持亏），alpha 越低</w:t>
            </w:r>
          </w:p>
        </w:tc>
      </w:tr>
      <w:tr>
        <w:tc>
          <w:tcPr>
            <w:tcW w:type="dxa" w:w="1077"/>
          </w:tcPr>
          <w:p>
            <w:pPr>
              <w:spacing w:before="20" w:after="20" w:line="259" w:lineRule="auto"/>
              <w:ind w:firstLine="0"/>
              <w:jc w:val="left"/>
            </w:pPr>
            <w:r/>
            <w:r>
              <w:rPr>
                <w:rFonts w:ascii="Times New Roman" w:hAnsi="Times New Roman" w:eastAsia="宋体"/>
                <w:b w:val="0"/>
                <w:i w:val="0"/>
                <w:sz w:val="15"/>
              </w:rPr>
              <w:t>L2 认知层</w:t>
            </w:r>
          </w:p>
        </w:tc>
        <w:tc>
          <w:tcPr>
            <w:tcW w:type="dxa" w:w="1361"/>
          </w:tcPr>
          <w:p>
            <w:pPr>
              <w:spacing w:before="20" w:after="20" w:line="259" w:lineRule="auto"/>
              <w:ind w:firstLine="0"/>
              <w:jc w:val="left"/>
            </w:pPr>
            <w:r/>
            <w:r>
              <w:rPr>
                <w:rFonts w:ascii="Times New Roman" w:hAnsi="Times New Roman" w:eastAsia="宋体"/>
                <w:b w:val="0"/>
                <w:i w:val="0"/>
                <w:sz w:val="15"/>
              </w:rPr>
              <w:t>oc_conf</w:t>
              <w:br/>
            </w:r>
            <w:r>
              <w:rPr>
                <w:rFonts w:ascii="Times New Roman" w:hAnsi="Times New Roman" w:eastAsia="宋体"/>
                <w:b w:val="0"/>
                <w:i w:val="0"/>
                <w:sz w:val="15"/>
              </w:rPr>
              <w:t>过度自信（换手×过度交易）</w:t>
            </w:r>
          </w:p>
        </w:tc>
        <w:tc>
          <w:tcPr>
            <w:tcW w:type="dxa" w:w="1871"/>
          </w:tcPr>
          <w:p>
            <w:pPr>
              <w:spacing w:before="20" w:after="20" w:line="259" w:lineRule="auto"/>
              <w:ind w:firstLine="0"/>
              <w:jc w:val="left"/>
            </w:pPr>
            <w:r/>
            <w:r>
              <w:rPr>
                <w:rFonts w:ascii="Times New Roman" w:hAnsi="Times New Roman" w:eastAsia="宋体"/>
                <w:b w:val="0"/>
                <w:i w:val="0"/>
                <w:sz w:val="15"/>
              </w:rPr>
              <w:t>ΔTO_t×1(R_{t−1}&gt;0)</w:t>
            </w:r>
          </w:p>
        </w:tc>
        <w:tc>
          <w:tcPr>
            <w:tcW w:type="dxa" w:w="1247"/>
          </w:tcPr>
          <w:p>
            <w:pPr>
              <w:spacing w:before="20" w:after="20" w:line="259" w:lineRule="auto"/>
              <w:ind w:firstLine="0"/>
              <w:jc w:val="center"/>
            </w:pPr>
            <w:r/>
            <w:r>
              <w:rPr>
                <w:rFonts w:ascii="Times New Roman" w:hAnsi="Times New Roman" w:eastAsia="宋体"/>
                <w:b w:val="0"/>
                <w:i w:val="0"/>
                <w:sz w:val="15"/>
              </w:rPr>
              <w:t>t=-4.11***</w:t>
            </w:r>
          </w:p>
        </w:tc>
        <w:tc>
          <w:tcPr>
            <w:tcW w:type="dxa" w:w="1247"/>
          </w:tcPr>
          <w:p>
            <w:pPr>
              <w:spacing w:before="20" w:after="20" w:line="259" w:lineRule="auto"/>
              <w:ind w:firstLine="0"/>
              <w:jc w:val="center"/>
            </w:pPr>
            <w:r/>
            <w:r>
              <w:rPr>
                <w:rFonts w:ascii="Times New Roman" w:hAnsi="Times New Roman" w:eastAsia="宋体"/>
                <w:b w:val="0"/>
                <w:i w:val="0"/>
                <w:sz w:val="15"/>
              </w:rPr>
              <w:t>t=-0.47</w:t>
            </w:r>
          </w:p>
        </w:tc>
        <w:tc>
          <w:tcPr>
            <w:tcW w:type="dxa" w:w="2778"/>
          </w:tcPr>
          <w:p>
            <w:pPr>
              <w:spacing w:before="20" w:after="20" w:line="259" w:lineRule="auto"/>
              <w:ind w:firstLine="0"/>
              <w:jc w:val="left"/>
            </w:pPr>
            <w:r/>
            <w:r>
              <w:rPr>
                <w:rFonts w:ascii="Times New Roman" w:hAnsi="Times New Roman" w:eastAsia="宋体"/>
                <w:b w:val="0"/>
                <w:i w:val="0"/>
                <w:sz w:val="15"/>
              </w:rPr>
              <w:t>业绩变好后换手放大（过度自信），alpha 越低</w:t>
            </w:r>
          </w:p>
        </w:tc>
      </w:tr>
      <w:tr>
        <w:tc>
          <w:tcPr>
            <w:tcW w:type="dxa" w:w="1077"/>
          </w:tcPr>
          <w:p>
            <w:pPr>
              <w:spacing w:before="20" w:after="20" w:line="259" w:lineRule="auto"/>
              <w:ind w:firstLine="0"/>
              <w:jc w:val="left"/>
            </w:pPr>
            <w:r/>
            <w:r>
              <w:rPr>
                <w:rFonts w:ascii="Times New Roman" w:hAnsi="Times New Roman" w:eastAsia="宋体"/>
                <w:b w:val="0"/>
                <w:i w:val="0"/>
                <w:sz w:val="15"/>
              </w:rPr>
              <w:t>L3 选择层</w:t>
            </w:r>
          </w:p>
        </w:tc>
        <w:tc>
          <w:tcPr>
            <w:tcW w:type="dxa" w:w="1361"/>
          </w:tcPr>
          <w:p>
            <w:pPr>
              <w:spacing w:before="20" w:after="20" w:line="259" w:lineRule="auto"/>
              <w:ind w:firstLine="0"/>
              <w:jc w:val="left"/>
            </w:pPr>
            <w:r/>
            <w:r>
              <w:rPr>
                <w:rFonts w:ascii="Times New Roman" w:hAnsi="Times New Roman" w:eastAsia="宋体"/>
                <w:b w:val="0"/>
                <w:i w:val="0"/>
                <w:sz w:val="15"/>
              </w:rPr>
              <w:t>ICI</w:t>
              <w:br/>
            </w:r>
            <w:r>
              <w:rPr>
                <w:rFonts w:ascii="Times New Roman" w:hAnsi="Times New Roman" w:eastAsia="宋体"/>
                <w:b w:val="0"/>
                <w:i w:val="0"/>
                <w:sz w:val="15"/>
              </w:rPr>
              <w:t>行业集中度</w:t>
            </w:r>
          </w:p>
        </w:tc>
        <w:tc>
          <w:tcPr>
            <w:tcW w:type="dxa" w:w="1871"/>
          </w:tcPr>
          <w:p>
            <w:pPr>
              <w:spacing w:before="20" w:after="20" w:line="259" w:lineRule="auto"/>
              <w:ind w:firstLine="0"/>
              <w:jc w:val="left"/>
            </w:pPr>
            <w:r/>
            <w:r>
              <w:rPr>
                <w:rFonts w:ascii="Times New Roman" w:hAnsi="Times New Roman" w:eastAsia="宋体"/>
                <w:b w:val="0"/>
                <w:i w:val="0"/>
                <w:sz w:val="15"/>
              </w:rPr>
              <w:t>Σ_j(w_j−w̄_j)²，申万31</w:t>
            </w:r>
          </w:p>
        </w:tc>
        <w:tc>
          <w:tcPr>
            <w:tcW w:type="dxa" w:w="1247"/>
          </w:tcPr>
          <w:p>
            <w:pPr>
              <w:spacing w:before="20" w:after="20" w:line="259" w:lineRule="auto"/>
              <w:ind w:firstLine="0"/>
              <w:jc w:val="center"/>
            </w:pPr>
            <w:r/>
            <w:r>
              <w:rPr>
                <w:rFonts w:ascii="Times New Roman" w:hAnsi="Times New Roman" w:eastAsia="宋体"/>
                <w:b w:val="0"/>
                <w:i w:val="0"/>
                <w:sz w:val="15"/>
              </w:rPr>
              <w:t>t=+4.43***</w:t>
            </w:r>
          </w:p>
        </w:tc>
        <w:tc>
          <w:tcPr>
            <w:tcW w:type="dxa" w:w="1247"/>
          </w:tcPr>
          <w:p>
            <w:pPr>
              <w:spacing w:before="20" w:after="20" w:line="259" w:lineRule="auto"/>
              <w:ind w:firstLine="0"/>
              <w:jc w:val="center"/>
            </w:pPr>
            <w:r/>
            <w:r>
              <w:rPr>
                <w:rFonts w:ascii="Times New Roman" w:hAnsi="Times New Roman" w:eastAsia="宋体"/>
                <w:b w:val="0"/>
                <w:i w:val="0"/>
                <w:sz w:val="15"/>
              </w:rPr>
              <w:t>t=+8.80***</w:t>
            </w:r>
          </w:p>
        </w:tc>
        <w:tc>
          <w:tcPr>
            <w:tcW w:type="dxa" w:w="2778"/>
          </w:tcPr>
          <w:p>
            <w:pPr>
              <w:spacing w:before="20" w:after="20" w:line="259" w:lineRule="auto"/>
              <w:ind w:firstLine="0"/>
              <w:jc w:val="left"/>
            </w:pPr>
            <w:r/>
            <w:r>
              <w:rPr>
                <w:rFonts w:ascii="Times New Roman" w:hAnsi="Times New Roman" w:eastAsia="宋体"/>
                <w:b w:val="0"/>
                <w:i w:val="0"/>
                <w:sz w:val="15"/>
              </w:rPr>
              <w:t>行业集中押注体现配置信息优势，alpha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L3 选择层</w:t>
            </w:r>
          </w:p>
        </w:tc>
        <w:tc>
          <w:tcPr>
            <w:tcW w:type="dxa" w:w="1361"/>
          </w:tcPr>
          <w:p>
            <w:pPr>
              <w:spacing w:before="20" w:after="20" w:line="259" w:lineRule="auto"/>
              <w:ind w:firstLine="0"/>
              <w:jc w:val="left"/>
            </w:pPr>
            <w:r/>
            <w:r>
              <w:rPr>
                <w:rFonts w:ascii="Times New Roman" w:hAnsi="Times New Roman" w:eastAsia="宋体"/>
                <w:b w:val="0"/>
                <w:i w:val="0"/>
                <w:sz w:val="15"/>
              </w:rPr>
              <w:t>ISDI</w:t>
              <w:br/>
            </w:r>
            <w:r>
              <w:rPr>
                <w:rFonts w:ascii="Times New Roman" w:hAnsi="Times New Roman" w:eastAsia="宋体"/>
                <w:b w:val="0"/>
                <w:i w:val="0"/>
                <w:sz w:val="15"/>
              </w:rPr>
              <w:t>行业风格漂移指数</w:t>
            </w:r>
          </w:p>
        </w:tc>
        <w:tc>
          <w:tcPr>
            <w:tcW w:type="dxa" w:w="1871"/>
          </w:tcPr>
          <w:p>
            <w:pPr>
              <w:spacing w:before="20" w:after="20" w:line="259" w:lineRule="auto"/>
              <w:ind w:firstLine="0"/>
              <w:jc w:val="left"/>
            </w:pPr>
            <w:r/>
            <w:r>
              <w:rPr>
                <w:rFonts w:ascii="Times New Roman" w:hAnsi="Times New Roman" w:eastAsia="宋体"/>
                <w:b w:val="0"/>
                <w:i w:val="0"/>
                <w:sz w:val="15"/>
              </w:rPr>
              <w:t>行业组权重相邻期曼哈顿距离</w:t>
            </w:r>
          </w:p>
        </w:tc>
        <w:tc>
          <w:tcPr>
            <w:tcW w:type="dxa" w:w="1247"/>
          </w:tcPr>
          <w:p>
            <w:pPr>
              <w:spacing w:before="20" w:after="20" w:line="259" w:lineRule="auto"/>
              <w:ind w:firstLine="0"/>
              <w:jc w:val="center"/>
            </w:pPr>
            <w:r/>
            <w:r>
              <w:rPr>
                <w:rFonts w:ascii="Times New Roman" w:hAnsi="Times New Roman" w:eastAsia="宋体"/>
                <w:b w:val="0"/>
                <w:i w:val="0"/>
                <w:sz w:val="15"/>
              </w:rPr>
              <w:t>t=-3.33***</w:t>
            </w:r>
          </w:p>
        </w:tc>
        <w:tc>
          <w:tcPr>
            <w:tcW w:type="dxa" w:w="1247"/>
          </w:tcPr>
          <w:p>
            <w:pPr>
              <w:spacing w:before="20" w:after="20" w:line="259" w:lineRule="auto"/>
              <w:ind w:firstLine="0"/>
              <w:jc w:val="center"/>
            </w:pPr>
            <w:r/>
            <w:r>
              <w:rPr>
                <w:rFonts w:ascii="Times New Roman" w:hAnsi="Times New Roman" w:eastAsia="宋体"/>
                <w:b w:val="0"/>
                <w:i w:val="0"/>
                <w:sz w:val="15"/>
              </w:rPr>
              <w:t>t=-5.77***</w:t>
            </w:r>
          </w:p>
        </w:tc>
        <w:tc>
          <w:tcPr>
            <w:tcW w:type="dxa" w:w="2778"/>
          </w:tcPr>
          <w:p>
            <w:pPr>
              <w:spacing w:before="20" w:after="20" w:line="259" w:lineRule="auto"/>
              <w:ind w:firstLine="0"/>
              <w:jc w:val="left"/>
            </w:pPr>
            <w:r/>
            <w:r>
              <w:rPr>
                <w:rFonts w:ascii="Times New Roman" w:hAnsi="Times New Roman" w:eastAsia="宋体"/>
                <w:b w:val="0"/>
                <w:i w:val="0"/>
                <w:sz w:val="15"/>
              </w:rPr>
              <w:t>行业风格轮动越频繁，alpha 越低</w:t>
            </w:r>
          </w:p>
        </w:tc>
      </w:tr>
      <w:tr>
        <w:tc>
          <w:tcPr>
            <w:tcW w:type="dxa" w:w="1077"/>
          </w:tcPr>
          <w:p>
            <w:pPr>
              <w:spacing w:before="20" w:after="20" w:line="259" w:lineRule="auto"/>
              <w:ind w:firstLine="0"/>
              <w:jc w:val="left"/>
            </w:pPr>
            <w:r/>
            <w:r>
              <w:rPr>
                <w:rFonts w:ascii="Times New Roman" w:hAnsi="Times New Roman" w:eastAsia="宋体"/>
                <w:b w:val="0"/>
                <w:i w:val="0"/>
                <w:sz w:val="15"/>
              </w:rPr>
              <w:t>L4 风险应对层</w:t>
            </w:r>
          </w:p>
        </w:tc>
        <w:tc>
          <w:tcPr>
            <w:tcW w:type="dxa" w:w="1361"/>
          </w:tcPr>
          <w:p>
            <w:pPr>
              <w:spacing w:before="20" w:after="20" w:line="259" w:lineRule="auto"/>
              <w:ind w:firstLine="0"/>
              <w:jc w:val="left"/>
            </w:pPr>
            <w:r/>
            <w:r>
              <w:rPr>
                <w:rFonts w:ascii="Times New Roman" w:hAnsi="Times New Roman" w:eastAsia="宋体"/>
                <w:b w:val="0"/>
                <w:i w:val="0"/>
                <w:sz w:val="15"/>
              </w:rPr>
              <w:t>ARG</w:t>
              <w:br/>
            </w:r>
            <w:r>
              <w:rPr>
                <w:rFonts w:ascii="Times New Roman" w:hAnsi="Times New Roman" w:eastAsia="宋体"/>
                <w:b w:val="0"/>
                <w:i w:val="0"/>
                <w:sz w:val="15"/>
              </w:rPr>
              <w:t>调仓幅度</w:t>
            </w:r>
          </w:p>
        </w:tc>
        <w:tc>
          <w:tcPr>
            <w:tcW w:type="dxa" w:w="1871"/>
          </w:tcPr>
          <w:p>
            <w:pPr>
              <w:spacing w:before="20" w:after="20" w:line="259" w:lineRule="auto"/>
              <w:ind w:firstLine="0"/>
              <w:jc w:val="left"/>
            </w:pPr>
            <w:r/>
            <w:r>
              <w:rPr>
                <w:rFonts w:ascii="Times New Roman" w:hAnsi="Times New Roman" w:eastAsia="宋体"/>
                <w:b w:val="0"/>
                <w:i w:val="0"/>
                <w:sz w:val="15"/>
              </w:rPr>
              <w:t>季度内月度调仓偏离绝对值之和</w:t>
            </w:r>
          </w:p>
        </w:tc>
        <w:tc>
          <w:tcPr>
            <w:tcW w:type="dxa" w:w="1247"/>
          </w:tcPr>
          <w:p>
            <w:pPr>
              <w:spacing w:before="20" w:after="20" w:line="259" w:lineRule="auto"/>
              <w:ind w:firstLine="0"/>
              <w:jc w:val="center"/>
            </w:pPr>
            <w:r/>
            <w:r>
              <w:rPr>
                <w:rFonts w:ascii="Times New Roman" w:hAnsi="Times New Roman" w:eastAsia="宋体"/>
                <w:b w:val="0"/>
                <w:i w:val="0"/>
                <w:sz w:val="15"/>
              </w:rPr>
              <w:t>t=+3.06***</w:t>
            </w:r>
          </w:p>
        </w:tc>
        <w:tc>
          <w:tcPr>
            <w:tcW w:type="dxa" w:w="1247"/>
          </w:tcPr>
          <w:p>
            <w:pPr>
              <w:spacing w:before="20" w:after="20" w:line="259" w:lineRule="auto"/>
              <w:ind w:firstLine="0"/>
              <w:jc w:val="center"/>
            </w:pPr>
            <w:r/>
            <w:r>
              <w:rPr>
                <w:rFonts w:ascii="Times New Roman" w:hAnsi="Times New Roman" w:eastAsia="宋体"/>
                <w:b w:val="0"/>
                <w:i w:val="0"/>
                <w:sz w:val="15"/>
              </w:rPr>
              <w:t>t=+14.87***</w:t>
            </w:r>
          </w:p>
        </w:tc>
        <w:tc>
          <w:tcPr>
            <w:tcW w:type="dxa" w:w="2778"/>
          </w:tcPr>
          <w:p>
            <w:pPr>
              <w:spacing w:before="20" w:after="20" w:line="259" w:lineRule="auto"/>
              <w:ind w:firstLine="0"/>
              <w:jc w:val="left"/>
            </w:pPr>
            <w:r/>
            <w:r>
              <w:rPr>
                <w:rFonts w:ascii="Times New Roman" w:hAnsi="Times New Roman" w:eastAsia="宋体"/>
                <w:b w:val="0"/>
                <w:i w:val="0"/>
                <w:sz w:val="15"/>
              </w:rPr>
              <w:t>持仓外操作幅度越大，alpha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L4 风险应对层</w:t>
            </w:r>
          </w:p>
        </w:tc>
        <w:tc>
          <w:tcPr>
            <w:tcW w:type="dxa" w:w="1361"/>
          </w:tcPr>
          <w:p>
            <w:pPr>
              <w:spacing w:before="20" w:after="20" w:line="259" w:lineRule="auto"/>
              <w:ind w:firstLine="0"/>
              <w:jc w:val="left"/>
            </w:pPr>
            <w:r/>
            <w:r>
              <w:rPr>
                <w:rFonts w:ascii="Times New Roman" w:hAnsi="Times New Roman" w:eastAsia="宋体"/>
                <w:b w:val="0"/>
                <w:i w:val="0"/>
                <w:sz w:val="15"/>
              </w:rPr>
              <w:t>timing</w:t>
              <w:br/>
            </w:r>
            <w:r>
              <w:rPr>
                <w:rFonts w:ascii="Times New Roman" w:hAnsi="Times New Roman" w:eastAsia="宋体"/>
                <w:b w:val="0"/>
                <w:i w:val="0"/>
                <w:sz w:val="15"/>
              </w:rPr>
              <w:t>下行保护系数（−HM γ）</w:t>
            </w:r>
          </w:p>
        </w:tc>
        <w:tc>
          <w:tcPr>
            <w:tcW w:type="dxa" w:w="1871"/>
          </w:tcPr>
          <w:p>
            <w:pPr>
              <w:spacing w:before="20" w:after="20" w:line="259" w:lineRule="auto"/>
              <w:ind w:firstLine="0"/>
              <w:jc w:val="left"/>
            </w:pPr>
            <w:r/>
            <w:r>
              <w:rPr>
                <w:rFonts w:ascii="Times New Roman" w:hAnsi="Times New Roman" w:eastAsia="宋体"/>
                <w:b w:val="0"/>
                <w:i w:val="0"/>
                <w:sz w:val="15"/>
              </w:rPr>
              <w:t>−γ（HM 分段回归）</w:t>
            </w:r>
          </w:p>
        </w:tc>
        <w:tc>
          <w:tcPr>
            <w:tcW w:type="dxa" w:w="1247"/>
          </w:tcPr>
          <w:p>
            <w:pPr>
              <w:spacing w:before="20" w:after="20" w:line="259" w:lineRule="auto"/>
              <w:ind w:firstLine="0"/>
              <w:jc w:val="center"/>
            </w:pPr>
            <w:r/>
            <w:r>
              <w:rPr>
                <w:rFonts w:ascii="Times New Roman" w:hAnsi="Times New Roman" w:eastAsia="宋体"/>
                <w:b w:val="0"/>
                <w:i w:val="0"/>
                <w:sz w:val="15"/>
              </w:rPr>
              <w:t>t=+5.19***（n=355）</w:t>
            </w:r>
          </w:p>
        </w:tc>
        <w:tc>
          <w:tcPr>
            <w:tcW w:type="dxa" w:w="1247"/>
          </w:tcPr>
          <w:p>
            <w:pPr>
              <w:spacing w:before="20" w:after="20" w:line="259" w:lineRule="auto"/>
              <w:ind w:firstLine="0"/>
              <w:jc w:val="center"/>
            </w:pPr>
            <w:r/>
            <w:r>
              <w:rPr>
                <w:rFonts w:ascii="Times New Roman" w:hAnsi="Times New Roman" w:eastAsia="宋体"/>
                <w:b w:val="0"/>
                <w:i w:val="0"/>
                <w:sz w:val="15"/>
              </w:rPr>
              <w:t>—（年度回归，并入规格I）</w:t>
            </w:r>
          </w:p>
        </w:tc>
        <w:tc>
          <w:tcPr>
            <w:tcW w:type="dxa" w:w="2778"/>
          </w:tcPr>
          <w:p>
            <w:pPr>
              <w:spacing w:before="20" w:after="20" w:line="259" w:lineRule="auto"/>
              <w:ind w:firstLine="0"/>
              <w:jc w:val="left"/>
            </w:pPr>
            <w:r/>
            <w:r>
              <w:rPr>
                <w:rFonts w:ascii="Times New Roman" w:hAnsi="Times New Roman" w:eastAsia="宋体"/>
                <w:b w:val="0"/>
                <w:i w:val="0"/>
                <w:sz w:val="15"/>
              </w:rPr>
              <w:t>下跌市场中的保护能力越强，alpha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L4 风险应对层·转化</w:t>
            </w:r>
          </w:p>
        </w:tc>
        <w:tc>
          <w:tcPr>
            <w:tcW w:type="dxa" w:w="1361"/>
          </w:tcPr>
          <w:p>
            <w:pPr>
              <w:spacing w:before="20" w:after="20" w:line="259" w:lineRule="auto"/>
              <w:ind w:firstLine="0"/>
              <w:jc w:val="left"/>
            </w:pPr>
            <w:r/>
            <w:r>
              <w:rPr>
                <w:rFonts w:ascii="Times New Roman" w:hAnsi="Times New Roman" w:eastAsia="宋体"/>
                <w:b w:val="0"/>
                <w:i w:val="0"/>
                <w:sz w:val="15"/>
              </w:rPr>
              <w:t>mppm8_lag</w:t>
              <w:br/>
            </w:r>
            <w:r>
              <w:rPr>
                <w:rFonts w:ascii="Times New Roman" w:hAnsi="Times New Roman" w:eastAsia="宋体"/>
                <w:b w:val="0"/>
                <w:i w:val="0"/>
                <w:sz w:val="15"/>
              </w:rPr>
              <w:t>操纵稳健业绩测度MPPM</w:t>
            </w:r>
          </w:p>
        </w:tc>
        <w:tc>
          <w:tcPr>
            <w:tcW w:type="dxa" w:w="1871"/>
          </w:tcPr>
          <w:p>
            <w:pPr>
              <w:spacing w:before="20" w:after="20" w:line="259" w:lineRule="auto"/>
              <w:ind w:firstLine="0"/>
              <w:jc w:val="left"/>
            </w:pPr>
            <w:r/>
            <w:r>
              <w:rPr>
                <w:rFonts w:ascii="Times New Roman" w:hAnsi="Times New Roman" w:eastAsia="宋体"/>
                <w:b w:val="0"/>
                <w:i w:val="0"/>
                <w:sz w:val="15"/>
              </w:rPr>
              <w:t>MPPM(RHO=3)，滚动8季，滞后一期</w:t>
            </w:r>
          </w:p>
        </w:tc>
        <w:tc>
          <w:tcPr>
            <w:tcW w:type="dxa" w:w="1247"/>
          </w:tcPr>
          <w:p>
            <w:pPr>
              <w:spacing w:before="20" w:after="20" w:line="259" w:lineRule="auto"/>
              <w:ind w:firstLine="0"/>
              <w:jc w:val="center"/>
            </w:pPr>
            <w:r/>
            <w:r>
              <w:rPr>
                <w:rFonts w:ascii="Times New Roman" w:hAnsi="Times New Roman" w:eastAsia="宋体"/>
                <w:b w:val="0"/>
                <w:i w:val="0"/>
                <w:sz w:val="15"/>
              </w:rPr>
              <w:t>t=+11.22***</w:t>
            </w:r>
          </w:p>
        </w:tc>
        <w:tc>
          <w:tcPr>
            <w:tcW w:type="dxa" w:w="1247"/>
          </w:tcPr>
          <w:p>
            <w:pPr>
              <w:spacing w:before="20" w:after="20" w:line="259" w:lineRule="auto"/>
              <w:ind w:firstLine="0"/>
              <w:jc w:val="center"/>
            </w:pPr>
            <w:r/>
            <w:r>
              <w:rPr>
                <w:rFonts w:ascii="Times New Roman" w:hAnsi="Times New Roman" w:eastAsia="宋体"/>
                <w:b w:val="0"/>
                <w:i w:val="0"/>
                <w:sz w:val="15"/>
              </w:rPr>
              <w:t>t=+4.92***</w:t>
            </w:r>
          </w:p>
        </w:tc>
        <w:tc>
          <w:tcPr>
            <w:tcW w:type="dxa" w:w="2778"/>
          </w:tcPr>
          <w:p>
            <w:pPr>
              <w:spacing w:before="20" w:after="20" w:line="259" w:lineRule="auto"/>
              <w:ind w:firstLine="0"/>
              <w:jc w:val="left"/>
            </w:pPr>
            <w:r/>
            <w:r>
              <w:rPr>
                <w:rFonts w:ascii="Times New Roman" w:hAnsi="Times New Roman" w:eastAsia="宋体"/>
                <w:b w:val="0"/>
                <w:i w:val="0"/>
                <w:sz w:val="15"/>
              </w:rPr>
              <w:t>抗操纵风险调整业绩越好，alpha 越高（单指标 t 最高，但概念同源，见 3.5）</w:t>
            </w:r>
          </w:p>
        </w:tc>
      </w:tr>
      <w:tr>
        <w:tc>
          <w:tcPr>
            <w:tcW w:type="dxa" w:w="1077"/>
          </w:tcPr>
          <w:p>
            <w:pPr>
              <w:spacing w:before="20" w:after="20" w:line="259" w:lineRule="auto"/>
              <w:ind w:firstLine="0"/>
              <w:jc w:val="left"/>
            </w:pPr>
            <w:r/>
            <w:r>
              <w:rPr>
                <w:rFonts w:ascii="Times New Roman" w:hAnsi="Times New Roman" w:eastAsia="宋体"/>
                <w:b w:val="0"/>
                <w:i w:val="0"/>
                <w:sz w:val="15"/>
              </w:rPr>
              <w:t>L4 风险应对层·转化</w:t>
            </w:r>
          </w:p>
        </w:tc>
        <w:tc>
          <w:tcPr>
            <w:tcW w:type="dxa" w:w="1361"/>
          </w:tcPr>
          <w:p>
            <w:pPr>
              <w:spacing w:before="20" w:after="20" w:line="259" w:lineRule="auto"/>
              <w:ind w:firstLine="0"/>
              <w:jc w:val="left"/>
            </w:pPr>
            <w:r/>
            <w:r>
              <w:rPr>
                <w:rFonts w:ascii="Times New Roman" w:hAnsi="Times New Roman" w:eastAsia="宋体"/>
                <w:b w:val="0"/>
                <w:i w:val="0"/>
                <w:sz w:val="15"/>
              </w:rPr>
              <w:t>sortino8_lag</w:t>
              <w:br/>
            </w:r>
            <w:r>
              <w:rPr>
                <w:rFonts w:ascii="Times New Roman" w:hAnsi="Times New Roman" w:eastAsia="宋体"/>
                <w:b w:val="0"/>
                <w:i w:val="0"/>
                <w:sz w:val="15"/>
              </w:rPr>
              <w:t>Sortino比率</w:t>
            </w:r>
          </w:p>
        </w:tc>
        <w:tc>
          <w:tcPr>
            <w:tcW w:type="dxa" w:w="1871"/>
          </w:tcPr>
          <w:p>
            <w:pPr>
              <w:spacing w:before="20" w:after="20" w:line="259" w:lineRule="auto"/>
              <w:ind w:firstLine="0"/>
              <w:jc w:val="left"/>
            </w:pPr>
            <w:r/>
            <w:r>
              <w:rPr>
                <w:rFonts w:ascii="Times New Roman" w:hAnsi="Times New Roman" w:eastAsia="宋体"/>
                <w:b w:val="0"/>
                <w:i w:val="0"/>
                <w:sz w:val="15"/>
              </w:rPr>
              <w:t>均值/下行波动，滚动8季，滞后一期</w:t>
            </w:r>
          </w:p>
        </w:tc>
        <w:tc>
          <w:tcPr>
            <w:tcW w:type="dxa" w:w="1247"/>
          </w:tcPr>
          <w:p>
            <w:pPr>
              <w:spacing w:before="20" w:after="20" w:line="259" w:lineRule="auto"/>
              <w:ind w:firstLine="0"/>
              <w:jc w:val="center"/>
            </w:pPr>
            <w:r/>
            <w:r>
              <w:rPr>
                <w:rFonts w:ascii="Times New Roman" w:hAnsi="Times New Roman" w:eastAsia="宋体"/>
                <w:b w:val="0"/>
                <w:i w:val="0"/>
                <w:sz w:val="15"/>
              </w:rPr>
              <w:t>t=+5.18***</w:t>
            </w:r>
          </w:p>
        </w:tc>
        <w:tc>
          <w:tcPr>
            <w:tcW w:type="dxa" w:w="1247"/>
          </w:tcPr>
          <w:p>
            <w:pPr>
              <w:spacing w:before="20" w:after="20" w:line="259" w:lineRule="auto"/>
              <w:ind w:firstLine="0"/>
              <w:jc w:val="center"/>
            </w:pPr>
            <w:r/>
            <w:r>
              <w:rPr>
                <w:rFonts w:ascii="Times New Roman" w:hAnsi="Times New Roman" w:eastAsia="宋体"/>
                <w:b w:val="0"/>
                <w:i w:val="0"/>
                <w:sz w:val="15"/>
              </w:rPr>
              <w:t>t=+5.38***</w:t>
            </w:r>
          </w:p>
        </w:tc>
        <w:tc>
          <w:tcPr>
            <w:tcW w:type="dxa" w:w="2778"/>
          </w:tcPr>
          <w:p>
            <w:pPr>
              <w:spacing w:before="20" w:after="20" w:line="259" w:lineRule="auto"/>
              <w:ind w:firstLine="0"/>
              <w:jc w:val="left"/>
            </w:pPr>
            <w:r/>
            <w:r>
              <w:rPr>
                <w:rFonts w:ascii="Times New Roman" w:hAnsi="Times New Roman" w:eastAsia="宋体"/>
                <w:b w:val="0"/>
                <w:i w:val="0"/>
                <w:sz w:val="15"/>
              </w:rPr>
              <w:t>下行风险转化质量越好，alpha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L4 风险应对层·转化</w:t>
            </w:r>
          </w:p>
        </w:tc>
        <w:tc>
          <w:tcPr>
            <w:tcW w:type="dxa" w:w="1361"/>
          </w:tcPr>
          <w:p>
            <w:pPr>
              <w:spacing w:before="20" w:after="20" w:line="259" w:lineRule="auto"/>
              <w:ind w:firstLine="0"/>
              <w:jc w:val="left"/>
            </w:pPr>
            <w:r/>
            <w:r>
              <w:rPr>
                <w:rFonts w:ascii="Times New Roman" w:hAnsi="Times New Roman" w:eastAsia="宋体"/>
                <w:b w:val="0"/>
                <w:i w:val="0"/>
                <w:sz w:val="15"/>
              </w:rPr>
              <w:t>sharpe8_lag</w:t>
              <w:br/>
            </w:r>
            <w:r>
              <w:rPr>
                <w:rFonts w:ascii="Times New Roman" w:hAnsi="Times New Roman" w:eastAsia="宋体"/>
                <w:b w:val="0"/>
                <w:i w:val="0"/>
                <w:sz w:val="15"/>
              </w:rPr>
              <w:t>Sharpe比率</w:t>
            </w:r>
          </w:p>
        </w:tc>
        <w:tc>
          <w:tcPr>
            <w:tcW w:type="dxa" w:w="1871"/>
          </w:tcPr>
          <w:p>
            <w:pPr>
              <w:spacing w:before="20" w:after="20" w:line="259" w:lineRule="auto"/>
              <w:ind w:firstLine="0"/>
              <w:jc w:val="left"/>
            </w:pPr>
            <w:r/>
            <w:r>
              <w:rPr>
                <w:rFonts w:ascii="Times New Roman" w:hAnsi="Times New Roman" w:eastAsia="宋体"/>
                <w:b w:val="0"/>
                <w:i w:val="0"/>
                <w:sz w:val="15"/>
              </w:rPr>
              <w:t>均值/总波动，滚动8季，滞后一期</w:t>
            </w:r>
          </w:p>
        </w:tc>
        <w:tc>
          <w:tcPr>
            <w:tcW w:type="dxa" w:w="1247"/>
          </w:tcPr>
          <w:p>
            <w:pPr>
              <w:spacing w:before="20" w:after="20" w:line="259" w:lineRule="auto"/>
              <w:ind w:firstLine="0"/>
              <w:jc w:val="center"/>
            </w:pPr>
            <w:r/>
            <w:r>
              <w:rPr>
                <w:rFonts w:ascii="Times New Roman" w:hAnsi="Times New Roman" w:eastAsia="宋体"/>
                <w:b w:val="0"/>
                <w:i w:val="0"/>
                <w:sz w:val="15"/>
              </w:rPr>
              <w:t>t=+7.89***</w:t>
            </w:r>
          </w:p>
        </w:tc>
        <w:tc>
          <w:tcPr>
            <w:tcW w:type="dxa" w:w="1247"/>
          </w:tcPr>
          <w:p>
            <w:pPr>
              <w:spacing w:before="20" w:after="20" w:line="259" w:lineRule="auto"/>
              <w:ind w:firstLine="0"/>
              <w:jc w:val="center"/>
            </w:pPr>
            <w:r/>
            <w:r>
              <w:rPr>
                <w:rFonts w:ascii="Times New Roman" w:hAnsi="Times New Roman" w:eastAsia="宋体"/>
                <w:b w:val="0"/>
                <w:i w:val="0"/>
                <w:sz w:val="15"/>
              </w:rPr>
              <w:t>t=+3.00***</w:t>
            </w:r>
          </w:p>
        </w:tc>
        <w:tc>
          <w:tcPr>
            <w:tcW w:type="dxa" w:w="2778"/>
          </w:tcPr>
          <w:p>
            <w:pPr>
              <w:spacing w:before="20" w:after="20" w:line="259" w:lineRule="auto"/>
              <w:ind w:firstLine="0"/>
              <w:jc w:val="left"/>
            </w:pPr>
            <w:r/>
            <w:r>
              <w:rPr>
                <w:rFonts w:ascii="Times New Roman" w:hAnsi="Times New Roman" w:eastAsia="宋体"/>
                <w:b w:val="0"/>
                <w:i w:val="0"/>
                <w:sz w:val="15"/>
              </w:rPr>
              <w:t>总风险转化质量越好，alpha 越高</w:t>
            </w:r>
          </w:p>
        </w:tc>
      </w:tr>
      <w:tr>
        <w:tc>
          <w:tcPr>
            <w:tcW w:type="dxa" w:w="1077"/>
          </w:tcPr>
          <w:p>
            <w:pPr>
              <w:spacing w:before="20" w:after="20" w:line="259" w:lineRule="auto"/>
              <w:ind w:firstLine="0"/>
              <w:jc w:val="left"/>
            </w:pPr>
            <w:r/>
            <w:r>
              <w:rPr>
                <w:rFonts w:ascii="Times New Roman" w:hAnsi="Times New Roman" w:eastAsia="宋体"/>
                <w:b w:val="0"/>
                <w:i w:val="0"/>
                <w:sz w:val="15"/>
              </w:rPr>
              <w:t>L5 交易执行层</w:t>
            </w:r>
          </w:p>
        </w:tc>
        <w:tc>
          <w:tcPr>
            <w:tcW w:type="dxa" w:w="1361"/>
          </w:tcPr>
          <w:p>
            <w:pPr>
              <w:spacing w:before="20" w:after="20" w:line="259" w:lineRule="auto"/>
              <w:ind w:firstLine="0"/>
              <w:jc w:val="left"/>
            </w:pPr>
            <w:r/>
            <w:r>
              <w:rPr>
                <w:rFonts w:ascii="Times New Roman" w:hAnsi="Times New Roman" w:eastAsia="宋体"/>
                <w:b w:val="0"/>
                <w:i w:val="0"/>
                <w:sz w:val="15"/>
              </w:rPr>
              <w:t>SDI</w:t>
              <w:br/>
            </w:r>
            <w:r>
              <w:rPr>
                <w:rFonts w:ascii="Times New Roman" w:hAnsi="Times New Roman" w:eastAsia="宋体"/>
                <w:b w:val="0"/>
                <w:i w:val="0"/>
                <w:sz w:val="15"/>
              </w:rPr>
              <w:t>策略偏离指数</w:t>
            </w:r>
          </w:p>
        </w:tc>
        <w:tc>
          <w:tcPr>
            <w:tcW w:type="dxa" w:w="1871"/>
          </w:tcPr>
          <w:p>
            <w:pPr>
              <w:spacing w:before="20" w:after="20" w:line="259" w:lineRule="auto"/>
              <w:ind w:firstLine="0"/>
              <w:jc w:val="left"/>
            </w:pPr>
            <w:r/>
            <w:r>
              <w:rPr>
                <w:rFonts w:ascii="Times New Roman" w:hAnsi="Times New Roman" w:eastAsia="宋体"/>
                <w:b w:val="0"/>
                <w:i w:val="0"/>
                <w:sz w:val="15"/>
              </w:rPr>
              <w:t>风格回归权重相邻期曼哈顿距离</w:t>
            </w:r>
          </w:p>
        </w:tc>
        <w:tc>
          <w:tcPr>
            <w:tcW w:type="dxa" w:w="1247"/>
          </w:tcPr>
          <w:p>
            <w:pPr>
              <w:spacing w:before="20" w:after="20" w:line="259" w:lineRule="auto"/>
              <w:ind w:firstLine="0"/>
              <w:jc w:val="center"/>
            </w:pPr>
            <w:r/>
            <w:r>
              <w:rPr>
                <w:rFonts w:ascii="Times New Roman" w:hAnsi="Times New Roman" w:eastAsia="宋体"/>
                <w:b w:val="0"/>
                <w:i w:val="0"/>
                <w:sz w:val="15"/>
              </w:rPr>
              <w:t>t=-2.12**</w:t>
            </w:r>
          </w:p>
        </w:tc>
        <w:tc>
          <w:tcPr>
            <w:tcW w:type="dxa" w:w="1247"/>
          </w:tcPr>
          <w:p>
            <w:pPr>
              <w:spacing w:before="20" w:after="20" w:line="259" w:lineRule="auto"/>
              <w:ind w:firstLine="0"/>
              <w:jc w:val="center"/>
            </w:pPr>
            <w:r/>
            <w:r>
              <w:rPr>
                <w:rFonts w:ascii="Times New Roman" w:hAnsi="Times New Roman" w:eastAsia="宋体"/>
                <w:b w:val="0"/>
                <w:i w:val="0"/>
                <w:sz w:val="15"/>
              </w:rPr>
              <w:t>t=-3.99***</w:t>
            </w:r>
          </w:p>
        </w:tc>
        <w:tc>
          <w:tcPr>
            <w:tcW w:type="dxa" w:w="2778"/>
          </w:tcPr>
          <w:p>
            <w:pPr>
              <w:spacing w:before="20" w:after="20" w:line="259" w:lineRule="auto"/>
              <w:ind w:firstLine="0"/>
              <w:jc w:val="left"/>
            </w:pPr>
            <w:r/>
            <w:r>
              <w:rPr>
                <w:rFonts w:ascii="Times New Roman" w:hAnsi="Times New Roman" w:eastAsia="宋体"/>
                <w:b w:val="0"/>
                <w:i w:val="0"/>
                <w:sz w:val="15"/>
              </w:rPr>
              <w:t>净值风格漂移越大，alpha 越低</w:t>
            </w:r>
          </w:p>
        </w:tc>
      </w:tr>
      <w:tr>
        <w:tc>
          <w:tcPr>
            <w:tcW w:type="dxa" w:w="1077"/>
          </w:tcPr>
          <w:p>
            <w:pPr>
              <w:spacing w:before="20" w:after="20" w:line="259" w:lineRule="auto"/>
              <w:ind w:firstLine="0"/>
              <w:jc w:val="left"/>
            </w:pPr>
            <w:r/>
            <w:r>
              <w:rPr>
                <w:rFonts w:ascii="Times New Roman" w:hAnsi="Times New Roman" w:eastAsia="宋体"/>
                <w:b w:val="0"/>
                <w:i w:val="0"/>
                <w:sz w:val="15"/>
              </w:rPr>
              <w:t>L5 交易执行层</w:t>
            </w:r>
          </w:p>
        </w:tc>
        <w:tc>
          <w:tcPr>
            <w:tcW w:type="dxa" w:w="1361"/>
          </w:tcPr>
          <w:p>
            <w:pPr>
              <w:spacing w:before="20" w:after="20" w:line="259" w:lineRule="auto"/>
              <w:ind w:firstLine="0"/>
              <w:jc w:val="left"/>
            </w:pPr>
            <w:r/>
            <w:r>
              <w:rPr>
                <w:rFonts w:ascii="Times New Roman" w:hAnsi="Times New Roman" w:eastAsia="宋体"/>
                <w:b w:val="0"/>
                <w:i w:val="0"/>
                <w:sz w:val="15"/>
              </w:rPr>
              <w:t>lsv</w:t>
              <w:br/>
            </w:r>
            <w:r>
              <w:rPr>
                <w:rFonts w:ascii="Times New Roman" w:hAnsi="Times New Roman" w:eastAsia="宋体"/>
                <w:b w:val="0"/>
                <w:i w:val="0"/>
                <w:sz w:val="15"/>
              </w:rPr>
              <w:t>交易趋同度LSV</w:t>
            </w:r>
          </w:p>
        </w:tc>
        <w:tc>
          <w:tcPr>
            <w:tcW w:type="dxa" w:w="1871"/>
          </w:tcPr>
          <w:p>
            <w:pPr>
              <w:spacing w:before="20" w:after="20" w:line="259" w:lineRule="auto"/>
              <w:ind w:firstLine="0"/>
              <w:jc w:val="left"/>
            </w:pPr>
            <w:r/>
            <w:r>
              <w:rPr>
                <w:rFonts w:ascii="Times New Roman" w:hAnsi="Times New Roman" w:eastAsia="宋体"/>
                <w:b w:val="0"/>
                <w:i w:val="0"/>
                <w:sz w:val="15"/>
              </w:rPr>
              <w:t>均值_i(|p_i−p̄_t|−AF)</w:t>
            </w:r>
          </w:p>
        </w:tc>
        <w:tc>
          <w:tcPr>
            <w:tcW w:type="dxa" w:w="1247"/>
          </w:tcPr>
          <w:p>
            <w:pPr>
              <w:spacing w:before="20" w:after="20" w:line="259" w:lineRule="auto"/>
              <w:ind w:firstLine="0"/>
              <w:jc w:val="center"/>
            </w:pPr>
            <w:r/>
            <w:r>
              <w:rPr>
                <w:rFonts w:ascii="Times New Roman" w:hAnsi="Times New Roman" w:eastAsia="宋体"/>
                <w:b w:val="0"/>
                <w:i w:val="0"/>
                <w:sz w:val="15"/>
              </w:rPr>
              <w:t>t=+1.99**</w:t>
            </w:r>
          </w:p>
        </w:tc>
        <w:tc>
          <w:tcPr>
            <w:tcW w:type="dxa" w:w="1247"/>
          </w:tcPr>
          <w:p>
            <w:pPr>
              <w:spacing w:before="20" w:after="20" w:line="259" w:lineRule="auto"/>
              <w:ind w:firstLine="0"/>
              <w:jc w:val="center"/>
            </w:pPr>
            <w:r/>
            <w:r>
              <w:rPr>
                <w:rFonts w:ascii="Times New Roman" w:hAnsi="Times New Roman" w:eastAsia="宋体"/>
                <w:b w:val="0"/>
                <w:i w:val="0"/>
                <w:sz w:val="15"/>
              </w:rPr>
              <w:t>t=+1.19</w:t>
            </w:r>
          </w:p>
        </w:tc>
        <w:tc>
          <w:tcPr>
            <w:tcW w:type="dxa" w:w="2778"/>
          </w:tcPr>
          <w:p>
            <w:pPr>
              <w:spacing w:before="20" w:after="20" w:line="259" w:lineRule="auto"/>
              <w:ind w:firstLine="0"/>
              <w:jc w:val="left"/>
            </w:pPr>
            <w:r/>
            <w:r>
              <w:rPr>
                <w:rFonts w:ascii="Times New Roman" w:hAnsi="Times New Roman" w:eastAsia="宋体"/>
                <w:b w:val="0"/>
                <w:i w:val="0"/>
                <w:sz w:val="15"/>
              </w:rPr>
              <w:t>交易趋同为正向（与羊群理论预期相反，定性为时期依存＋被同层掩盖）</w:t>
            </w:r>
          </w:p>
        </w:tc>
      </w:tr>
    </w:tbl>
    <w:p>
      <w:pPr>
        <w:spacing w:before="60" w:after="200"/>
      </w:pPr>
      <w:r>
        <w:rPr>
          <w:rFonts w:ascii="Times New Roman" w:hAnsi="Times New Roman" w:eastAsia="宋体"/>
          <w:b w:val="0"/>
          <w:i w:val="0"/>
          <w:sz w:val="17"/>
        </w:rPr>
        <w:t>注：***、**、* 分别表示 1%、5%、10% 水平显著。L1 三成分即控制变量组，其规格I 为单变量回归（自我控制无意义）；L2–L5 成分的规格I 均含三控制变量。timing 为 Henriksson-Merton 分段回归系数，并入规格I 报告。四项指标经检验后剔除：改进主动份额（符号翻转，见表 5）、换手率（双口径不显著）、追涨杀跌（覆盖率 53.5%）、风险稳定性（与收益波动率相关 −0.749，正交化后不显著），逐项检验记录备索。规格I 为基金层横截面、规格II 为季度面板，两者均为同期口径，与 3.5 节的跨期样本外检验并不同源：sortino8 规格II 的 t=+5.38 与 3.5 节样本外单维 t=+5.38 数值相同纯属巧合，前者为同期单一成分、后者为跨期复合维度，引用时须区分。</w:t>
      </w:r>
    </w:p>
    <w:p>
      <w:pPr>
        <w:spacing w:after="120" w:line="312" w:lineRule="auto"/>
        <w:ind w:firstLine="420"/>
      </w:pPr>
      <w:r>
        <w:rPr>
          <w:rFonts w:ascii="Times New Roman" w:hAnsi="Times New Roman" w:eastAsia="宋体"/>
          <w:b w:val="0"/>
          <w:i w:val="0"/>
          <w:sz w:val="21"/>
        </w:rPr>
        <w:t>改进主动份额（AS_improved）此前结论冲突，须专门裁决。用六道检验：前五道为回归口径（表 5 前五行），第六道为群体画像的组间差异（表 5 末行）。结果是符号在口径间翻转——基金层横截面的单变量与加控制均不显著、全模型显著为负，而季度面板单变量显著为正。三条证据支持剔除：符号不稳健；显著性依赖是否控制规模与年龄，说明它捕捉的是规模效应而非主动程度；群体画像中两组差值仅 +0.0233（t=+1.91，p=0.0646）。补充的非线性与条件效应检验同样不支持（加入全部行为指标后二次项与交互项均失去显著性）。这与文献[13]一致：控制基准后主动份额不具预测力，文献[25]则持相反意见。注：口径 II 因 listwise 删除损失约 74% 样本，不宜与规格 I 直接比较。</w:t>
      </w:r>
    </w:p>
    <w:p>
      <w:pPr>
        <w:spacing w:after="120" w:line="312" w:lineRule="auto"/>
        <w:ind w:firstLine="420"/>
      </w:pPr>
      <w:r>
        <w:rPr>
          <w:rFonts w:ascii="Times New Roman" w:hAnsi="Times New Roman" w:eastAsia="宋体"/>
          <w:b w:val="0"/>
          <w:i w:val="0"/>
          <w:sz w:val="21"/>
        </w:rPr>
        <w:t>为扩充 L2 认知层，另检验两类文献驱动的偏差候选（结论 X3）：趋势外推偏差（持仓加权个股 12 月动量）[21]与有限关注度（持仓加权个股上月｜收益｜）[22]。二者基金层覆盖率均达 100%，但方向检验均未通过——趋势外推 t=+3.49（p=0.0005）、有限关注 t=+2.34（p=0.0192），均正向显著，与“偏差损害业绩”的预期负号相反，表明高 alpha 基金反而更多持有动量或极端收益个股。故二者被诚实剔除并保留检验记录，L2 维持风险不对称、处置效应、过度自信三成分；另两批扩展检验——L3 的 Brinson 分解（D9）与择时二次项、特质波动（X4）——同样未改变六维构成。</w:t>
      </w:r>
    </w:p>
    <w:p>
      <w:pPr>
        <w:spacing w:before="120" w:after="60"/>
        <w:jc w:val="center"/>
      </w:pPr>
      <w:r>
        <w:rPr>
          <w:rFonts w:ascii="Times New Roman" w:hAnsi="Times New Roman" w:eastAsia="黑体"/>
          <w:b/>
          <w:i w:val="0"/>
          <w:sz w:val="18"/>
        </w:rPr>
        <w:t>表 5  改进主动份额（AS_improved）六道检验</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3402"/>
          </w:tcPr>
          <w:p>
            <w:pPr>
              <w:spacing w:before="20" w:after="20" w:line="259" w:lineRule="auto"/>
              <w:ind w:firstLine="0"/>
              <w:jc w:val="center"/>
            </w:pPr>
            <w:r/>
            <w:r>
              <w:rPr>
                <w:rFonts w:ascii="Times New Roman" w:hAnsi="Times New Roman" w:eastAsia="黑体"/>
                <w:b/>
                <w:i w:val="0"/>
                <w:sz w:val="17"/>
              </w:rPr>
              <w:t>口径</w:t>
            </w:r>
          </w:p>
        </w:tc>
        <w:tc>
          <w:tcPr>
            <w:tcW w:type="dxa" w:w="1474"/>
          </w:tcPr>
          <w:p>
            <w:pPr>
              <w:spacing w:before="20" w:after="20" w:line="259" w:lineRule="auto"/>
              <w:ind w:firstLine="0"/>
              <w:jc w:val="center"/>
            </w:pPr>
            <w:r/>
            <w:r>
              <w:rPr>
                <w:rFonts w:ascii="Times New Roman" w:hAnsi="Times New Roman" w:eastAsia="黑体"/>
                <w:b/>
                <w:i w:val="0"/>
                <w:sz w:val="17"/>
              </w:rPr>
              <w:t>N</w:t>
            </w:r>
          </w:p>
        </w:tc>
        <w:tc>
          <w:tcPr>
            <w:tcW w:type="dxa" w:w="1587"/>
          </w:tcPr>
          <w:p>
            <w:pPr>
              <w:spacing w:before="20" w:after="20" w:line="259" w:lineRule="auto"/>
              <w:ind w:firstLine="0"/>
              <w:jc w:val="center"/>
            </w:pPr>
            <w:r/>
            <w:r>
              <w:rPr>
                <w:rFonts w:ascii="Times New Roman" w:hAnsi="Times New Roman" w:eastAsia="黑体"/>
                <w:b/>
                <w:i w:val="0"/>
                <w:sz w:val="17"/>
              </w:rPr>
              <w:t>系数</w:t>
            </w:r>
          </w:p>
        </w:tc>
        <w:tc>
          <w:tcPr>
            <w:tcW w:type="dxa" w:w="1587"/>
          </w:tcPr>
          <w:p>
            <w:pPr>
              <w:spacing w:before="20" w:after="20" w:line="259" w:lineRule="auto"/>
              <w:ind w:firstLine="0"/>
              <w:jc w:val="center"/>
            </w:pPr>
            <w:r/>
            <w:r>
              <w:rPr>
                <w:rFonts w:ascii="Times New Roman" w:hAnsi="Times New Roman" w:eastAsia="黑体"/>
                <w:b/>
                <w:i w:val="0"/>
                <w:sz w:val="17"/>
              </w:rPr>
              <w:t>t 值</w:t>
            </w:r>
          </w:p>
        </w:tc>
        <w:tc>
          <w:tcPr>
            <w:tcW w:type="dxa" w:w="1474"/>
          </w:tcPr>
          <w:p>
            <w:pPr>
              <w:spacing w:before="20" w:after="20" w:line="259" w:lineRule="auto"/>
              <w:ind w:firstLine="0"/>
              <w:jc w:val="center"/>
            </w:pPr>
            <w:r/>
            <w:r>
              <w:rPr>
                <w:rFonts w:ascii="Times New Roman" w:hAnsi="Times New Roman" w:eastAsia="黑体"/>
                <w:b/>
                <w:i w:val="0"/>
                <w:sz w:val="17"/>
              </w:rPr>
              <w:t>R²</w:t>
            </w:r>
          </w:p>
        </w:tc>
      </w:tr>
      <w:tr>
        <w:tc>
          <w:tcPr>
            <w:tcW w:type="dxa" w:w="3402"/>
          </w:tcPr>
          <w:p>
            <w:pPr>
              <w:spacing w:before="20" w:after="20" w:line="259" w:lineRule="auto"/>
              <w:ind w:firstLine="0"/>
              <w:jc w:val="left"/>
            </w:pPr>
            <w:r/>
            <w:r>
              <w:rPr>
                <w:rFonts w:ascii="Times New Roman" w:hAnsi="Times New Roman" w:eastAsia="宋体"/>
                <w:b w:val="0"/>
                <w:i w:val="0"/>
                <w:sz w:val="17"/>
              </w:rPr>
              <w:t>I_基金层横截面_单变量</w:t>
            </w:r>
          </w:p>
        </w:tc>
        <w:tc>
          <w:tcPr>
            <w:tcW w:type="dxa" w:w="1474"/>
          </w:tcPr>
          <w:p>
            <w:pPr>
              <w:spacing w:before="20" w:after="20" w:line="259" w:lineRule="auto"/>
              <w:ind w:firstLine="0"/>
              <w:jc w:val="center"/>
            </w:pPr>
            <w:r/>
            <w:r>
              <w:rPr>
                <w:rFonts w:ascii="Times New Roman" w:hAnsi="Times New Roman" w:eastAsia="宋体"/>
                <w:b w:val="0"/>
                <w:i w:val="0"/>
                <w:sz w:val="17"/>
              </w:rPr>
              <w:t>362</w:t>
            </w:r>
          </w:p>
        </w:tc>
        <w:tc>
          <w:tcPr>
            <w:tcW w:type="dxa" w:w="1587"/>
          </w:tcPr>
          <w:p>
            <w:pPr>
              <w:spacing w:before="20" w:after="20" w:line="259" w:lineRule="auto"/>
              <w:ind w:firstLine="0"/>
              <w:jc w:val="center"/>
            </w:pPr>
            <w:r/>
            <w:r>
              <w:rPr>
                <w:rFonts w:ascii="Times New Roman" w:hAnsi="Times New Roman" w:eastAsia="宋体"/>
                <w:b w:val="0"/>
                <w:i w:val="0"/>
                <w:sz w:val="17"/>
              </w:rPr>
              <w:t>-0.0045</w:t>
            </w:r>
          </w:p>
        </w:tc>
        <w:tc>
          <w:tcPr>
            <w:tcW w:type="dxa" w:w="1587"/>
          </w:tcPr>
          <w:p>
            <w:pPr>
              <w:spacing w:before="20" w:after="20" w:line="259" w:lineRule="auto"/>
              <w:ind w:firstLine="0"/>
              <w:jc w:val="center"/>
            </w:pPr>
            <w:r/>
            <w:r>
              <w:rPr>
                <w:rFonts w:ascii="Times New Roman" w:hAnsi="Times New Roman" w:eastAsia="宋体"/>
                <w:b w:val="0"/>
                <w:i w:val="0"/>
                <w:sz w:val="17"/>
              </w:rPr>
              <w:t>-0.26</w:t>
            </w:r>
          </w:p>
        </w:tc>
        <w:tc>
          <w:tcPr>
            <w:tcW w:type="dxa" w:w="1474"/>
          </w:tcPr>
          <w:p>
            <w:pPr>
              <w:spacing w:before="20" w:after="20" w:line="259" w:lineRule="auto"/>
              <w:ind w:firstLine="0"/>
              <w:jc w:val="center"/>
            </w:pPr>
            <w:r/>
            <w:r>
              <w:rPr>
                <w:rFonts w:ascii="Times New Roman" w:hAnsi="Times New Roman" w:eastAsia="宋体"/>
                <w:b w:val="0"/>
                <w:i w:val="0"/>
                <w:sz w:val="17"/>
              </w:rPr>
              <w:t>2.00e-04</w:t>
            </w:r>
          </w:p>
        </w:tc>
      </w:tr>
      <w:tr>
        <w:tc>
          <w:tcPr>
            <w:tcW w:type="dxa" w:w="3402"/>
          </w:tcPr>
          <w:p>
            <w:pPr>
              <w:spacing w:before="20" w:after="20" w:line="259" w:lineRule="auto"/>
              <w:ind w:firstLine="0"/>
              <w:jc w:val="left"/>
            </w:pPr>
            <w:r/>
            <w:r>
              <w:rPr>
                <w:rFonts w:ascii="Times New Roman" w:hAnsi="Times New Roman" w:eastAsia="宋体"/>
                <w:b w:val="0"/>
                <w:i w:val="0"/>
                <w:sz w:val="17"/>
              </w:rPr>
              <w:t>I_基金层横截面_加控制</w:t>
            </w:r>
          </w:p>
        </w:tc>
        <w:tc>
          <w:tcPr>
            <w:tcW w:type="dxa" w:w="1474"/>
          </w:tcPr>
          <w:p>
            <w:pPr>
              <w:spacing w:before="20" w:after="20" w:line="259" w:lineRule="auto"/>
              <w:ind w:firstLine="0"/>
              <w:jc w:val="center"/>
            </w:pPr>
            <w:r/>
            <w:r>
              <w:rPr>
                <w:rFonts w:ascii="Times New Roman" w:hAnsi="Times New Roman" w:eastAsia="宋体"/>
                <w:b w:val="0"/>
                <w:i w:val="0"/>
                <w:sz w:val="17"/>
              </w:rPr>
              <w:t>362</w:t>
            </w:r>
          </w:p>
        </w:tc>
        <w:tc>
          <w:tcPr>
            <w:tcW w:type="dxa" w:w="1587"/>
          </w:tcPr>
          <w:p>
            <w:pPr>
              <w:spacing w:before="20" w:after="20" w:line="259" w:lineRule="auto"/>
              <w:ind w:firstLine="0"/>
              <w:jc w:val="center"/>
            </w:pPr>
            <w:r/>
            <w:r>
              <w:rPr>
                <w:rFonts w:ascii="Times New Roman" w:hAnsi="Times New Roman" w:eastAsia="宋体"/>
                <w:b w:val="0"/>
                <w:i w:val="0"/>
                <w:sz w:val="17"/>
              </w:rPr>
              <w:t>-0.0108</w:t>
            </w:r>
          </w:p>
        </w:tc>
        <w:tc>
          <w:tcPr>
            <w:tcW w:type="dxa" w:w="1587"/>
          </w:tcPr>
          <w:p>
            <w:pPr>
              <w:spacing w:before="20" w:after="20" w:line="259" w:lineRule="auto"/>
              <w:ind w:firstLine="0"/>
              <w:jc w:val="center"/>
            </w:pPr>
            <w:r/>
            <w:r>
              <w:rPr>
                <w:rFonts w:ascii="Times New Roman" w:hAnsi="Times New Roman" w:eastAsia="宋体"/>
                <w:b w:val="0"/>
                <w:i w:val="0"/>
                <w:sz w:val="17"/>
              </w:rPr>
              <w:t>-0.65</w:t>
            </w:r>
          </w:p>
        </w:tc>
        <w:tc>
          <w:tcPr>
            <w:tcW w:type="dxa" w:w="1474"/>
          </w:tcPr>
          <w:p>
            <w:pPr>
              <w:spacing w:before="20" w:after="20" w:line="259" w:lineRule="auto"/>
              <w:ind w:firstLine="0"/>
              <w:jc w:val="center"/>
            </w:pPr>
            <w:r/>
            <w:r>
              <w:rPr>
                <w:rFonts w:ascii="Times New Roman" w:hAnsi="Times New Roman" w:eastAsia="宋体"/>
                <w:b w:val="0"/>
                <w:i w:val="0"/>
                <w:sz w:val="17"/>
              </w:rPr>
              <w:t>0.0659</w:t>
            </w:r>
          </w:p>
        </w:tc>
      </w:tr>
      <w:tr>
        <w:tc>
          <w:tcPr>
            <w:tcW w:type="dxa" w:w="3402"/>
          </w:tcPr>
          <w:p>
            <w:pPr>
              <w:spacing w:before="20" w:after="20" w:line="259" w:lineRule="auto"/>
              <w:ind w:firstLine="0"/>
              <w:jc w:val="left"/>
            </w:pPr>
            <w:r/>
            <w:r>
              <w:rPr>
                <w:rFonts w:ascii="Times New Roman" w:hAnsi="Times New Roman" w:eastAsia="宋体"/>
                <w:b w:val="0"/>
                <w:i w:val="0"/>
                <w:sz w:val="17"/>
              </w:rPr>
              <w:t>I_基金层横截面_全模型</w:t>
            </w:r>
          </w:p>
        </w:tc>
        <w:tc>
          <w:tcPr>
            <w:tcW w:type="dxa" w:w="1474"/>
          </w:tcPr>
          <w:p>
            <w:pPr>
              <w:spacing w:before="20" w:after="20" w:line="259" w:lineRule="auto"/>
              <w:ind w:firstLine="0"/>
              <w:jc w:val="center"/>
            </w:pPr>
            <w:r/>
            <w:r>
              <w:rPr>
                <w:rFonts w:ascii="Times New Roman" w:hAnsi="Times New Roman" w:eastAsia="宋体"/>
                <w:b w:val="0"/>
                <w:i w:val="0"/>
                <w:sz w:val="17"/>
              </w:rPr>
              <w:t>359</w:t>
            </w:r>
          </w:p>
        </w:tc>
        <w:tc>
          <w:tcPr>
            <w:tcW w:type="dxa" w:w="1587"/>
          </w:tcPr>
          <w:p>
            <w:pPr>
              <w:spacing w:before="20" w:after="20" w:line="259" w:lineRule="auto"/>
              <w:ind w:firstLine="0"/>
              <w:jc w:val="center"/>
            </w:pPr>
            <w:r/>
            <w:r>
              <w:rPr>
                <w:rFonts w:ascii="Times New Roman" w:hAnsi="Times New Roman" w:eastAsia="宋体"/>
                <w:b w:val="0"/>
                <w:i w:val="0"/>
                <w:sz w:val="17"/>
              </w:rPr>
              <w:t>-0.0531</w:t>
            </w:r>
          </w:p>
        </w:tc>
        <w:tc>
          <w:tcPr>
            <w:tcW w:type="dxa" w:w="1587"/>
          </w:tcPr>
          <w:p>
            <w:pPr>
              <w:spacing w:before="20" w:after="20" w:line="259" w:lineRule="auto"/>
              <w:ind w:firstLine="0"/>
              <w:jc w:val="center"/>
            </w:pPr>
            <w:r/>
            <w:r>
              <w:rPr>
                <w:rFonts w:ascii="Times New Roman" w:hAnsi="Times New Roman" w:eastAsia="宋体"/>
                <w:b w:val="0"/>
                <w:i w:val="0"/>
                <w:sz w:val="17"/>
              </w:rPr>
              <w:t>-3.06***</w:t>
            </w:r>
          </w:p>
        </w:tc>
        <w:tc>
          <w:tcPr>
            <w:tcW w:type="dxa" w:w="1474"/>
          </w:tcPr>
          <w:p>
            <w:pPr>
              <w:spacing w:before="20" w:after="20" w:line="259" w:lineRule="auto"/>
              <w:ind w:firstLine="0"/>
              <w:jc w:val="center"/>
            </w:pPr>
            <w:r/>
            <w:r>
              <w:rPr>
                <w:rFonts w:ascii="Times New Roman" w:hAnsi="Times New Roman" w:eastAsia="宋体"/>
                <w:b w:val="0"/>
                <w:i w:val="0"/>
                <w:sz w:val="17"/>
              </w:rPr>
              <w:t>0.5445</w:t>
            </w:r>
          </w:p>
        </w:tc>
      </w:tr>
      <w:tr>
        <w:tc>
          <w:tcPr>
            <w:tcW w:type="dxa" w:w="3402"/>
          </w:tcPr>
          <w:p>
            <w:pPr>
              <w:spacing w:before="20" w:after="20" w:line="259" w:lineRule="auto"/>
              <w:ind w:firstLine="0"/>
              <w:jc w:val="left"/>
            </w:pPr>
            <w:r/>
            <w:r>
              <w:rPr>
                <w:rFonts w:ascii="Times New Roman" w:hAnsi="Times New Roman" w:eastAsia="宋体"/>
                <w:b w:val="0"/>
                <w:i w:val="0"/>
                <w:sz w:val="17"/>
              </w:rPr>
              <w:t>II_季度面板_单变量</w:t>
            </w:r>
          </w:p>
        </w:tc>
        <w:tc>
          <w:tcPr>
            <w:tcW w:type="dxa" w:w="1474"/>
          </w:tcPr>
          <w:p>
            <w:pPr>
              <w:spacing w:before="20" w:after="20" w:line="259" w:lineRule="auto"/>
              <w:ind w:firstLine="0"/>
              <w:jc w:val="center"/>
            </w:pPr>
            <w:r/>
            <w:r>
              <w:rPr>
                <w:rFonts w:ascii="Times New Roman" w:hAnsi="Times New Roman" w:eastAsia="宋体"/>
                <w:b w:val="0"/>
                <w:i w:val="0"/>
                <w:sz w:val="17"/>
              </w:rPr>
              <w:t>8615</w:t>
            </w:r>
          </w:p>
        </w:tc>
        <w:tc>
          <w:tcPr>
            <w:tcW w:type="dxa" w:w="1587"/>
          </w:tcPr>
          <w:p>
            <w:pPr>
              <w:spacing w:before="20" w:after="20" w:line="259" w:lineRule="auto"/>
              <w:ind w:firstLine="0"/>
              <w:jc w:val="center"/>
            </w:pPr>
            <w:r/>
            <w:r>
              <w:rPr>
                <w:rFonts w:ascii="Times New Roman" w:hAnsi="Times New Roman" w:eastAsia="宋体"/>
                <w:b w:val="0"/>
                <w:i w:val="0"/>
                <w:sz w:val="17"/>
              </w:rPr>
              <w:t>0.0511</w:t>
            </w:r>
          </w:p>
        </w:tc>
        <w:tc>
          <w:tcPr>
            <w:tcW w:type="dxa" w:w="1587"/>
          </w:tcPr>
          <w:p>
            <w:pPr>
              <w:spacing w:before="20" w:after="20" w:line="259" w:lineRule="auto"/>
              <w:ind w:firstLine="0"/>
              <w:jc w:val="center"/>
            </w:pPr>
            <w:r/>
            <w:r>
              <w:rPr>
                <w:rFonts w:ascii="Times New Roman" w:hAnsi="Times New Roman" w:eastAsia="宋体"/>
                <w:b w:val="0"/>
                <w:i w:val="0"/>
                <w:sz w:val="17"/>
              </w:rPr>
              <w:t>+5.33***</w:t>
            </w:r>
          </w:p>
        </w:tc>
        <w:tc>
          <w:tcPr>
            <w:tcW w:type="dxa" w:w="1474"/>
          </w:tcPr>
          <w:p>
            <w:pPr>
              <w:spacing w:before="20" w:after="20" w:line="259" w:lineRule="auto"/>
              <w:ind w:firstLine="0"/>
              <w:jc w:val="center"/>
            </w:pPr>
            <w:r/>
            <w:r>
              <w:rPr>
                <w:rFonts w:ascii="Times New Roman" w:hAnsi="Times New Roman" w:eastAsia="宋体"/>
                <w:b w:val="0"/>
                <w:i w:val="0"/>
                <w:sz w:val="17"/>
              </w:rPr>
              <w:t>0.4006</w:t>
            </w:r>
          </w:p>
        </w:tc>
      </w:tr>
      <w:tr>
        <w:tc>
          <w:tcPr>
            <w:tcW w:type="dxa" w:w="3402"/>
          </w:tcPr>
          <w:p>
            <w:pPr>
              <w:spacing w:before="20" w:after="20" w:line="259" w:lineRule="auto"/>
              <w:ind w:firstLine="0"/>
              <w:jc w:val="left"/>
            </w:pPr>
            <w:r/>
            <w:r>
              <w:rPr>
                <w:rFonts w:ascii="Times New Roman" w:hAnsi="Times New Roman" w:eastAsia="宋体"/>
                <w:b w:val="0"/>
                <w:i w:val="0"/>
                <w:sz w:val="17"/>
              </w:rPr>
              <w:t>II_季度面板_全模型</w:t>
            </w:r>
          </w:p>
        </w:tc>
        <w:tc>
          <w:tcPr>
            <w:tcW w:type="dxa" w:w="1474"/>
          </w:tcPr>
          <w:p>
            <w:pPr>
              <w:spacing w:before="20" w:after="20" w:line="259" w:lineRule="auto"/>
              <w:ind w:firstLine="0"/>
              <w:jc w:val="center"/>
            </w:pPr>
            <w:r/>
            <w:r>
              <w:rPr>
                <w:rFonts w:ascii="Times New Roman" w:hAnsi="Times New Roman" w:eastAsia="宋体"/>
                <w:b w:val="0"/>
                <w:i w:val="0"/>
                <w:sz w:val="17"/>
              </w:rPr>
              <w:t>2262</w:t>
            </w:r>
          </w:p>
        </w:tc>
        <w:tc>
          <w:tcPr>
            <w:tcW w:type="dxa" w:w="1587"/>
          </w:tcPr>
          <w:p>
            <w:pPr>
              <w:spacing w:before="20" w:after="20" w:line="259" w:lineRule="auto"/>
              <w:ind w:firstLine="0"/>
              <w:jc w:val="center"/>
            </w:pPr>
            <w:r/>
            <w:r>
              <w:rPr>
                <w:rFonts w:ascii="Times New Roman" w:hAnsi="Times New Roman" w:eastAsia="宋体"/>
                <w:b w:val="0"/>
                <w:i w:val="0"/>
                <w:sz w:val="17"/>
              </w:rPr>
              <w:t>-0.0258</w:t>
            </w:r>
          </w:p>
        </w:tc>
        <w:tc>
          <w:tcPr>
            <w:tcW w:type="dxa" w:w="1587"/>
          </w:tcPr>
          <w:p>
            <w:pPr>
              <w:spacing w:before="20" w:after="20" w:line="259" w:lineRule="auto"/>
              <w:ind w:firstLine="0"/>
              <w:jc w:val="center"/>
            </w:pPr>
            <w:r/>
            <w:r>
              <w:rPr>
                <w:rFonts w:ascii="Times New Roman" w:hAnsi="Times New Roman" w:eastAsia="宋体"/>
                <w:b w:val="0"/>
                <w:i w:val="0"/>
                <w:sz w:val="17"/>
              </w:rPr>
              <w:t>-1.41</w:t>
            </w:r>
          </w:p>
        </w:tc>
        <w:tc>
          <w:tcPr>
            <w:tcW w:type="dxa" w:w="1474"/>
          </w:tcPr>
          <w:p>
            <w:pPr>
              <w:spacing w:before="20" w:after="20" w:line="259" w:lineRule="auto"/>
              <w:ind w:firstLine="0"/>
              <w:jc w:val="center"/>
            </w:pPr>
            <w:r/>
            <w:r>
              <w:rPr>
                <w:rFonts w:ascii="Times New Roman" w:hAnsi="Times New Roman" w:eastAsia="宋体"/>
                <w:b w:val="0"/>
                <w:i w:val="0"/>
                <w:sz w:val="17"/>
              </w:rPr>
              <w:t>0.3363</w:t>
            </w:r>
          </w:p>
        </w:tc>
      </w:tr>
      <w:tr>
        <w:tc>
          <w:tcPr>
            <w:tcW w:type="dxa" w:w="3402"/>
          </w:tcPr>
          <w:p>
            <w:pPr>
              <w:spacing w:before="20" w:after="20" w:line="259" w:lineRule="auto"/>
              <w:ind w:firstLine="0"/>
              <w:jc w:val="left"/>
            </w:pPr>
            <w:r/>
            <w:r>
              <w:rPr>
                <w:rFonts w:ascii="Times New Roman" w:hAnsi="Times New Roman" w:eastAsia="宋体"/>
                <w:b w:val="0"/>
                <w:i w:val="0"/>
                <w:sz w:val="17"/>
              </w:rPr>
              <w:t>VI_群体画像_Top5%减Bottom5%</w:t>
            </w:r>
          </w:p>
        </w:tc>
        <w:tc>
          <w:tcPr>
            <w:tcW w:type="dxa" w:w="1474"/>
          </w:tcPr>
          <w:p>
            <w:pPr>
              <w:spacing w:before="20" w:after="20" w:line="259" w:lineRule="auto"/>
              <w:ind w:firstLine="0"/>
              <w:jc w:val="center"/>
            </w:pPr>
            <w:r/>
            <w:r>
              <w:rPr>
                <w:rFonts w:ascii="Times New Roman" w:hAnsi="Times New Roman" w:eastAsia="宋体"/>
                <w:b w:val="0"/>
                <w:i w:val="0"/>
                <w:sz w:val="17"/>
              </w:rPr>
              <w:t>19+19</w:t>
            </w:r>
          </w:p>
        </w:tc>
        <w:tc>
          <w:tcPr>
            <w:tcW w:type="dxa" w:w="1587"/>
          </w:tcPr>
          <w:p>
            <w:pPr>
              <w:spacing w:before="20" w:after="20" w:line="259" w:lineRule="auto"/>
              <w:ind w:firstLine="0"/>
              <w:jc w:val="center"/>
            </w:pPr>
            <w:r/>
            <w:r>
              <w:rPr>
                <w:rFonts w:ascii="Times New Roman" w:hAnsi="Times New Roman" w:eastAsia="宋体"/>
                <w:b w:val="0"/>
                <w:i w:val="0"/>
                <w:sz w:val="17"/>
              </w:rPr>
              <w:t>0.0233</w:t>
            </w:r>
          </w:p>
        </w:tc>
        <w:tc>
          <w:tcPr>
            <w:tcW w:type="dxa" w:w="1587"/>
          </w:tcPr>
          <w:p>
            <w:pPr>
              <w:spacing w:before="20" w:after="20" w:line="259" w:lineRule="auto"/>
              <w:ind w:firstLine="0"/>
              <w:jc w:val="center"/>
            </w:pPr>
            <w:r/>
            <w:r>
              <w:rPr>
                <w:rFonts w:ascii="Times New Roman" w:hAnsi="Times New Roman" w:eastAsia="宋体"/>
                <w:b w:val="0"/>
                <w:i w:val="0"/>
                <w:sz w:val="17"/>
              </w:rPr>
              <w:t>+1.91*</w:t>
            </w:r>
          </w:p>
        </w:tc>
        <w:tc>
          <w:tcPr>
            <w:tcW w:type="dxa" w:w="1474"/>
          </w:tcPr>
          <w:p>
            <w:pPr>
              <w:spacing w:before="20" w:after="20" w:line="259" w:lineRule="auto"/>
              <w:ind w:firstLine="0"/>
              <w:jc w:val="center"/>
            </w:pPr>
            <w:r/>
            <w:r>
              <w:rPr>
                <w:rFonts w:ascii="Times New Roman" w:hAnsi="Times New Roman" w:eastAsia="宋体"/>
                <w:b w:val="0"/>
                <w:i w:val="0"/>
                <w:sz w:val="17"/>
              </w:rPr>
              <w:t>—</w:t>
            </w:r>
          </w:p>
        </w:tc>
      </w:tr>
    </w:tbl>
    <w:p>
      <w:pPr>
        <w:spacing w:after="120" w:line="312" w:lineRule="auto"/>
        <w:ind w:firstLine="420"/>
      </w:pPr>
      <w:r>
        <w:rPr>
          <w:rFonts w:ascii="Times New Roman" w:hAnsi="Times New Roman" w:eastAsia="宋体"/>
          <w:b w:val="0"/>
          <w:i w:val="0"/>
          <w:sz w:val="21"/>
        </w:rPr>
        <w:t>在指标检验基础上，本文按方程 (6)(7) 构造复合得分并回归：L1、L2、L3、L5 各计一维，L4 按过程应对与转化效率两职能各计一维，共六个计分维度。表 6 显示，六维单独进入时全部显著为正；联立后 L4 转化效率系数最大（0.01325，t=5.50），L5 交易执行不显著（t=1.23）——其与 L4 过程应对维度相关 0.524、成分层面 SDI 与 ARG 相关达 -0.84，信息被吸收；L1 单维显著（t=2.86）而联立不显著（t=-0.17），它与风险应对（0.566）、交易执行（0.574）高度重叠，说明规模与年龄的作用主要经由行为维度传导。维度间相关最高 0.589、最低 0.183，无严重共线，图 2 的热力图给出了六个维度两两相关的全貌。</w:t>
      </w:r>
    </w:p>
    <w:p>
      <w:pPr>
        <w:spacing w:before="120" w:after="40"/>
        <w:jc w:val="center"/>
      </w:pPr>
      <w:r>
        <w:drawing>
          <wp:inline xmlns:a="http://schemas.openxmlformats.org/drawingml/2006/main" xmlns:pic="http://schemas.openxmlformats.org/drawingml/2006/picture">
            <wp:extent cx="5472000" cy="4451449"/>
            <wp:docPr id="1" name="Picture 1"/>
            <wp:cNvGraphicFramePr>
              <a:graphicFrameLocks noChangeAspect="1"/>
            </wp:cNvGraphicFramePr>
            <a:graphic>
              <a:graphicData uri="http://schemas.openxmlformats.org/drawingml/2006/picture">
                <pic:pic>
                  <pic:nvPicPr>
                    <pic:cNvPr id="0" name="论文图2_维度相关热力图.png"/>
                    <pic:cNvPicPr/>
                  </pic:nvPicPr>
                  <pic:blipFill>
                    <a:blip r:embed="rId10"/>
                    <a:stretch>
                      <a:fillRect/>
                    </a:stretch>
                  </pic:blipFill>
                  <pic:spPr>
                    <a:xfrm>
                      <a:off x="0" y="0"/>
                      <a:ext cx="5472000" cy="4451449"/>
                    </a:xfrm>
                    <a:prstGeom prst="rect"/>
                  </pic:spPr>
                </pic:pic>
              </a:graphicData>
            </a:graphic>
          </wp:inline>
        </w:drawing>
      </w:r>
    </w:p>
    <w:p>
      <w:pPr>
        <w:spacing w:after="200"/>
        <w:jc w:val="center"/>
      </w:pPr>
      <w:r>
        <w:rPr>
          <w:rFonts w:ascii="Times New Roman" w:hAnsi="Times New Roman" w:eastAsia="黑体"/>
          <w:b/>
          <w:i w:val="0"/>
          <w:sz w:val="18"/>
        </w:rPr>
        <w:t>图 2  六个计分维度的两两相关系数热力图</w:t>
      </w:r>
    </w:p>
    <w:p>
      <w:pPr>
        <w:spacing w:before="120" w:after="60"/>
        <w:jc w:val="center"/>
      </w:pPr>
      <w:r>
        <w:rPr>
          <w:rFonts w:ascii="Times New Roman" w:hAnsi="Times New Roman" w:eastAsia="黑体"/>
          <w:b/>
          <w:i w:val="0"/>
          <w:sz w:val="18"/>
        </w:rPr>
        <w:t>表 6  能力复合得分对 FF5 alpha 的回归（方程 7）</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2041"/>
          </w:tcPr>
          <w:p>
            <w:pPr>
              <w:spacing w:before="20" w:after="20" w:line="259" w:lineRule="auto"/>
              <w:ind w:firstLine="0"/>
              <w:jc w:val="center"/>
            </w:pPr>
            <w:r/>
            <w:r>
              <w:rPr>
                <w:rFonts w:ascii="Times New Roman" w:hAnsi="Times New Roman" w:eastAsia="黑体"/>
                <w:b/>
                <w:i w:val="0"/>
                <w:sz w:val="17"/>
              </w:rPr>
              <w:t>维度</w:t>
            </w:r>
          </w:p>
        </w:tc>
        <w:tc>
          <w:tcPr>
            <w:tcW w:type="dxa" w:w="1474"/>
          </w:tcPr>
          <w:p>
            <w:pPr>
              <w:spacing w:before="20" w:after="20" w:line="259" w:lineRule="auto"/>
              <w:ind w:firstLine="0"/>
              <w:jc w:val="center"/>
            </w:pPr>
            <w:r/>
            <w:r>
              <w:rPr>
                <w:rFonts w:ascii="Times New Roman" w:hAnsi="Times New Roman" w:eastAsia="黑体"/>
                <w:b/>
                <w:i w:val="0"/>
                <w:sz w:val="17"/>
              </w:rPr>
              <w:t>单维系数</w:t>
            </w:r>
          </w:p>
        </w:tc>
        <w:tc>
          <w:tcPr>
            <w:tcW w:type="dxa" w:w="1361"/>
          </w:tcPr>
          <w:p>
            <w:pPr>
              <w:spacing w:before="20" w:after="20" w:line="259" w:lineRule="auto"/>
              <w:ind w:firstLine="0"/>
              <w:jc w:val="center"/>
            </w:pPr>
            <w:r/>
            <w:r>
              <w:rPr>
                <w:rFonts w:ascii="Times New Roman" w:hAnsi="Times New Roman" w:eastAsia="黑体"/>
                <w:b/>
                <w:i w:val="0"/>
                <w:sz w:val="17"/>
              </w:rPr>
              <w:t>单维 t</w:t>
            </w:r>
          </w:p>
        </w:tc>
        <w:tc>
          <w:tcPr>
            <w:tcW w:type="dxa" w:w="1361"/>
          </w:tcPr>
          <w:p>
            <w:pPr>
              <w:spacing w:before="20" w:after="20" w:line="259" w:lineRule="auto"/>
              <w:ind w:firstLine="0"/>
              <w:jc w:val="center"/>
            </w:pPr>
            <w:r/>
            <w:r>
              <w:rPr>
                <w:rFonts w:ascii="Times New Roman" w:hAnsi="Times New Roman" w:eastAsia="黑体"/>
                <w:b/>
                <w:i w:val="0"/>
                <w:sz w:val="17"/>
              </w:rPr>
              <w:t>单维 R²</w:t>
            </w:r>
          </w:p>
        </w:tc>
        <w:tc>
          <w:tcPr>
            <w:tcW w:type="dxa" w:w="1474"/>
          </w:tcPr>
          <w:p>
            <w:pPr>
              <w:spacing w:before="20" w:after="20" w:line="259" w:lineRule="auto"/>
              <w:ind w:firstLine="0"/>
              <w:jc w:val="center"/>
            </w:pPr>
            <w:r/>
            <w:r>
              <w:rPr>
                <w:rFonts w:ascii="Times New Roman" w:hAnsi="Times New Roman" w:eastAsia="黑体"/>
                <w:b/>
                <w:i w:val="0"/>
                <w:sz w:val="17"/>
              </w:rPr>
              <w:t>联立系数</w:t>
            </w:r>
          </w:p>
        </w:tc>
        <w:tc>
          <w:tcPr>
            <w:tcW w:type="dxa" w:w="1361"/>
          </w:tcPr>
          <w:p>
            <w:pPr>
              <w:spacing w:before="20" w:after="20" w:line="259" w:lineRule="auto"/>
              <w:ind w:firstLine="0"/>
              <w:jc w:val="center"/>
            </w:pPr>
            <w:r/>
            <w:r>
              <w:rPr>
                <w:rFonts w:ascii="Times New Roman" w:hAnsi="Times New Roman" w:eastAsia="黑体"/>
                <w:b/>
                <w:i w:val="0"/>
                <w:sz w:val="17"/>
              </w:rPr>
              <w:t>联立 t</w:t>
            </w:r>
          </w:p>
        </w:tc>
      </w:tr>
      <w:tr>
        <w:tc>
          <w:tcPr>
            <w:tcW w:type="dxa" w:w="2041"/>
          </w:tcPr>
          <w:p>
            <w:pPr>
              <w:spacing w:before="20" w:after="20" w:line="259" w:lineRule="auto"/>
              <w:ind w:firstLine="0"/>
              <w:jc w:val="left"/>
            </w:pPr>
            <w:r/>
            <w:r>
              <w:rPr>
                <w:rFonts w:ascii="Times New Roman" w:hAnsi="Times New Roman" w:eastAsia="宋体"/>
                <w:b w:val="0"/>
                <w:i w:val="0"/>
                <w:sz w:val="17"/>
              </w:rPr>
              <w:t>L1 基本面层</w:t>
            </w:r>
          </w:p>
        </w:tc>
        <w:tc>
          <w:tcPr>
            <w:tcW w:type="dxa" w:w="1474"/>
          </w:tcPr>
          <w:p>
            <w:pPr>
              <w:spacing w:before="20" w:after="20" w:line="259" w:lineRule="auto"/>
              <w:ind w:firstLine="0"/>
              <w:jc w:val="center"/>
            </w:pPr>
            <w:r/>
            <w:r>
              <w:rPr>
                <w:rFonts w:ascii="Times New Roman" w:hAnsi="Times New Roman" w:eastAsia="宋体"/>
                <w:b w:val="0"/>
                <w:i w:val="0"/>
                <w:sz w:val="17"/>
              </w:rPr>
              <w:t>0.0040</w:t>
            </w:r>
          </w:p>
        </w:tc>
        <w:tc>
          <w:tcPr>
            <w:tcW w:type="dxa" w:w="1361"/>
          </w:tcPr>
          <w:p>
            <w:pPr>
              <w:spacing w:before="20" w:after="20" w:line="259" w:lineRule="auto"/>
              <w:ind w:firstLine="0"/>
              <w:jc w:val="center"/>
            </w:pPr>
            <w:r/>
            <w:r>
              <w:rPr>
                <w:rFonts w:ascii="Times New Roman" w:hAnsi="Times New Roman" w:eastAsia="宋体"/>
                <w:b w:val="0"/>
                <w:i w:val="0"/>
                <w:sz w:val="17"/>
              </w:rPr>
              <w:t>2.86***</w:t>
            </w:r>
          </w:p>
        </w:tc>
        <w:tc>
          <w:tcPr>
            <w:tcW w:type="dxa" w:w="1361"/>
          </w:tcPr>
          <w:p>
            <w:pPr>
              <w:spacing w:before="20" w:after="20" w:line="259" w:lineRule="auto"/>
              <w:ind w:firstLine="0"/>
              <w:jc w:val="center"/>
            </w:pPr>
            <w:r/>
            <w:r>
              <w:rPr>
                <w:rFonts w:ascii="Times New Roman" w:hAnsi="Times New Roman" w:eastAsia="宋体"/>
                <w:b w:val="0"/>
                <w:i w:val="0"/>
                <w:sz w:val="17"/>
              </w:rPr>
              <w:t>0.0222</w:t>
            </w:r>
          </w:p>
        </w:tc>
        <w:tc>
          <w:tcPr>
            <w:tcW w:type="dxa" w:w="1474"/>
          </w:tcPr>
          <w:p>
            <w:pPr>
              <w:spacing w:before="20" w:after="20" w:line="259" w:lineRule="auto"/>
              <w:ind w:firstLine="0"/>
              <w:jc w:val="center"/>
            </w:pPr>
            <w:r/>
            <w:r>
              <w:rPr>
                <w:rFonts w:ascii="Times New Roman" w:hAnsi="Times New Roman" w:eastAsia="宋体"/>
                <w:b w:val="0"/>
                <w:i w:val="0"/>
                <w:sz w:val="17"/>
              </w:rPr>
              <w:t>-1.80e-04</w:t>
            </w:r>
          </w:p>
        </w:tc>
        <w:tc>
          <w:tcPr>
            <w:tcW w:type="dxa" w:w="1361"/>
          </w:tcPr>
          <w:p>
            <w:pPr>
              <w:spacing w:before="20" w:after="20" w:line="259" w:lineRule="auto"/>
              <w:ind w:firstLine="0"/>
              <w:jc w:val="center"/>
            </w:pPr>
            <w:r/>
            <w:r>
              <w:rPr>
                <w:rFonts w:ascii="Times New Roman" w:hAnsi="Times New Roman" w:eastAsia="宋体"/>
                <w:b w:val="0"/>
                <w:i w:val="0"/>
                <w:sz w:val="17"/>
              </w:rPr>
              <w:t>-0.17</w:t>
            </w:r>
          </w:p>
        </w:tc>
      </w:tr>
      <w:tr>
        <w:tc>
          <w:tcPr>
            <w:tcW w:type="dxa" w:w="2041"/>
          </w:tcPr>
          <w:p>
            <w:pPr>
              <w:spacing w:before="20" w:after="20" w:line="259" w:lineRule="auto"/>
              <w:ind w:firstLine="0"/>
              <w:jc w:val="left"/>
            </w:pPr>
            <w:r/>
            <w:r>
              <w:rPr>
                <w:rFonts w:ascii="Times New Roman" w:hAnsi="Times New Roman" w:eastAsia="宋体"/>
                <w:b w:val="0"/>
                <w:i w:val="0"/>
                <w:sz w:val="17"/>
              </w:rPr>
              <w:t>L2 认知层</w:t>
            </w:r>
          </w:p>
        </w:tc>
        <w:tc>
          <w:tcPr>
            <w:tcW w:type="dxa" w:w="1474"/>
          </w:tcPr>
          <w:p>
            <w:pPr>
              <w:spacing w:before="20" w:after="20" w:line="259" w:lineRule="auto"/>
              <w:ind w:firstLine="0"/>
              <w:jc w:val="center"/>
            </w:pPr>
            <w:r/>
            <w:r>
              <w:rPr>
                <w:rFonts w:ascii="Times New Roman" w:hAnsi="Times New Roman" w:eastAsia="宋体"/>
                <w:b w:val="0"/>
                <w:i w:val="0"/>
                <w:sz w:val="17"/>
              </w:rPr>
              <w:t>0.0171</w:t>
            </w:r>
          </w:p>
        </w:tc>
        <w:tc>
          <w:tcPr>
            <w:tcW w:type="dxa" w:w="1361"/>
          </w:tcPr>
          <w:p>
            <w:pPr>
              <w:spacing w:before="20" w:after="20" w:line="259" w:lineRule="auto"/>
              <w:ind w:firstLine="0"/>
              <w:jc w:val="center"/>
            </w:pPr>
            <w:r/>
            <w:r>
              <w:rPr>
                <w:rFonts w:ascii="Times New Roman" w:hAnsi="Times New Roman" w:eastAsia="宋体"/>
                <w:b w:val="0"/>
                <w:i w:val="0"/>
                <w:sz w:val="17"/>
              </w:rPr>
              <w:t>7.69***</w:t>
            </w:r>
          </w:p>
        </w:tc>
        <w:tc>
          <w:tcPr>
            <w:tcW w:type="dxa" w:w="1361"/>
          </w:tcPr>
          <w:p>
            <w:pPr>
              <w:spacing w:before="20" w:after="20" w:line="259" w:lineRule="auto"/>
              <w:ind w:firstLine="0"/>
              <w:jc w:val="center"/>
            </w:pPr>
            <w:r/>
            <w:r>
              <w:rPr>
                <w:rFonts w:ascii="Times New Roman" w:hAnsi="Times New Roman" w:eastAsia="宋体"/>
                <w:b w:val="0"/>
                <w:i w:val="0"/>
                <w:sz w:val="17"/>
              </w:rPr>
              <w:t>0.1984</w:t>
            </w:r>
          </w:p>
        </w:tc>
        <w:tc>
          <w:tcPr>
            <w:tcW w:type="dxa" w:w="1474"/>
          </w:tcPr>
          <w:p>
            <w:pPr>
              <w:spacing w:before="20" w:after="20" w:line="259" w:lineRule="auto"/>
              <w:ind w:firstLine="0"/>
              <w:jc w:val="center"/>
            </w:pPr>
            <w:r/>
            <w:r>
              <w:rPr>
                <w:rFonts w:ascii="Times New Roman" w:hAnsi="Times New Roman" w:eastAsia="宋体"/>
                <w:b w:val="0"/>
                <w:i w:val="0"/>
                <w:sz w:val="17"/>
              </w:rPr>
              <w:t>0.0083</w:t>
            </w:r>
          </w:p>
        </w:tc>
        <w:tc>
          <w:tcPr>
            <w:tcW w:type="dxa" w:w="1361"/>
          </w:tcPr>
          <w:p>
            <w:pPr>
              <w:spacing w:before="20" w:after="20" w:line="259" w:lineRule="auto"/>
              <w:ind w:firstLine="0"/>
              <w:jc w:val="center"/>
            </w:pPr>
            <w:r/>
            <w:r>
              <w:rPr>
                <w:rFonts w:ascii="Times New Roman" w:hAnsi="Times New Roman" w:eastAsia="宋体"/>
                <w:b w:val="0"/>
                <w:i w:val="0"/>
                <w:sz w:val="17"/>
              </w:rPr>
              <w:t>4.00***</w:t>
            </w:r>
          </w:p>
        </w:tc>
      </w:tr>
      <w:tr>
        <w:tc>
          <w:tcPr>
            <w:tcW w:type="dxa" w:w="2041"/>
          </w:tcPr>
          <w:p>
            <w:pPr>
              <w:spacing w:before="20" w:after="20" w:line="259" w:lineRule="auto"/>
              <w:ind w:firstLine="0"/>
              <w:jc w:val="left"/>
            </w:pPr>
            <w:r/>
            <w:r>
              <w:rPr>
                <w:rFonts w:ascii="Times New Roman" w:hAnsi="Times New Roman" w:eastAsia="宋体"/>
                <w:b w:val="0"/>
                <w:i w:val="0"/>
                <w:sz w:val="17"/>
              </w:rPr>
              <w:t>L3 选择层</w:t>
            </w:r>
          </w:p>
        </w:tc>
        <w:tc>
          <w:tcPr>
            <w:tcW w:type="dxa" w:w="1474"/>
          </w:tcPr>
          <w:p>
            <w:pPr>
              <w:spacing w:before="20" w:after="20" w:line="259" w:lineRule="auto"/>
              <w:ind w:firstLine="0"/>
              <w:jc w:val="center"/>
            </w:pPr>
            <w:r/>
            <w:r>
              <w:rPr>
                <w:rFonts w:ascii="Times New Roman" w:hAnsi="Times New Roman" w:eastAsia="宋体"/>
                <w:b w:val="0"/>
                <w:i w:val="0"/>
                <w:sz w:val="17"/>
              </w:rPr>
              <w:t>0.0065</w:t>
            </w:r>
          </w:p>
        </w:tc>
        <w:tc>
          <w:tcPr>
            <w:tcW w:type="dxa" w:w="1361"/>
          </w:tcPr>
          <w:p>
            <w:pPr>
              <w:spacing w:before="20" w:after="20" w:line="259" w:lineRule="auto"/>
              <w:ind w:firstLine="0"/>
              <w:jc w:val="center"/>
            </w:pPr>
            <w:r/>
            <w:r>
              <w:rPr>
                <w:rFonts w:ascii="Times New Roman" w:hAnsi="Times New Roman" w:eastAsia="宋体"/>
                <w:b w:val="0"/>
                <w:i w:val="0"/>
                <w:sz w:val="17"/>
              </w:rPr>
              <w:t>4.22***</w:t>
            </w:r>
          </w:p>
        </w:tc>
        <w:tc>
          <w:tcPr>
            <w:tcW w:type="dxa" w:w="1361"/>
          </w:tcPr>
          <w:p>
            <w:pPr>
              <w:spacing w:before="20" w:after="20" w:line="259" w:lineRule="auto"/>
              <w:ind w:firstLine="0"/>
              <w:jc w:val="center"/>
            </w:pPr>
            <w:r/>
            <w:r>
              <w:rPr>
                <w:rFonts w:ascii="Times New Roman" w:hAnsi="Times New Roman" w:eastAsia="宋体"/>
                <w:b w:val="0"/>
                <w:i w:val="0"/>
                <w:sz w:val="17"/>
              </w:rPr>
              <w:t>0.1202</w:t>
            </w:r>
          </w:p>
        </w:tc>
        <w:tc>
          <w:tcPr>
            <w:tcW w:type="dxa" w:w="1474"/>
          </w:tcPr>
          <w:p>
            <w:pPr>
              <w:spacing w:before="20" w:after="20" w:line="259" w:lineRule="auto"/>
              <w:ind w:firstLine="0"/>
              <w:jc w:val="center"/>
            </w:pPr>
            <w:r/>
            <w:r>
              <w:rPr>
                <w:rFonts w:ascii="Times New Roman" w:hAnsi="Times New Roman" w:eastAsia="宋体"/>
                <w:b w:val="0"/>
                <w:i w:val="0"/>
                <w:sz w:val="17"/>
              </w:rPr>
              <w:t>0.0031</w:t>
            </w:r>
          </w:p>
        </w:tc>
        <w:tc>
          <w:tcPr>
            <w:tcW w:type="dxa" w:w="1361"/>
          </w:tcPr>
          <w:p>
            <w:pPr>
              <w:spacing w:before="20" w:after="20" w:line="259" w:lineRule="auto"/>
              <w:ind w:firstLine="0"/>
              <w:jc w:val="center"/>
            </w:pPr>
            <w:r/>
            <w:r>
              <w:rPr>
                <w:rFonts w:ascii="Times New Roman" w:hAnsi="Times New Roman" w:eastAsia="宋体"/>
                <w:b w:val="0"/>
                <w:i w:val="0"/>
                <w:sz w:val="17"/>
              </w:rPr>
              <w:t>2.44**</w:t>
            </w:r>
          </w:p>
        </w:tc>
      </w:tr>
      <w:tr>
        <w:tc>
          <w:tcPr>
            <w:tcW w:type="dxa" w:w="2041"/>
          </w:tcPr>
          <w:p>
            <w:pPr>
              <w:spacing w:before="20" w:after="20" w:line="259" w:lineRule="auto"/>
              <w:ind w:firstLine="0"/>
              <w:jc w:val="left"/>
            </w:pPr>
            <w:r/>
            <w:r>
              <w:rPr>
                <w:rFonts w:ascii="Times New Roman" w:hAnsi="Times New Roman" w:eastAsia="宋体"/>
                <w:b w:val="0"/>
                <w:i w:val="0"/>
                <w:sz w:val="17"/>
              </w:rPr>
              <w:t>L4 风险应对层</w:t>
            </w:r>
          </w:p>
        </w:tc>
        <w:tc>
          <w:tcPr>
            <w:tcW w:type="dxa" w:w="1474"/>
          </w:tcPr>
          <w:p>
            <w:pPr>
              <w:spacing w:before="20" w:after="20" w:line="259" w:lineRule="auto"/>
              <w:ind w:firstLine="0"/>
              <w:jc w:val="center"/>
            </w:pPr>
            <w:r/>
            <w:r>
              <w:rPr>
                <w:rFonts w:ascii="Times New Roman" w:hAnsi="Times New Roman" w:eastAsia="宋体"/>
                <w:b w:val="0"/>
                <w:i w:val="0"/>
                <w:sz w:val="17"/>
              </w:rPr>
              <w:t>0.0138</w:t>
            </w:r>
          </w:p>
        </w:tc>
        <w:tc>
          <w:tcPr>
            <w:tcW w:type="dxa" w:w="1361"/>
          </w:tcPr>
          <w:p>
            <w:pPr>
              <w:spacing w:before="20" w:after="20" w:line="259" w:lineRule="auto"/>
              <w:ind w:firstLine="0"/>
              <w:jc w:val="center"/>
            </w:pPr>
            <w:r/>
            <w:r>
              <w:rPr>
                <w:rFonts w:ascii="Times New Roman" w:hAnsi="Times New Roman" w:eastAsia="宋体"/>
                <w:b w:val="0"/>
                <w:i w:val="0"/>
                <w:sz w:val="17"/>
              </w:rPr>
              <w:t>7.03***</w:t>
            </w:r>
          </w:p>
        </w:tc>
        <w:tc>
          <w:tcPr>
            <w:tcW w:type="dxa" w:w="1361"/>
          </w:tcPr>
          <w:p>
            <w:pPr>
              <w:spacing w:before="20" w:after="20" w:line="259" w:lineRule="auto"/>
              <w:ind w:firstLine="0"/>
              <w:jc w:val="center"/>
            </w:pPr>
            <w:r/>
            <w:r>
              <w:rPr>
                <w:rFonts w:ascii="Times New Roman" w:hAnsi="Times New Roman" w:eastAsia="宋体"/>
                <w:b w:val="0"/>
                <w:i w:val="0"/>
                <w:sz w:val="17"/>
              </w:rPr>
              <w:t>0.2012</w:t>
            </w:r>
          </w:p>
        </w:tc>
        <w:tc>
          <w:tcPr>
            <w:tcW w:type="dxa" w:w="1474"/>
          </w:tcPr>
          <w:p>
            <w:pPr>
              <w:spacing w:before="20" w:after="20" w:line="259" w:lineRule="auto"/>
              <w:ind w:firstLine="0"/>
              <w:jc w:val="center"/>
            </w:pPr>
            <w:r/>
            <w:r>
              <w:rPr>
                <w:rFonts w:ascii="Times New Roman" w:hAnsi="Times New Roman" w:eastAsia="宋体"/>
                <w:b w:val="0"/>
                <w:i w:val="0"/>
                <w:sz w:val="17"/>
              </w:rPr>
              <w:t>0.0092</w:t>
            </w:r>
          </w:p>
        </w:tc>
        <w:tc>
          <w:tcPr>
            <w:tcW w:type="dxa" w:w="1361"/>
          </w:tcPr>
          <w:p>
            <w:pPr>
              <w:spacing w:before="20" w:after="20" w:line="259" w:lineRule="auto"/>
              <w:ind w:firstLine="0"/>
              <w:jc w:val="center"/>
            </w:pPr>
            <w:r/>
            <w:r>
              <w:rPr>
                <w:rFonts w:ascii="Times New Roman" w:hAnsi="Times New Roman" w:eastAsia="宋体"/>
                <w:b w:val="0"/>
                <w:i w:val="0"/>
                <w:sz w:val="17"/>
              </w:rPr>
              <w:t>3.83***</w:t>
            </w:r>
          </w:p>
        </w:tc>
      </w:tr>
      <w:tr>
        <w:tc>
          <w:tcPr>
            <w:tcW w:type="dxa" w:w="2041"/>
          </w:tcPr>
          <w:p>
            <w:pPr>
              <w:spacing w:before="20" w:after="20" w:line="259" w:lineRule="auto"/>
              <w:ind w:firstLine="0"/>
              <w:jc w:val="left"/>
            </w:pPr>
            <w:r/>
            <w:r>
              <w:rPr>
                <w:rFonts w:ascii="Times New Roman" w:hAnsi="Times New Roman" w:eastAsia="宋体"/>
                <w:b w:val="0"/>
                <w:i w:val="0"/>
                <w:sz w:val="17"/>
              </w:rPr>
              <w:t>L4 风险应对层（转化效率）</w:t>
            </w:r>
          </w:p>
        </w:tc>
        <w:tc>
          <w:tcPr>
            <w:tcW w:type="dxa" w:w="1474"/>
          </w:tcPr>
          <w:p>
            <w:pPr>
              <w:spacing w:before="20" w:after="20" w:line="259" w:lineRule="auto"/>
              <w:ind w:firstLine="0"/>
              <w:jc w:val="center"/>
            </w:pPr>
            <w:r/>
            <w:r>
              <w:rPr>
                <w:rFonts w:ascii="Times New Roman" w:hAnsi="Times New Roman" w:eastAsia="宋体"/>
                <w:b w:val="0"/>
                <w:i w:val="0"/>
                <w:sz w:val="17"/>
              </w:rPr>
              <w:t>0.0145</w:t>
            </w:r>
          </w:p>
        </w:tc>
        <w:tc>
          <w:tcPr>
            <w:tcW w:type="dxa" w:w="1361"/>
          </w:tcPr>
          <w:p>
            <w:pPr>
              <w:spacing w:before="20" w:after="20" w:line="259" w:lineRule="auto"/>
              <w:ind w:firstLine="0"/>
              <w:jc w:val="center"/>
            </w:pPr>
            <w:r/>
            <w:r>
              <w:rPr>
                <w:rFonts w:ascii="Times New Roman" w:hAnsi="Times New Roman" w:eastAsia="宋体"/>
                <w:b w:val="0"/>
                <w:i w:val="0"/>
                <w:sz w:val="17"/>
              </w:rPr>
              <w:t>6.87***</w:t>
            </w:r>
          </w:p>
        </w:tc>
        <w:tc>
          <w:tcPr>
            <w:tcW w:type="dxa" w:w="1361"/>
          </w:tcPr>
          <w:p>
            <w:pPr>
              <w:spacing w:before="20" w:after="20" w:line="259" w:lineRule="auto"/>
              <w:ind w:firstLine="0"/>
              <w:jc w:val="center"/>
            </w:pPr>
            <w:r/>
            <w:r>
              <w:rPr>
                <w:rFonts w:ascii="Times New Roman" w:hAnsi="Times New Roman" w:eastAsia="宋体"/>
                <w:b w:val="0"/>
                <w:i w:val="0"/>
                <w:sz w:val="17"/>
              </w:rPr>
              <w:t>0.2845</w:t>
            </w:r>
          </w:p>
        </w:tc>
        <w:tc>
          <w:tcPr>
            <w:tcW w:type="dxa" w:w="1474"/>
          </w:tcPr>
          <w:p>
            <w:pPr>
              <w:spacing w:before="20" w:after="20" w:line="259" w:lineRule="auto"/>
              <w:ind w:firstLine="0"/>
              <w:jc w:val="center"/>
            </w:pPr>
            <w:r/>
            <w:r>
              <w:rPr>
                <w:rFonts w:ascii="Times New Roman" w:hAnsi="Times New Roman" w:eastAsia="宋体"/>
                <w:b w:val="0"/>
                <w:i w:val="0"/>
                <w:sz w:val="17"/>
              </w:rPr>
              <w:t>0.0132</w:t>
            </w:r>
          </w:p>
        </w:tc>
        <w:tc>
          <w:tcPr>
            <w:tcW w:type="dxa" w:w="1361"/>
          </w:tcPr>
          <w:p>
            <w:pPr>
              <w:spacing w:before="20" w:after="20" w:line="259" w:lineRule="auto"/>
              <w:ind w:firstLine="0"/>
              <w:jc w:val="center"/>
            </w:pPr>
            <w:r/>
            <w:r>
              <w:rPr>
                <w:rFonts w:ascii="Times New Roman" w:hAnsi="Times New Roman" w:eastAsia="宋体"/>
                <w:b w:val="0"/>
                <w:i w:val="0"/>
                <w:sz w:val="17"/>
              </w:rPr>
              <w:t>5.50***</w:t>
            </w:r>
          </w:p>
        </w:tc>
      </w:tr>
      <w:tr>
        <w:tc>
          <w:tcPr>
            <w:tcW w:type="dxa" w:w="2041"/>
          </w:tcPr>
          <w:p>
            <w:pPr>
              <w:spacing w:before="20" w:after="20" w:line="259" w:lineRule="auto"/>
              <w:ind w:firstLine="0"/>
              <w:jc w:val="left"/>
            </w:pPr>
            <w:r/>
            <w:r>
              <w:rPr>
                <w:rFonts w:ascii="Times New Roman" w:hAnsi="Times New Roman" w:eastAsia="宋体"/>
                <w:b w:val="0"/>
                <w:i w:val="0"/>
                <w:sz w:val="17"/>
              </w:rPr>
              <w:t>L5 交易执行层</w:t>
            </w:r>
          </w:p>
        </w:tc>
        <w:tc>
          <w:tcPr>
            <w:tcW w:type="dxa" w:w="1474"/>
          </w:tcPr>
          <w:p>
            <w:pPr>
              <w:spacing w:before="20" w:after="20" w:line="259" w:lineRule="auto"/>
              <w:ind w:firstLine="0"/>
              <w:jc w:val="center"/>
            </w:pPr>
            <w:r/>
            <w:r>
              <w:rPr>
                <w:rFonts w:ascii="Times New Roman" w:hAnsi="Times New Roman" w:eastAsia="宋体"/>
                <w:b w:val="0"/>
                <w:i w:val="0"/>
                <w:sz w:val="17"/>
              </w:rPr>
              <w:t>0.0051</w:t>
            </w:r>
          </w:p>
        </w:tc>
        <w:tc>
          <w:tcPr>
            <w:tcW w:type="dxa" w:w="1361"/>
          </w:tcPr>
          <w:p>
            <w:pPr>
              <w:spacing w:before="20" w:after="20" w:line="259" w:lineRule="auto"/>
              <w:ind w:firstLine="0"/>
              <w:jc w:val="center"/>
            </w:pPr>
            <w:r/>
            <w:r>
              <w:rPr>
                <w:rFonts w:ascii="Times New Roman" w:hAnsi="Times New Roman" w:eastAsia="宋体"/>
                <w:b w:val="0"/>
                <w:i w:val="0"/>
                <w:sz w:val="17"/>
              </w:rPr>
              <w:t>3.20***</w:t>
            </w:r>
          </w:p>
        </w:tc>
        <w:tc>
          <w:tcPr>
            <w:tcW w:type="dxa" w:w="1361"/>
          </w:tcPr>
          <w:p>
            <w:pPr>
              <w:spacing w:before="20" w:after="20" w:line="259" w:lineRule="auto"/>
              <w:ind w:firstLine="0"/>
              <w:jc w:val="center"/>
            </w:pPr>
            <w:r/>
            <w:r>
              <w:rPr>
                <w:rFonts w:ascii="Times New Roman" w:hAnsi="Times New Roman" w:eastAsia="宋体"/>
                <w:b w:val="0"/>
                <w:i w:val="0"/>
                <w:sz w:val="17"/>
              </w:rPr>
              <w:t>0.0823</w:t>
            </w:r>
          </w:p>
        </w:tc>
        <w:tc>
          <w:tcPr>
            <w:tcW w:type="dxa" w:w="1474"/>
          </w:tcPr>
          <w:p>
            <w:pPr>
              <w:spacing w:before="20" w:after="20" w:line="259" w:lineRule="auto"/>
              <w:ind w:firstLine="0"/>
              <w:jc w:val="center"/>
            </w:pPr>
            <w:r/>
            <w:r>
              <w:rPr>
                <w:rFonts w:ascii="Times New Roman" w:hAnsi="Times New Roman" w:eastAsia="宋体"/>
                <w:b w:val="0"/>
                <w:i w:val="0"/>
                <w:sz w:val="17"/>
              </w:rPr>
              <w:t>0.0016</w:t>
            </w:r>
          </w:p>
        </w:tc>
        <w:tc>
          <w:tcPr>
            <w:tcW w:type="dxa" w:w="1361"/>
          </w:tcPr>
          <w:p>
            <w:pPr>
              <w:spacing w:before="20" w:after="20" w:line="259" w:lineRule="auto"/>
              <w:ind w:firstLine="0"/>
              <w:jc w:val="center"/>
            </w:pPr>
            <w:r/>
            <w:r>
              <w:rPr>
                <w:rFonts w:ascii="Times New Roman" w:hAnsi="Times New Roman" w:eastAsia="宋体"/>
                <w:b w:val="0"/>
                <w:i w:val="0"/>
                <w:sz w:val="17"/>
              </w:rPr>
              <w:t>1.23</w:t>
            </w:r>
          </w:p>
        </w:tc>
      </w:tr>
      <w:tr>
        <w:tc>
          <w:tcPr>
            <w:tcW w:type="dxa" w:w="2041"/>
          </w:tcPr>
          <w:p>
            <w:pPr>
              <w:spacing w:before="20" w:after="20" w:line="259" w:lineRule="auto"/>
              <w:ind w:firstLine="0"/>
              <w:jc w:val="left"/>
            </w:pPr>
            <w:r/>
            <w:r>
              <w:rPr>
                <w:rFonts w:ascii="Times New Roman" w:hAnsi="Times New Roman" w:eastAsia="宋体"/>
                <w:b w:val="0"/>
                <w:i w:val="0"/>
                <w:sz w:val="17"/>
              </w:rPr>
              <w:t>综合能力</w:t>
            </w:r>
          </w:p>
        </w:tc>
        <w:tc>
          <w:tcPr>
            <w:tcW w:type="dxa" w:w="1474"/>
          </w:tcPr>
          <w:p>
            <w:pPr>
              <w:spacing w:before="20" w:after="20" w:line="259" w:lineRule="auto"/>
              <w:ind w:firstLine="0"/>
              <w:jc w:val="center"/>
            </w:pPr>
            <w:r/>
            <w:r>
              <w:rPr>
                <w:rFonts w:ascii="Times New Roman" w:hAnsi="Times New Roman" w:eastAsia="宋体"/>
                <w:b w:val="0"/>
                <w:i w:val="0"/>
                <w:sz w:val="17"/>
              </w:rPr>
              <w:t>0.0425</w:t>
            </w:r>
          </w:p>
        </w:tc>
        <w:tc>
          <w:tcPr>
            <w:tcW w:type="dxa" w:w="1361"/>
          </w:tcPr>
          <w:p>
            <w:pPr>
              <w:spacing w:before="20" w:after="20" w:line="259" w:lineRule="auto"/>
              <w:ind w:firstLine="0"/>
              <w:jc w:val="center"/>
            </w:pPr>
            <w:r/>
            <w:r>
              <w:rPr>
                <w:rFonts w:ascii="Times New Roman" w:hAnsi="Times New Roman" w:eastAsia="宋体"/>
                <w:b w:val="0"/>
                <w:i w:val="0"/>
                <w:sz w:val="17"/>
              </w:rPr>
              <w:t>11.40***</w:t>
            </w:r>
          </w:p>
        </w:tc>
        <w:tc>
          <w:tcPr>
            <w:tcW w:type="dxa" w:w="1361"/>
          </w:tcPr>
          <w:p>
            <w:pPr>
              <w:spacing w:before="20" w:after="20" w:line="259" w:lineRule="auto"/>
              <w:ind w:firstLine="0"/>
              <w:jc w:val="center"/>
            </w:pPr>
            <w:r/>
            <w:r>
              <w:rPr>
                <w:rFonts w:ascii="Times New Roman" w:hAnsi="Times New Roman" w:eastAsia="宋体"/>
                <w:b w:val="0"/>
                <w:i w:val="0"/>
                <w:sz w:val="17"/>
              </w:rPr>
              <w:t>0.3838</w:t>
            </w:r>
          </w:p>
        </w:tc>
        <w:tc>
          <w:tcPr>
            <w:tcW w:type="dxa" w:w="1474"/>
          </w:tcPr>
          <w:p>
            <w:pPr>
              <w:spacing w:before="20" w:after="20" w:line="259" w:lineRule="auto"/>
              <w:ind w:firstLine="0"/>
              <w:jc w:val="center"/>
            </w:pPr>
            <w:r/>
            <w:r>
              <w:rPr>
                <w:rFonts w:ascii="Times New Roman" w:hAnsi="Times New Roman" w:eastAsia="宋体"/>
                <w:b w:val="0"/>
                <w:i w:val="0"/>
                <w:sz w:val="17"/>
              </w:rPr>
              <w:t>—</w:t>
            </w:r>
          </w:p>
        </w:tc>
        <w:tc>
          <w:tcPr>
            <w:tcW w:type="dxa" w:w="1361"/>
          </w:tcPr>
          <w:p>
            <w:pPr>
              <w:spacing w:before="20" w:after="20" w:line="259" w:lineRule="auto"/>
              <w:ind w:firstLine="0"/>
              <w:jc w:val="center"/>
            </w:pPr>
            <w:r/>
            <w:r>
              <w:rPr>
                <w:rFonts w:ascii="Times New Roman" w:hAnsi="Times New Roman" w:eastAsia="宋体"/>
                <w:b w:val="0"/>
                <w:i w:val="0"/>
                <w:sz w:val="17"/>
              </w:rPr>
              <w:t>—</w:t>
            </w:r>
          </w:p>
        </w:tc>
      </w:tr>
    </w:tbl>
    <w:p>
      <w:pPr>
        <w:spacing w:before="60" w:after="200"/>
      </w:pPr>
      <w:r>
        <w:rPr>
          <w:rFonts w:ascii="Times New Roman" w:hAnsi="Times New Roman" w:eastAsia="宋体"/>
          <w:b w:val="0"/>
          <w:i w:val="0"/>
          <w:sz w:val="17"/>
        </w:rPr>
        <w:t>注：联立模型 N=362，R²=0.4557，不叠加控制变量（L1 得分是三控制变量的线性组合，叠加即完全共线）；对照口径“五维联立＋三控制变量”R²=0.4561，信息含量相当。L2–L5 单维回归含三控制变量与 HC1 稳健标准误，L1 单维为无控制变量回归。</w:t>
      </w:r>
    </w:p>
    <w:p>
      <w:pPr>
        <w:spacing w:after="120" w:line="312" w:lineRule="auto"/>
        <w:ind w:firstLine="420"/>
      </w:pPr>
      <w:r>
        <w:rPr>
          <w:rFonts w:ascii="Times New Roman" w:hAnsi="Times New Roman" w:eastAsia="宋体"/>
          <w:b w:val="0"/>
          <w:i w:val="0"/>
          <w:sz w:val="21"/>
        </w:rPr>
        <w:t>分组检验进一步验证单调性：按综合能力五等分组，FF5 alpha 从 Q1 的 0.64% 单调升至 Q5 的 3.77%（季度均值），Q5−Q1 差 3.13 个百分点（t=10.28）；季度原始收益同样严格单调（4.37% → 9.82%）。图 1 直观呈现这一单调关系——这是能力复合得分有效性的最直接证据。</w:t>
      </w:r>
    </w:p>
    <w:p>
      <w:pPr>
        <w:spacing w:before="120" w:after="40"/>
        <w:jc w:val="center"/>
      </w:pPr>
      <w:r>
        <w:drawing>
          <wp:inline xmlns:a="http://schemas.openxmlformats.org/drawingml/2006/main" xmlns:pic="http://schemas.openxmlformats.org/drawingml/2006/picture">
            <wp:extent cx="5472000" cy="3327568"/>
            <wp:docPr id="2" name="Picture 2"/>
            <wp:cNvGraphicFramePr>
              <a:graphicFrameLocks noChangeAspect="1"/>
            </wp:cNvGraphicFramePr>
            <a:graphic>
              <a:graphicData uri="http://schemas.openxmlformats.org/drawingml/2006/picture">
                <pic:pic>
                  <pic:nvPicPr>
                    <pic:cNvPr id="0" name="论文图1_五分组alpha.png"/>
                    <pic:cNvPicPr/>
                  </pic:nvPicPr>
                  <pic:blipFill>
                    <a:blip r:embed="rId11"/>
                    <a:stretch>
                      <a:fillRect/>
                    </a:stretch>
                  </pic:blipFill>
                  <pic:spPr>
                    <a:xfrm>
                      <a:off x="0" y="0"/>
                      <a:ext cx="5472000" cy="3327568"/>
                    </a:xfrm>
                    <a:prstGeom prst="rect"/>
                  </pic:spPr>
                </pic:pic>
              </a:graphicData>
            </a:graphic>
          </wp:inline>
        </w:drawing>
      </w:r>
    </w:p>
    <w:p>
      <w:pPr>
        <w:spacing w:after="200"/>
        <w:jc w:val="center"/>
      </w:pPr>
      <w:r>
        <w:rPr>
          <w:rFonts w:ascii="Times New Roman" w:hAnsi="Times New Roman" w:eastAsia="黑体"/>
          <w:b/>
          <w:i w:val="0"/>
          <w:sz w:val="18"/>
        </w:rPr>
        <w:t>图 1  按综合能力五等分的组合超额收益（FF5 alpha，季均）</w:t>
      </w:r>
    </w:p>
    <w:p>
      <w:pPr>
        <w:spacing w:before="240" w:after="120"/>
      </w:pPr>
      <w:r>
        <w:rPr>
          <w:rFonts w:ascii="Times New Roman" w:hAnsi="Times New Roman" w:eastAsia="黑体"/>
          <w:b/>
          <w:i w:val="0"/>
          <w:sz w:val="24"/>
        </w:rPr>
        <w:t>3.5  两项口径稳健性检验</w:t>
      </w:r>
    </w:p>
    <w:p>
      <w:pPr>
        <w:spacing w:after="120" w:line="312" w:lineRule="auto"/>
        <w:ind w:firstLine="420"/>
      </w:pPr>
      <w:r>
        <w:rPr>
          <w:rFonts w:ascii="Times New Roman" w:hAnsi="Times New Roman" w:eastAsia="宋体"/>
          <w:b w:val="0"/>
          <w:i w:val="0"/>
          <w:sz w:val="21"/>
        </w:rPr>
        <w:t>本节回答两个对本文框架最直接的质疑：L4 拆为两维是否必要，以及转化效率维是否属于“用业绩解释业绩”。检验设计与结论见表 7，限于篇幅，完整检验过程备索。</w:t>
      </w:r>
    </w:p>
    <w:p>
      <w:pPr>
        <w:spacing w:before="120" w:after="60"/>
        <w:jc w:val="center"/>
      </w:pPr>
      <w:r>
        <w:rPr>
          <w:rFonts w:ascii="Times New Roman" w:hAnsi="Times New Roman" w:eastAsia="黑体"/>
          <w:b/>
          <w:i w:val="0"/>
          <w:sz w:val="18"/>
        </w:rPr>
        <w:t>表 7  两项口径稳健性检验</w:t>
      </w:r>
    </w:p>
    <w:tbl>
      <w:tblPr>
        <w:tblStyle w:val="TableGrid"/>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814"/>
          </w:tcPr>
          <w:p>
            <w:pPr>
              <w:spacing w:before="20" w:after="20" w:line="259" w:lineRule="auto"/>
              <w:ind w:firstLine="0"/>
              <w:jc w:val="center"/>
            </w:pPr>
            <w:r/>
            <w:r>
              <w:rPr>
                <w:rFonts w:ascii="Times New Roman" w:hAnsi="Times New Roman" w:eastAsia="黑体"/>
                <w:b/>
                <w:i w:val="0"/>
                <w:sz w:val="15"/>
              </w:rPr>
              <w:t>质疑</w:t>
            </w:r>
          </w:p>
        </w:tc>
        <w:tc>
          <w:tcPr>
            <w:tcW w:type="dxa" w:w="1928"/>
          </w:tcPr>
          <w:p>
            <w:pPr>
              <w:spacing w:before="20" w:after="20" w:line="259" w:lineRule="auto"/>
              <w:ind w:firstLine="0"/>
              <w:jc w:val="center"/>
            </w:pPr>
            <w:r/>
            <w:r>
              <w:rPr>
                <w:rFonts w:ascii="Times New Roman" w:hAnsi="Times New Roman" w:eastAsia="黑体"/>
                <w:b/>
                <w:i w:val="0"/>
                <w:sz w:val="15"/>
              </w:rPr>
              <w:t>检验设计</w:t>
            </w:r>
          </w:p>
        </w:tc>
        <w:tc>
          <w:tcPr>
            <w:tcW w:type="dxa" w:w="3742"/>
          </w:tcPr>
          <w:p>
            <w:pPr>
              <w:spacing w:before="20" w:after="20" w:line="259" w:lineRule="auto"/>
              <w:ind w:firstLine="0"/>
              <w:jc w:val="center"/>
            </w:pPr>
            <w:r/>
            <w:r>
              <w:rPr>
                <w:rFonts w:ascii="Times New Roman" w:hAnsi="Times New Roman" w:eastAsia="黑体"/>
                <w:b/>
                <w:i w:val="0"/>
                <w:sz w:val="15"/>
              </w:rPr>
              <w:t>结果</w:t>
            </w:r>
          </w:p>
        </w:tc>
        <w:tc>
          <w:tcPr>
            <w:tcW w:type="dxa" w:w="2154"/>
          </w:tcPr>
          <w:p>
            <w:pPr>
              <w:spacing w:before="20" w:after="20" w:line="259" w:lineRule="auto"/>
              <w:ind w:firstLine="0"/>
              <w:jc w:val="center"/>
            </w:pPr>
            <w:r/>
            <w:r>
              <w:rPr>
                <w:rFonts w:ascii="Times New Roman" w:hAnsi="Times New Roman" w:eastAsia="黑体"/>
                <w:b/>
                <w:i w:val="0"/>
                <w:sz w:val="15"/>
              </w:rPr>
              <w:t>裁决</w:t>
            </w:r>
          </w:p>
        </w:tc>
      </w:tr>
      <w:tr>
        <w:tc>
          <w:tcPr>
            <w:tcW w:type="dxa" w:w="1814"/>
          </w:tcPr>
          <w:p>
            <w:pPr>
              <w:spacing w:before="20" w:after="20" w:line="259" w:lineRule="auto"/>
              <w:ind w:firstLine="0"/>
              <w:jc w:val="left"/>
            </w:pPr>
            <w:r/>
            <w:r>
              <w:rPr>
                <w:rFonts w:ascii="Times New Roman" w:hAnsi="Times New Roman" w:eastAsia="宋体"/>
                <w:b w:val="0"/>
                <w:i w:val="0"/>
                <w:sz w:val="15"/>
              </w:rPr>
              <w:t>质疑一：L4 应否合并</w:t>
              <w:br/>
            </w:r>
            <w:r>
              <w:rPr>
                <w:rFonts w:ascii="Times New Roman" w:hAnsi="Times New Roman" w:eastAsia="宋体"/>
                <w:b w:val="0"/>
                <w:i w:val="0"/>
                <w:sz w:val="15"/>
              </w:rPr>
              <w:t>回一维，使层数＝维数</w:t>
            </w:r>
          </w:p>
        </w:tc>
        <w:tc>
          <w:tcPr>
            <w:tcW w:type="dxa" w:w="1928"/>
          </w:tcPr>
          <w:p>
            <w:pPr>
              <w:spacing w:before="20" w:after="20" w:line="259" w:lineRule="auto"/>
              <w:ind w:firstLine="0"/>
              <w:jc w:val="left"/>
            </w:pPr>
            <w:r/>
            <w:r>
              <w:rPr>
                <w:rFonts w:ascii="Times New Roman" w:hAnsi="Times New Roman" w:eastAsia="宋体"/>
                <w:b w:val="0"/>
                <w:i w:val="0"/>
                <w:sz w:val="15"/>
              </w:rPr>
              <w:t>三套口径对照：</w:t>
              <w:br/>
            </w:r>
            <w:r>
              <w:rPr>
                <w:rFonts w:ascii="Times New Roman" w:hAnsi="Times New Roman" w:eastAsia="宋体"/>
                <w:b w:val="0"/>
                <w:i w:val="0"/>
                <w:sz w:val="15"/>
              </w:rPr>
              <w:t>A 拆分（本文）／B 分数级合并／C 成分级合并</w:t>
            </w:r>
          </w:p>
        </w:tc>
        <w:tc>
          <w:tcPr>
            <w:tcW w:type="dxa" w:w="3742"/>
          </w:tcPr>
          <w:p>
            <w:pPr>
              <w:spacing w:before="20" w:after="20" w:line="259" w:lineRule="auto"/>
              <w:ind w:firstLine="0"/>
              <w:jc w:val="left"/>
            </w:pPr>
            <w:r/>
            <w:r>
              <w:rPr>
                <w:rFonts w:ascii="Times New Roman" w:hAnsi="Times New Roman" w:eastAsia="宋体"/>
                <w:b w:val="0"/>
                <w:i w:val="0"/>
                <w:sz w:val="15"/>
              </w:rPr>
              <w:t>两职能秩相关仅 0.122（Pearson 0.418）；42% 的基金分位差 &gt;0.30，3 只极端背离；互控时各自强显著（+6.56／+6.10）</w:t>
              <w:br/>
            </w:r>
            <w:r>
              <w:rPr>
                <w:rFonts w:ascii="Times New Roman" w:hAnsi="Times New Roman" w:eastAsia="宋体"/>
                <w:b w:val="0"/>
                <w:i w:val="0"/>
                <w:sz w:val="15"/>
              </w:rPr>
              <w:t>Q5−Q1：A 0.0313（t=10.28，单调）／B 0.0282（t=8.83，Q3&gt;Q4 逆序）／C 0.0277（t=8.76）</w:t>
            </w:r>
          </w:p>
        </w:tc>
        <w:tc>
          <w:tcPr>
            <w:tcW w:type="dxa" w:w="2154"/>
          </w:tcPr>
          <w:p>
            <w:pPr>
              <w:spacing w:before="20" w:after="20" w:line="259" w:lineRule="auto"/>
              <w:ind w:firstLine="0"/>
              <w:jc w:val="left"/>
            </w:pPr>
            <w:r/>
            <w:r>
              <w:rPr>
                <w:rFonts w:ascii="Times New Roman" w:hAnsi="Times New Roman" w:eastAsia="宋体"/>
                <w:b w:val="0"/>
                <w:i w:val="0"/>
                <w:sz w:val="15"/>
              </w:rPr>
              <w:t>不合并。两职能测的不是一件事，</w:t>
              <w:br/>
            </w:r>
            <w:r>
              <w:rPr>
                <w:rFonts w:ascii="Times New Roman" w:hAnsi="Times New Roman" w:eastAsia="宋体"/>
                <w:b w:val="0"/>
                <w:i w:val="0"/>
                <w:sz w:val="15"/>
              </w:rPr>
              <w:t>合并掩盖异质性且降低区分度</w:t>
            </w:r>
          </w:p>
        </w:tc>
      </w:tr>
      <w:tr>
        <w:tc>
          <w:tcPr>
            <w:tcW w:type="dxa" w:w="1814"/>
          </w:tcPr>
          <w:p>
            <w:pPr>
              <w:spacing w:before="20" w:after="20" w:line="259" w:lineRule="auto"/>
              <w:ind w:firstLine="0"/>
              <w:jc w:val="left"/>
            </w:pPr>
            <w:r/>
            <w:r>
              <w:rPr>
                <w:rFonts w:ascii="Times New Roman" w:hAnsi="Times New Roman" w:eastAsia="宋体"/>
                <w:b w:val="0"/>
                <w:i w:val="0"/>
                <w:sz w:val="15"/>
              </w:rPr>
              <w:t>质疑二：转化效率维</w:t>
              <w:br/>
            </w:r>
            <w:r>
              <w:rPr>
                <w:rFonts w:ascii="Times New Roman" w:hAnsi="Times New Roman" w:eastAsia="宋体"/>
                <w:b w:val="0"/>
                <w:i w:val="0"/>
                <w:sz w:val="15"/>
              </w:rPr>
              <w:t>是否“用业绩解释业绩”</w:t>
            </w:r>
          </w:p>
        </w:tc>
        <w:tc>
          <w:tcPr>
            <w:tcW w:type="dxa" w:w="1928"/>
          </w:tcPr>
          <w:p>
            <w:pPr>
              <w:spacing w:before="20" w:after="20" w:line="259" w:lineRule="auto"/>
              <w:ind w:firstLine="0"/>
              <w:jc w:val="left"/>
            </w:pPr>
            <w:r/>
            <w:r>
              <w:rPr>
                <w:rFonts w:ascii="Times New Roman" w:hAnsi="Times New Roman" w:eastAsia="宋体"/>
                <w:b w:val="0"/>
                <w:i w:val="0"/>
                <w:sz w:val="15"/>
              </w:rPr>
              <w:t>D1 定义重叠度／D2 样本外</w:t>
              <w:br/>
            </w:r>
            <w:r>
              <w:rPr>
                <w:rFonts w:ascii="Times New Roman" w:hAnsi="Times New Roman" w:eastAsia="宋体"/>
                <w:b w:val="0"/>
                <w:i w:val="0"/>
                <w:sz w:val="15"/>
              </w:rPr>
              <w:t>D3 剔除检验／D4 换因变量</w:t>
            </w:r>
          </w:p>
        </w:tc>
        <w:tc>
          <w:tcPr>
            <w:tcW w:type="dxa" w:w="3742"/>
          </w:tcPr>
          <w:p>
            <w:pPr>
              <w:spacing w:before="20" w:after="20" w:line="259" w:lineRule="auto"/>
              <w:ind w:firstLine="0"/>
              <w:jc w:val="left"/>
            </w:pPr>
            <w:r/>
            <w:r>
              <w:rPr>
                <w:rFonts w:ascii="Times New Roman" w:hAnsi="Times New Roman" w:eastAsia="宋体"/>
                <w:b w:val="0"/>
                <w:i w:val="0"/>
                <w:sz w:val="15"/>
              </w:rPr>
              <w:t>D1：与因变量最大相关 0.443，对照组最高 0.313</w:t>
              <w:br/>
            </w:r>
            <w:r>
              <w:rPr>
                <w:rFonts w:ascii="Times New Roman" w:hAnsi="Times New Roman" w:eastAsia="宋体"/>
                <w:b w:val="0"/>
                <w:i w:val="0"/>
                <w:sz w:val="15"/>
              </w:rPr>
              <w:t>D2：以 2023-04-01 切分，前期算指标、后期算 alpha，单维 t=+5.38、联立 t=+5.58</w:t>
              <w:br/>
            </w:r>
            <w:r>
              <w:rPr>
                <w:rFonts w:ascii="Times New Roman" w:hAnsi="Times New Roman" w:eastAsia="宋体"/>
                <w:b w:val="0"/>
                <w:i w:val="0"/>
                <w:sz w:val="15"/>
              </w:rPr>
              <w:t>D3：剔除后 R² 0.4557→0.2761（绝对增量 0.1796，占全模型 R² 的 39.4%），其余维度不变</w:t>
              <w:br/>
            </w:r>
            <w:r>
              <w:rPr>
                <w:rFonts w:ascii="Times New Roman" w:hAnsi="Times New Roman" w:eastAsia="宋体"/>
                <w:b w:val="0"/>
                <w:i w:val="0"/>
                <w:sz w:val="15"/>
              </w:rPr>
              <w:t>D4：改用季度原始收益 t=+13.28，方向不变</w:t>
            </w:r>
          </w:p>
        </w:tc>
        <w:tc>
          <w:tcPr>
            <w:tcW w:type="dxa" w:w="2154"/>
          </w:tcPr>
          <w:p>
            <w:pPr>
              <w:spacing w:before="20" w:after="20" w:line="259" w:lineRule="auto"/>
              <w:ind w:firstLine="0"/>
              <w:jc w:val="left"/>
            </w:pPr>
            <w:r/>
            <w:r>
              <w:rPr>
                <w:rFonts w:ascii="Times New Roman" w:hAnsi="Times New Roman" w:eastAsia="宋体"/>
                <w:b w:val="0"/>
                <w:i w:val="0"/>
                <w:sz w:val="15"/>
              </w:rPr>
              <w:t>存在部分定义同源，但结论在</w:t>
              <w:br/>
            </w:r>
            <w:r>
              <w:rPr>
                <w:rFonts w:ascii="Times New Roman" w:hAnsi="Times New Roman" w:eastAsia="宋体"/>
                <w:b w:val="0"/>
                <w:i w:val="0"/>
                <w:sz w:val="15"/>
              </w:rPr>
              <w:t>样本外成立；定性下调为</w:t>
              <w:br/>
            </w:r>
            <w:r>
              <w:rPr>
                <w:rFonts w:ascii="Times New Roman" w:hAnsi="Times New Roman" w:eastAsia="宋体"/>
                <w:b w:val="0"/>
                <w:i w:val="0"/>
                <w:sz w:val="15"/>
              </w:rPr>
              <w:t>“风险使用效率的持续性”</w:t>
            </w:r>
          </w:p>
        </w:tc>
      </w:tr>
    </w:tbl>
    <w:p>
      <w:pPr>
        <w:spacing w:before="60" w:after="200"/>
      </w:pPr>
      <w:r>
        <w:rPr>
          <w:rFonts w:ascii="Times New Roman" w:hAnsi="Times New Roman" w:eastAsia="宋体"/>
          <w:b w:val="0"/>
          <w:i w:val="0"/>
          <w:sz w:val="17"/>
        </w:rPr>
        <w:t>注：六维等权使 L4 层实得 2/6≈33.3% 权重、其余四层各 1/6，这是一个需读者知晓的加权选择；稳健性检验显示它不影响画像结论——按层加权口径（口径 B，L4 恰为 1/5）与本文口径的综合得分 Spearman 相关 0.9917，Top5% 名单重叠 19/20。</w:t>
      </w:r>
    </w:p>
    <w:p>
      <w:pPr>
        <w:spacing w:after="120" w:line="312" w:lineRule="auto"/>
        <w:ind w:firstLine="420"/>
      </w:pPr>
      <w:r>
        <w:rPr>
          <w:rFonts w:ascii="Times New Roman" w:hAnsi="Times New Roman" w:eastAsia="宋体"/>
          <w:b w:val="0"/>
          <w:i w:val="0"/>
          <w:sz w:val="21"/>
        </w:rPr>
        <w:t>样本外检验另有一项发现值得记录：L1 基本面优势在样本外联立中转为显著为正（t=+2.71，p=0.0067），而同期口径下不显著（t=-0.17）。这为“L1 是边界条件”提供了更强证据：前期的年轻、小规模状态确实预示后期更高的 alpha，只是同期截面上信息已被行为维度完整吸收。相比之下 L5 交易执行在两个口径下均不显著（同期 +1.23、样本外 +0.67），结论一致。六维样本外联立进一步支持上述筛选：风险应对（过程应对）t=+7.05 为六维最高，风险转化 t=+5.58、配置选择 t=+3.47、认知 t=+2.20 均保持显著，与同期口径下“四个行为维度显著”的结论吻合，说明该判断并非同期相关的产物。</w:t>
      </w:r>
    </w:p>
    <w:p>
      <w:pPr>
        <w:spacing w:after="120" w:line="312" w:lineRule="auto"/>
        <w:ind w:firstLine="420"/>
      </w:pPr>
      <w:r>
        <w:rPr>
          <w:rFonts w:ascii="Times New Roman" w:hAnsi="Times New Roman" w:eastAsia="宋体"/>
          <w:b w:val="0"/>
          <w:i w:val="0"/>
          <w:sz w:val="21"/>
        </w:rPr>
        <w:t>另一项补充以市场状态捕获率佐证 L4b 风险转化维度的行为含义（结论 D8）：上行捕获率 t=+7.62、下行捕获率 t=-8.36（均 p&lt;0.01，含三控制变量 HC1），基金层覆盖 85.0%（340 只），较第二轮扩展搜索的 50% 显著修复（改用季度面板直接构造 fund_ex/mkt_ex）；与现有六维最大相关 0.352（上行）/0.509（下行），均低于冗余门槛 0.7。但捕获率由基金收益直接构造，与业绩因变量相关 0.722，高于 sharpe 族 L4b 的 0.439——若直接替换，会重新放大 D2“用业绩解释业绩”的定义同源质疑。因此将其定位为佐证而非复合主成分，L4b 有效性的主要依据仍是样本外检验（D2）。</w:t>
      </w:r>
    </w:p>
    <w:p>
      <w:pPr>
        <w:spacing w:before="240" w:after="120"/>
      </w:pPr>
      <w:r>
        <w:rPr>
          <w:rFonts w:ascii="Times New Roman" w:hAnsi="Times New Roman" w:eastAsia="黑体"/>
          <w:b/>
          <w:i w:val="0"/>
          <w:sz w:val="28"/>
        </w:rPr>
        <w:t>4  投资经理画像</w:t>
      </w:r>
    </w:p>
    <w:p>
      <w:pPr>
        <w:spacing w:before="240" w:after="120"/>
      </w:pPr>
      <w:r>
        <w:rPr>
          <w:rFonts w:ascii="Times New Roman" w:hAnsi="Times New Roman" w:eastAsia="黑体"/>
          <w:b/>
          <w:i w:val="0"/>
          <w:sz w:val="24"/>
        </w:rPr>
        <w:t>4.1  群体画像</w:t>
      </w:r>
    </w:p>
    <w:p>
      <w:pPr>
        <w:spacing w:after="120" w:line="312" w:lineRule="auto"/>
        <w:ind w:firstLine="420"/>
      </w:pPr>
      <w:r>
        <w:rPr>
          <w:rFonts w:ascii="Times New Roman" w:hAnsi="Times New Roman" w:eastAsia="宋体"/>
          <w:b w:val="0"/>
          <w:i w:val="0"/>
          <w:sz w:val="21"/>
        </w:rPr>
        <w:t>按 FF5 alpha（业绩，而非能力得分）取最好与最差各 5%（各 19 只），再回头比较两组的维度得分——检验的是“好业绩背后是否真有维度差异”，与 3.4 按能力分组看业绩单调性的方向相反，两者互为印证。Top5% 组的基金层 FF5 alpha 均值 6.65%，Bottom5% 组 -1.66%。六个维度全部显著分化（表 8），其中 L4a 过程应对差距最大（1.1901）、L1 基本面优势最小（0.3442）——后者与 L1 的边界条件定位一致：好与差的极端业绩都出现在较新、较小的基金上。</w:t>
      </w:r>
    </w:p>
    <w:p>
      <w:pPr>
        <w:spacing w:before="120" w:after="60"/>
        <w:jc w:val="center"/>
      </w:pPr>
      <w:r>
        <w:rPr>
          <w:rFonts w:ascii="Times New Roman" w:hAnsi="Times New Roman" w:eastAsia="黑体"/>
          <w:b/>
          <w:i w:val="0"/>
          <w:sz w:val="18"/>
        </w:rPr>
        <w:t>表 8  群体画像：Top5% 与 Bottom5% 的能力维度差异</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2608"/>
          </w:tcPr>
          <w:p>
            <w:pPr>
              <w:spacing w:before="20" w:after="20" w:line="259" w:lineRule="auto"/>
              <w:ind w:firstLine="0"/>
              <w:jc w:val="center"/>
            </w:pPr>
            <w:r/>
            <w:r>
              <w:rPr>
                <w:rFonts w:ascii="Times New Roman" w:hAnsi="Times New Roman" w:eastAsia="黑体"/>
                <w:b/>
                <w:i w:val="0"/>
                <w:sz w:val="17"/>
              </w:rPr>
              <w:t>能力维度</w:t>
            </w:r>
          </w:p>
        </w:tc>
        <w:tc>
          <w:tcPr>
            <w:tcW w:type="dxa" w:w="1814"/>
          </w:tcPr>
          <w:p>
            <w:pPr>
              <w:spacing w:before="20" w:after="20" w:line="259" w:lineRule="auto"/>
              <w:ind w:firstLine="0"/>
              <w:jc w:val="center"/>
            </w:pPr>
            <w:r/>
            <w:r>
              <w:rPr>
                <w:rFonts w:ascii="Times New Roman" w:hAnsi="Times New Roman" w:eastAsia="黑体"/>
                <w:b/>
                <w:i w:val="0"/>
                <w:sz w:val="17"/>
              </w:rPr>
              <w:t>Top5% 均值</w:t>
            </w:r>
          </w:p>
        </w:tc>
        <w:tc>
          <w:tcPr>
            <w:tcW w:type="dxa" w:w="1814"/>
          </w:tcPr>
          <w:p>
            <w:pPr>
              <w:spacing w:before="20" w:after="20" w:line="259" w:lineRule="auto"/>
              <w:ind w:firstLine="0"/>
              <w:jc w:val="center"/>
            </w:pPr>
            <w:r/>
            <w:r>
              <w:rPr>
                <w:rFonts w:ascii="Times New Roman" w:hAnsi="Times New Roman" w:eastAsia="黑体"/>
                <w:b/>
                <w:i w:val="0"/>
                <w:sz w:val="17"/>
              </w:rPr>
              <w:t>Bottom5% 均值</w:t>
            </w:r>
          </w:p>
        </w:tc>
        <w:tc>
          <w:tcPr>
            <w:tcW w:type="dxa" w:w="1701"/>
          </w:tcPr>
          <w:p>
            <w:pPr>
              <w:spacing w:before="20" w:after="20" w:line="259" w:lineRule="auto"/>
              <w:ind w:firstLine="0"/>
              <w:jc w:val="center"/>
            </w:pPr>
            <w:r/>
            <w:r>
              <w:rPr>
                <w:rFonts w:ascii="Times New Roman" w:hAnsi="Times New Roman" w:eastAsia="黑体"/>
                <w:b/>
                <w:i w:val="0"/>
                <w:sz w:val="17"/>
              </w:rPr>
              <w:t>差值</w:t>
            </w:r>
          </w:p>
        </w:tc>
        <w:tc>
          <w:tcPr>
            <w:tcW w:type="dxa" w:w="1701"/>
          </w:tcPr>
          <w:p>
            <w:pPr>
              <w:spacing w:before="20" w:after="20" w:line="259" w:lineRule="auto"/>
              <w:ind w:firstLine="0"/>
              <w:jc w:val="center"/>
            </w:pPr>
            <w:r/>
            <w:r>
              <w:rPr>
                <w:rFonts w:ascii="Times New Roman" w:hAnsi="Times New Roman" w:eastAsia="黑体"/>
                <w:b/>
                <w:i w:val="0"/>
                <w:sz w:val="17"/>
              </w:rPr>
              <w:t>t 值</w:t>
            </w:r>
          </w:p>
        </w:tc>
      </w:tr>
      <w:tr>
        <w:tc>
          <w:tcPr>
            <w:tcW w:type="dxa" w:w="2608"/>
          </w:tcPr>
          <w:p>
            <w:pPr>
              <w:spacing w:before="20" w:after="20" w:line="259" w:lineRule="auto"/>
              <w:ind w:firstLine="0"/>
              <w:jc w:val="left"/>
            </w:pPr>
            <w:r/>
            <w:r>
              <w:rPr>
                <w:rFonts w:ascii="Times New Roman" w:hAnsi="Times New Roman" w:eastAsia="宋体"/>
                <w:b w:val="0"/>
                <w:i w:val="0"/>
                <w:sz w:val="17"/>
              </w:rPr>
              <w:t>L1 基本面层</w:t>
            </w:r>
          </w:p>
        </w:tc>
        <w:tc>
          <w:tcPr>
            <w:tcW w:type="dxa" w:w="1814"/>
          </w:tcPr>
          <w:p>
            <w:pPr>
              <w:spacing w:before="20" w:after="20" w:line="259" w:lineRule="auto"/>
              <w:ind w:firstLine="0"/>
              <w:jc w:val="center"/>
            </w:pPr>
            <w:r/>
            <w:r>
              <w:rPr>
                <w:rFonts w:ascii="Times New Roman" w:hAnsi="Times New Roman" w:eastAsia="宋体"/>
                <w:b w:val="0"/>
                <w:i w:val="0"/>
                <w:sz w:val="17"/>
              </w:rPr>
              <w:t>0.5270</w:t>
            </w:r>
          </w:p>
        </w:tc>
        <w:tc>
          <w:tcPr>
            <w:tcW w:type="dxa" w:w="1814"/>
          </w:tcPr>
          <w:p>
            <w:pPr>
              <w:spacing w:before="20" w:after="20" w:line="259" w:lineRule="auto"/>
              <w:ind w:firstLine="0"/>
              <w:jc w:val="center"/>
            </w:pPr>
            <w:r/>
            <w:r>
              <w:rPr>
                <w:rFonts w:ascii="Times New Roman" w:hAnsi="Times New Roman" w:eastAsia="宋体"/>
                <w:b w:val="0"/>
                <w:i w:val="0"/>
                <w:sz w:val="17"/>
              </w:rPr>
              <w:t>0.1828</w:t>
            </w:r>
          </w:p>
        </w:tc>
        <w:tc>
          <w:tcPr>
            <w:tcW w:type="dxa" w:w="1701"/>
          </w:tcPr>
          <w:p>
            <w:pPr>
              <w:spacing w:before="20" w:after="20" w:line="259" w:lineRule="auto"/>
              <w:ind w:firstLine="0"/>
              <w:jc w:val="center"/>
            </w:pPr>
            <w:r/>
            <w:r>
              <w:rPr>
                <w:rFonts w:ascii="Times New Roman" w:hAnsi="Times New Roman" w:eastAsia="宋体"/>
                <w:b w:val="0"/>
                <w:i w:val="0"/>
                <w:sz w:val="17"/>
              </w:rPr>
              <w:t>0.3442</w:t>
            </w:r>
          </w:p>
        </w:tc>
        <w:tc>
          <w:tcPr>
            <w:tcW w:type="dxa" w:w="1701"/>
          </w:tcPr>
          <w:p>
            <w:pPr>
              <w:spacing w:before="20" w:after="20" w:line="259" w:lineRule="auto"/>
              <w:ind w:firstLine="0"/>
              <w:jc w:val="center"/>
            </w:pPr>
            <w:r/>
            <w:r>
              <w:rPr>
                <w:rFonts w:ascii="Times New Roman" w:hAnsi="Times New Roman" w:eastAsia="宋体"/>
                <w:b w:val="0"/>
                <w:i w:val="0"/>
                <w:sz w:val="17"/>
              </w:rPr>
              <w:t>+2.14**</w:t>
            </w:r>
          </w:p>
        </w:tc>
      </w:tr>
      <w:tr>
        <w:tc>
          <w:tcPr>
            <w:tcW w:type="dxa" w:w="2608"/>
          </w:tcPr>
          <w:p>
            <w:pPr>
              <w:spacing w:before="20" w:after="20" w:line="259" w:lineRule="auto"/>
              <w:ind w:firstLine="0"/>
              <w:jc w:val="left"/>
            </w:pPr>
            <w:r/>
            <w:r>
              <w:rPr>
                <w:rFonts w:ascii="Times New Roman" w:hAnsi="Times New Roman" w:eastAsia="宋体"/>
                <w:b w:val="0"/>
                <w:i w:val="0"/>
                <w:sz w:val="17"/>
              </w:rPr>
              <w:t>L2 认知层</w:t>
            </w:r>
          </w:p>
        </w:tc>
        <w:tc>
          <w:tcPr>
            <w:tcW w:type="dxa" w:w="1814"/>
          </w:tcPr>
          <w:p>
            <w:pPr>
              <w:spacing w:before="20" w:after="20" w:line="259" w:lineRule="auto"/>
              <w:ind w:firstLine="0"/>
              <w:jc w:val="center"/>
            </w:pPr>
            <w:r/>
            <w:r>
              <w:rPr>
                <w:rFonts w:ascii="Times New Roman" w:hAnsi="Times New Roman" w:eastAsia="宋体"/>
                <w:b w:val="0"/>
                <w:i w:val="0"/>
                <w:sz w:val="17"/>
              </w:rPr>
              <w:t>0.3620</w:t>
            </w:r>
          </w:p>
        </w:tc>
        <w:tc>
          <w:tcPr>
            <w:tcW w:type="dxa" w:w="1814"/>
          </w:tcPr>
          <w:p>
            <w:pPr>
              <w:spacing w:before="20" w:after="20" w:line="259" w:lineRule="auto"/>
              <w:ind w:firstLine="0"/>
              <w:jc w:val="center"/>
            </w:pPr>
            <w:r/>
            <w:r>
              <w:rPr>
                <w:rFonts w:ascii="Times New Roman" w:hAnsi="Times New Roman" w:eastAsia="宋体"/>
                <w:b w:val="0"/>
                <w:i w:val="0"/>
                <w:sz w:val="17"/>
              </w:rPr>
              <w:t>-0.3176</w:t>
            </w:r>
          </w:p>
        </w:tc>
        <w:tc>
          <w:tcPr>
            <w:tcW w:type="dxa" w:w="1701"/>
          </w:tcPr>
          <w:p>
            <w:pPr>
              <w:spacing w:before="20" w:after="20" w:line="259" w:lineRule="auto"/>
              <w:ind w:firstLine="0"/>
              <w:jc w:val="center"/>
            </w:pPr>
            <w:r/>
            <w:r>
              <w:rPr>
                <w:rFonts w:ascii="Times New Roman" w:hAnsi="Times New Roman" w:eastAsia="宋体"/>
                <w:b w:val="0"/>
                <w:i w:val="0"/>
                <w:sz w:val="17"/>
              </w:rPr>
              <w:t>0.6796</w:t>
            </w:r>
          </w:p>
        </w:tc>
        <w:tc>
          <w:tcPr>
            <w:tcW w:type="dxa" w:w="1701"/>
          </w:tcPr>
          <w:p>
            <w:pPr>
              <w:spacing w:before="20" w:after="20" w:line="259" w:lineRule="auto"/>
              <w:ind w:firstLine="0"/>
              <w:jc w:val="center"/>
            </w:pPr>
            <w:r/>
            <w:r>
              <w:rPr>
                <w:rFonts w:ascii="Times New Roman" w:hAnsi="Times New Roman" w:eastAsia="宋体"/>
                <w:b w:val="0"/>
                <w:i w:val="0"/>
                <w:sz w:val="17"/>
              </w:rPr>
              <w:t>+5.55***</w:t>
            </w:r>
          </w:p>
        </w:tc>
      </w:tr>
      <w:tr>
        <w:tc>
          <w:tcPr>
            <w:tcW w:type="dxa" w:w="2608"/>
          </w:tcPr>
          <w:p>
            <w:pPr>
              <w:spacing w:before="20" w:after="20" w:line="259" w:lineRule="auto"/>
              <w:ind w:firstLine="0"/>
              <w:jc w:val="left"/>
            </w:pPr>
            <w:r/>
            <w:r>
              <w:rPr>
                <w:rFonts w:ascii="Times New Roman" w:hAnsi="Times New Roman" w:eastAsia="宋体"/>
                <w:b w:val="0"/>
                <w:i w:val="0"/>
                <w:sz w:val="17"/>
              </w:rPr>
              <w:t>L3 选择层</w:t>
            </w:r>
          </w:p>
        </w:tc>
        <w:tc>
          <w:tcPr>
            <w:tcW w:type="dxa" w:w="1814"/>
          </w:tcPr>
          <w:p>
            <w:pPr>
              <w:spacing w:before="20" w:after="20" w:line="259" w:lineRule="auto"/>
              <w:ind w:firstLine="0"/>
              <w:jc w:val="center"/>
            </w:pPr>
            <w:r/>
            <w:r>
              <w:rPr>
                <w:rFonts w:ascii="Times New Roman" w:hAnsi="Times New Roman" w:eastAsia="宋体"/>
                <w:b w:val="0"/>
                <w:i w:val="0"/>
                <w:sz w:val="17"/>
              </w:rPr>
              <w:t>0.7073</w:t>
            </w:r>
          </w:p>
        </w:tc>
        <w:tc>
          <w:tcPr>
            <w:tcW w:type="dxa" w:w="1814"/>
          </w:tcPr>
          <w:p>
            <w:pPr>
              <w:spacing w:before="20" w:after="20" w:line="259" w:lineRule="auto"/>
              <w:ind w:firstLine="0"/>
              <w:jc w:val="center"/>
            </w:pPr>
            <w:r/>
            <w:r>
              <w:rPr>
                <w:rFonts w:ascii="Times New Roman" w:hAnsi="Times New Roman" w:eastAsia="宋体"/>
                <w:b w:val="0"/>
                <w:i w:val="0"/>
                <w:sz w:val="17"/>
              </w:rPr>
              <w:t>-0.3091</w:t>
            </w:r>
          </w:p>
        </w:tc>
        <w:tc>
          <w:tcPr>
            <w:tcW w:type="dxa" w:w="1701"/>
          </w:tcPr>
          <w:p>
            <w:pPr>
              <w:spacing w:before="20" w:after="20" w:line="259" w:lineRule="auto"/>
              <w:ind w:firstLine="0"/>
              <w:jc w:val="center"/>
            </w:pPr>
            <w:r/>
            <w:r>
              <w:rPr>
                <w:rFonts w:ascii="Times New Roman" w:hAnsi="Times New Roman" w:eastAsia="宋体"/>
                <w:b w:val="0"/>
                <w:i w:val="0"/>
                <w:sz w:val="17"/>
              </w:rPr>
              <w:t>1.0164</w:t>
            </w:r>
          </w:p>
        </w:tc>
        <w:tc>
          <w:tcPr>
            <w:tcW w:type="dxa" w:w="1701"/>
          </w:tcPr>
          <w:p>
            <w:pPr>
              <w:spacing w:before="20" w:after="20" w:line="259" w:lineRule="auto"/>
              <w:ind w:firstLine="0"/>
              <w:jc w:val="center"/>
            </w:pPr>
            <w:r/>
            <w:r>
              <w:rPr>
                <w:rFonts w:ascii="Times New Roman" w:hAnsi="Times New Roman" w:eastAsia="宋体"/>
                <w:b w:val="0"/>
                <w:i w:val="0"/>
                <w:sz w:val="17"/>
              </w:rPr>
              <w:t>+3.19***</w:t>
            </w:r>
          </w:p>
        </w:tc>
      </w:tr>
      <w:tr>
        <w:tc>
          <w:tcPr>
            <w:tcW w:type="dxa" w:w="2608"/>
          </w:tcPr>
          <w:p>
            <w:pPr>
              <w:spacing w:before="20" w:after="20" w:line="259" w:lineRule="auto"/>
              <w:ind w:firstLine="0"/>
              <w:jc w:val="left"/>
            </w:pPr>
            <w:r/>
            <w:r>
              <w:rPr>
                <w:rFonts w:ascii="Times New Roman" w:hAnsi="Times New Roman" w:eastAsia="宋体"/>
                <w:b w:val="0"/>
                <w:i w:val="0"/>
                <w:sz w:val="17"/>
              </w:rPr>
              <w:t>L4 风险应对层</w:t>
            </w:r>
          </w:p>
        </w:tc>
        <w:tc>
          <w:tcPr>
            <w:tcW w:type="dxa" w:w="1814"/>
          </w:tcPr>
          <w:p>
            <w:pPr>
              <w:spacing w:before="20" w:after="20" w:line="259" w:lineRule="auto"/>
              <w:ind w:firstLine="0"/>
              <w:jc w:val="center"/>
            </w:pPr>
            <w:r/>
            <w:r>
              <w:rPr>
                <w:rFonts w:ascii="Times New Roman" w:hAnsi="Times New Roman" w:eastAsia="宋体"/>
                <w:b w:val="0"/>
                <w:i w:val="0"/>
                <w:sz w:val="17"/>
              </w:rPr>
              <w:t>1.0557</w:t>
            </w:r>
          </w:p>
        </w:tc>
        <w:tc>
          <w:tcPr>
            <w:tcW w:type="dxa" w:w="1814"/>
          </w:tcPr>
          <w:p>
            <w:pPr>
              <w:spacing w:before="20" w:after="20" w:line="259" w:lineRule="auto"/>
              <w:ind w:firstLine="0"/>
              <w:jc w:val="center"/>
            </w:pPr>
            <w:r/>
            <w:r>
              <w:rPr>
                <w:rFonts w:ascii="Times New Roman" w:hAnsi="Times New Roman" w:eastAsia="宋体"/>
                <w:b w:val="0"/>
                <w:i w:val="0"/>
                <w:sz w:val="17"/>
              </w:rPr>
              <w:t>-0.1345</w:t>
            </w:r>
          </w:p>
        </w:tc>
        <w:tc>
          <w:tcPr>
            <w:tcW w:type="dxa" w:w="1701"/>
          </w:tcPr>
          <w:p>
            <w:pPr>
              <w:spacing w:before="20" w:after="20" w:line="259" w:lineRule="auto"/>
              <w:ind w:firstLine="0"/>
              <w:jc w:val="center"/>
            </w:pPr>
            <w:r/>
            <w:r>
              <w:rPr>
                <w:rFonts w:ascii="Times New Roman" w:hAnsi="Times New Roman" w:eastAsia="宋体"/>
                <w:b w:val="0"/>
                <w:i w:val="0"/>
                <w:sz w:val="17"/>
              </w:rPr>
              <w:t>1.1901</w:t>
            </w:r>
          </w:p>
        </w:tc>
        <w:tc>
          <w:tcPr>
            <w:tcW w:type="dxa" w:w="1701"/>
          </w:tcPr>
          <w:p>
            <w:pPr>
              <w:spacing w:before="20" w:after="20" w:line="259" w:lineRule="auto"/>
              <w:ind w:firstLine="0"/>
              <w:jc w:val="center"/>
            </w:pPr>
            <w:r/>
            <w:r>
              <w:rPr>
                <w:rFonts w:ascii="Times New Roman" w:hAnsi="Times New Roman" w:eastAsia="宋体"/>
                <w:b w:val="0"/>
                <w:i w:val="0"/>
                <w:sz w:val="17"/>
              </w:rPr>
              <w:t>+5.16***</w:t>
            </w:r>
          </w:p>
        </w:tc>
      </w:tr>
      <w:tr>
        <w:tc>
          <w:tcPr>
            <w:tcW w:type="dxa" w:w="2608"/>
          </w:tcPr>
          <w:p>
            <w:pPr>
              <w:spacing w:before="20" w:after="20" w:line="259" w:lineRule="auto"/>
              <w:ind w:firstLine="0"/>
              <w:jc w:val="left"/>
            </w:pPr>
            <w:r/>
            <w:r>
              <w:rPr>
                <w:rFonts w:ascii="Times New Roman" w:hAnsi="Times New Roman" w:eastAsia="宋体"/>
                <w:b w:val="0"/>
                <w:i w:val="0"/>
                <w:sz w:val="17"/>
              </w:rPr>
              <w:t>L4 风险应对层（转化效率）</w:t>
            </w:r>
          </w:p>
        </w:tc>
        <w:tc>
          <w:tcPr>
            <w:tcW w:type="dxa" w:w="1814"/>
          </w:tcPr>
          <w:p>
            <w:pPr>
              <w:spacing w:before="20" w:after="20" w:line="259" w:lineRule="auto"/>
              <w:ind w:firstLine="0"/>
              <w:jc w:val="center"/>
            </w:pPr>
            <w:r/>
            <w:r>
              <w:rPr>
                <w:rFonts w:ascii="Times New Roman" w:hAnsi="Times New Roman" w:eastAsia="宋体"/>
                <w:b w:val="0"/>
                <w:i w:val="0"/>
                <w:sz w:val="17"/>
              </w:rPr>
              <w:t>0.1545</w:t>
            </w:r>
          </w:p>
        </w:tc>
        <w:tc>
          <w:tcPr>
            <w:tcW w:type="dxa" w:w="1814"/>
          </w:tcPr>
          <w:p>
            <w:pPr>
              <w:spacing w:before="20" w:after="20" w:line="259" w:lineRule="auto"/>
              <w:ind w:firstLine="0"/>
              <w:jc w:val="center"/>
            </w:pPr>
            <w:r/>
            <w:r>
              <w:rPr>
                <w:rFonts w:ascii="Times New Roman" w:hAnsi="Times New Roman" w:eastAsia="宋体"/>
                <w:b w:val="0"/>
                <w:i w:val="0"/>
                <w:sz w:val="17"/>
              </w:rPr>
              <w:t>-0.8957</w:t>
            </w:r>
          </w:p>
        </w:tc>
        <w:tc>
          <w:tcPr>
            <w:tcW w:type="dxa" w:w="1701"/>
          </w:tcPr>
          <w:p>
            <w:pPr>
              <w:spacing w:before="20" w:after="20" w:line="259" w:lineRule="auto"/>
              <w:ind w:firstLine="0"/>
              <w:jc w:val="center"/>
            </w:pPr>
            <w:r/>
            <w:r>
              <w:rPr>
                <w:rFonts w:ascii="Times New Roman" w:hAnsi="Times New Roman" w:eastAsia="宋体"/>
                <w:b w:val="0"/>
                <w:i w:val="0"/>
                <w:sz w:val="17"/>
              </w:rPr>
              <w:t>1.0501</w:t>
            </w:r>
          </w:p>
        </w:tc>
        <w:tc>
          <w:tcPr>
            <w:tcW w:type="dxa" w:w="1701"/>
          </w:tcPr>
          <w:p>
            <w:pPr>
              <w:spacing w:before="20" w:after="20" w:line="259" w:lineRule="auto"/>
              <w:ind w:firstLine="0"/>
              <w:jc w:val="center"/>
            </w:pPr>
            <w:r/>
            <w:r>
              <w:rPr>
                <w:rFonts w:ascii="Times New Roman" w:hAnsi="Times New Roman" w:eastAsia="宋体"/>
                <w:b w:val="0"/>
                <w:i w:val="0"/>
                <w:sz w:val="17"/>
              </w:rPr>
              <w:t>+3.93***</w:t>
            </w:r>
          </w:p>
        </w:tc>
      </w:tr>
      <w:tr>
        <w:tc>
          <w:tcPr>
            <w:tcW w:type="dxa" w:w="2608"/>
          </w:tcPr>
          <w:p>
            <w:pPr>
              <w:spacing w:before="20" w:after="20" w:line="259" w:lineRule="auto"/>
              <w:ind w:firstLine="0"/>
              <w:jc w:val="left"/>
            </w:pPr>
            <w:r/>
            <w:r>
              <w:rPr>
                <w:rFonts w:ascii="Times New Roman" w:hAnsi="Times New Roman" w:eastAsia="宋体"/>
                <w:b w:val="0"/>
                <w:i w:val="0"/>
                <w:sz w:val="17"/>
              </w:rPr>
              <w:t>L5 交易执行层</w:t>
            </w:r>
          </w:p>
        </w:tc>
        <w:tc>
          <w:tcPr>
            <w:tcW w:type="dxa" w:w="1814"/>
          </w:tcPr>
          <w:p>
            <w:pPr>
              <w:spacing w:before="20" w:after="20" w:line="259" w:lineRule="auto"/>
              <w:ind w:firstLine="0"/>
              <w:jc w:val="center"/>
            </w:pPr>
            <w:r/>
            <w:r>
              <w:rPr>
                <w:rFonts w:ascii="Times New Roman" w:hAnsi="Times New Roman" w:eastAsia="宋体"/>
                <w:b w:val="0"/>
                <w:i w:val="0"/>
                <w:sz w:val="17"/>
              </w:rPr>
              <w:t>0.5275</w:t>
            </w:r>
          </w:p>
        </w:tc>
        <w:tc>
          <w:tcPr>
            <w:tcW w:type="dxa" w:w="1814"/>
          </w:tcPr>
          <w:p>
            <w:pPr>
              <w:spacing w:before="20" w:after="20" w:line="259" w:lineRule="auto"/>
              <w:ind w:firstLine="0"/>
              <w:jc w:val="center"/>
            </w:pPr>
            <w:r/>
            <w:r>
              <w:rPr>
                <w:rFonts w:ascii="Times New Roman" w:hAnsi="Times New Roman" w:eastAsia="宋体"/>
                <w:b w:val="0"/>
                <w:i w:val="0"/>
                <w:sz w:val="17"/>
              </w:rPr>
              <w:t>-0.1905</w:t>
            </w:r>
          </w:p>
        </w:tc>
        <w:tc>
          <w:tcPr>
            <w:tcW w:type="dxa" w:w="1701"/>
          </w:tcPr>
          <w:p>
            <w:pPr>
              <w:spacing w:before="20" w:after="20" w:line="259" w:lineRule="auto"/>
              <w:ind w:firstLine="0"/>
              <w:jc w:val="center"/>
            </w:pPr>
            <w:r/>
            <w:r>
              <w:rPr>
                <w:rFonts w:ascii="Times New Roman" w:hAnsi="Times New Roman" w:eastAsia="宋体"/>
                <w:b w:val="0"/>
                <w:i w:val="0"/>
                <w:sz w:val="17"/>
              </w:rPr>
              <w:t>0.7180</w:t>
            </w:r>
          </w:p>
        </w:tc>
        <w:tc>
          <w:tcPr>
            <w:tcW w:type="dxa" w:w="1701"/>
          </w:tcPr>
          <w:p>
            <w:pPr>
              <w:spacing w:before="20" w:after="20" w:line="259" w:lineRule="auto"/>
              <w:ind w:firstLine="0"/>
              <w:jc w:val="center"/>
            </w:pPr>
            <w:r/>
            <w:r>
              <w:rPr>
                <w:rFonts w:ascii="Times New Roman" w:hAnsi="Times New Roman" w:eastAsia="宋体"/>
                <w:b w:val="0"/>
                <w:i w:val="0"/>
                <w:sz w:val="17"/>
              </w:rPr>
              <w:t>+3.28***</w:t>
            </w:r>
          </w:p>
        </w:tc>
      </w:tr>
    </w:tbl>
    <w:p>
      <w:pPr>
        <w:spacing w:before="120" w:after="60"/>
        <w:jc w:val="center"/>
      </w:pPr>
      <w:r>
        <w:rPr>
          <w:rFonts w:ascii="Times New Roman" w:hAnsi="Times New Roman" w:eastAsia="黑体"/>
          <w:b/>
          <w:i w:val="0"/>
          <w:sz w:val="18"/>
        </w:rPr>
        <w:t>表 9  群体画像：显著分化的原始行为指标（Top5% − Bottom5%）</w:t>
      </w:r>
    </w:p>
    <w:tbl>
      <w:tblPr>
        <w:tblStyle w:val="TableGrid"/>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3288"/>
          </w:tcPr>
          <w:p>
            <w:pPr>
              <w:spacing w:before="20" w:after="20" w:line="259" w:lineRule="auto"/>
              <w:ind w:firstLine="0"/>
              <w:jc w:val="center"/>
            </w:pPr>
            <w:r/>
            <w:r>
              <w:rPr>
                <w:rFonts w:ascii="Times New Roman" w:hAnsi="Times New Roman" w:eastAsia="黑体"/>
                <w:b/>
                <w:i w:val="0"/>
                <w:sz w:val="17"/>
              </w:rPr>
              <w:t>指标</w:t>
            </w:r>
          </w:p>
        </w:tc>
        <w:tc>
          <w:tcPr>
            <w:tcW w:type="dxa" w:w="1644"/>
          </w:tcPr>
          <w:p>
            <w:pPr>
              <w:spacing w:before="20" w:after="20" w:line="259" w:lineRule="auto"/>
              <w:ind w:firstLine="0"/>
              <w:jc w:val="center"/>
            </w:pPr>
            <w:r/>
            <w:r>
              <w:rPr>
                <w:rFonts w:ascii="Times New Roman" w:hAnsi="Times New Roman" w:eastAsia="黑体"/>
                <w:b/>
                <w:i w:val="0"/>
                <w:sz w:val="17"/>
              </w:rPr>
              <w:t>Top5%</w:t>
            </w:r>
          </w:p>
        </w:tc>
        <w:tc>
          <w:tcPr>
            <w:tcW w:type="dxa" w:w="1644"/>
          </w:tcPr>
          <w:p>
            <w:pPr>
              <w:spacing w:before="20" w:after="20" w:line="259" w:lineRule="auto"/>
              <w:ind w:firstLine="0"/>
              <w:jc w:val="center"/>
            </w:pPr>
            <w:r/>
            <w:r>
              <w:rPr>
                <w:rFonts w:ascii="Times New Roman" w:hAnsi="Times New Roman" w:eastAsia="黑体"/>
                <w:b/>
                <w:i w:val="0"/>
                <w:sz w:val="17"/>
              </w:rPr>
              <w:t>Bottom5%</w:t>
            </w:r>
          </w:p>
        </w:tc>
        <w:tc>
          <w:tcPr>
            <w:tcW w:type="dxa" w:w="1531"/>
          </w:tcPr>
          <w:p>
            <w:pPr>
              <w:spacing w:before="20" w:after="20" w:line="259" w:lineRule="auto"/>
              <w:ind w:firstLine="0"/>
              <w:jc w:val="center"/>
            </w:pPr>
            <w:r/>
            <w:r>
              <w:rPr>
                <w:rFonts w:ascii="Times New Roman" w:hAnsi="Times New Roman" w:eastAsia="黑体"/>
                <w:b/>
                <w:i w:val="0"/>
                <w:sz w:val="17"/>
              </w:rPr>
              <w:t>差值</w:t>
            </w:r>
          </w:p>
        </w:tc>
        <w:tc>
          <w:tcPr>
            <w:tcW w:type="dxa" w:w="1531"/>
          </w:tcPr>
          <w:p>
            <w:pPr>
              <w:spacing w:before="20" w:after="20" w:line="259" w:lineRule="auto"/>
              <w:ind w:firstLine="0"/>
              <w:jc w:val="center"/>
            </w:pPr>
            <w:r/>
            <w:r>
              <w:rPr>
                <w:rFonts w:ascii="Times New Roman" w:hAnsi="Times New Roman" w:eastAsia="黑体"/>
                <w:b/>
                <w:i w:val="0"/>
                <w:sz w:val="17"/>
              </w:rPr>
              <w:t>t 值</w:t>
            </w:r>
          </w:p>
        </w:tc>
      </w:tr>
      <w:tr>
        <w:tc>
          <w:tcPr>
            <w:tcW w:type="dxa" w:w="3288"/>
          </w:tcPr>
          <w:p>
            <w:pPr>
              <w:spacing w:before="20" w:after="20" w:line="259" w:lineRule="auto"/>
              <w:ind w:firstLine="0"/>
              <w:jc w:val="left"/>
            </w:pPr>
            <w:r/>
            <w:r>
              <w:rPr>
                <w:rFonts w:ascii="Times New Roman" w:hAnsi="Times New Roman" w:eastAsia="宋体"/>
                <w:b w:val="0"/>
                <w:i w:val="0"/>
                <w:sz w:val="17"/>
              </w:rPr>
              <w:t>log_fund_age（log 基金年龄）</w:t>
            </w:r>
          </w:p>
        </w:tc>
        <w:tc>
          <w:tcPr>
            <w:tcW w:type="dxa" w:w="1644"/>
          </w:tcPr>
          <w:p>
            <w:pPr>
              <w:spacing w:before="20" w:after="20" w:line="259" w:lineRule="auto"/>
              <w:ind w:firstLine="0"/>
              <w:jc w:val="center"/>
            </w:pPr>
            <w:r/>
            <w:r>
              <w:rPr>
                <w:rFonts w:ascii="Times New Roman" w:hAnsi="Times New Roman" w:eastAsia="宋体"/>
                <w:b w:val="0"/>
                <w:i w:val="0"/>
                <w:sz w:val="17"/>
              </w:rPr>
              <w:t>0.699</w:t>
            </w:r>
          </w:p>
        </w:tc>
        <w:tc>
          <w:tcPr>
            <w:tcW w:type="dxa" w:w="1644"/>
          </w:tcPr>
          <w:p>
            <w:pPr>
              <w:spacing w:before="20" w:after="20" w:line="259" w:lineRule="auto"/>
              <w:ind w:firstLine="0"/>
              <w:jc w:val="center"/>
            </w:pPr>
            <w:r/>
            <w:r>
              <w:rPr>
                <w:rFonts w:ascii="Times New Roman" w:hAnsi="Times New Roman" w:eastAsia="宋体"/>
                <w:b w:val="0"/>
                <w:i w:val="0"/>
                <w:sz w:val="17"/>
              </w:rPr>
              <w:t>1.502</w:t>
            </w:r>
          </w:p>
        </w:tc>
        <w:tc>
          <w:tcPr>
            <w:tcW w:type="dxa" w:w="1531"/>
          </w:tcPr>
          <w:p>
            <w:pPr>
              <w:spacing w:before="20" w:after="20" w:line="259" w:lineRule="auto"/>
              <w:ind w:firstLine="0"/>
              <w:jc w:val="center"/>
            </w:pPr>
            <w:r/>
            <w:r>
              <w:rPr>
                <w:rFonts w:ascii="Times New Roman" w:hAnsi="Times New Roman" w:eastAsia="宋体"/>
                <w:b w:val="0"/>
                <w:i w:val="0"/>
                <w:sz w:val="17"/>
              </w:rPr>
              <w:t>-0.803</w:t>
            </w:r>
          </w:p>
        </w:tc>
        <w:tc>
          <w:tcPr>
            <w:tcW w:type="dxa" w:w="1531"/>
          </w:tcPr>
          <w:p>
            <w:pPr>
              <w:spacing w:before="20" w:after="20" w:line="259" w:lineRule="auto"/>
              <w:ind w:firstLine="0"/>
              <w:jc w:val="center"/>
            </w:pPr>
            <w:r/>
            <w:r>
              <w:rPr>
                <w:rFonts w:ascii="Times New Roman" w:hAnsi="Times New Roman" w:eastAsia="宋体"/>
                <w:b w:val="0"/>
                <w:i w:val="0"/>
                <w:sz w:val="17"/>
              </w:rPr>
              <w:t>-2.89***</w:t>
            </w:r>
          </w:p>
        </w:tc>
      </w:tr>
      <w:tr>
        <w:tc>
          <w:tcPr>
            <w:tcW w:type="dxa" w:w="3288"/>
          </w:tcPr>
          <w:p>
            <w:pPr>
              <w:spacing w:before="20" w:after="20" w:line="259" w:lineRule="auto"/>
              <w:ind w:firstLine="0"/>
              <w:jc w:val="left"/>
            </w:pPr>
            <w:r/>
            <w:r>
              <w:rPr>
                <w:rFonts w:ascii="Times New Roman" w:hAnsi="Times New Roman" w:eastAsia="宋体"/>
                <w:b w:val="0"/>
                <w:i w:val="0"/>
                <w:sz w:val="17"/>
              </w:rPr>
              <w:t>de（处置效应）</w:t>
            </w:r>
          </w:p>
        </w:tc>
        <w:tc>
          <w:tcPr>
            <w:tcW w:type="dxa" w:w="1644"/>
          </w:tcPr>
          <w:p>
            <w:pPr>
              <w:spacing w:before="20" w:after="20" w:line="259" w:lineRule="auto"/>
              <w:ind w:firstLine="0"/>
              <w:jc w:val="center"/>
            </w:pPr>
            <w:r/>
            <w:r>
              <w:rPr>
                <w:rFonts w:ascii="Times New Roman" w:hAnsi="Times New Roman" w:eastAsia="宋体"/>
                <w:b w:val="0"/>
                <w:i w:val="0"/>
                <w:sz w:val="17"/>
              </w:rPr>
              <w:t>-0.170</w:t>
            </w:r>
          </w:p>
        </w:tc>
        <w:tc>
          <w:tcPr>
            <w:tcW w:type="dxa" w:w="1644"/>
          </w:tcPr>
          <w:p>
            <w:pPr>
              <w:spacing w:before="20" w:after="20" w:line="259" w:lineRule="auto"/>
              <w:ind w:firstLine="0"/>
              <w:jc w:val="center"/>
            </w:pPr>
            <w:r/>
            <w:r>
              <w:rPr>
                <w:rFonts w:ascii="Times New Roman" w:hAnsi="Times New Roman" w:eastAsia="宋体"/>
                <w:b w:val="0"/>
                <w:i w:val="0"/>
                <w:sz w:val="17"/>
              </w:rPr>
              <w:t>-0.085</w:t>
            </w:r>
          </w:p>
        </w:tc>
        <w:tc>
          <w:tcPr>
            <w:tcW w:type="dxa" w:w="1531"/>
          </w:tcPr>
          <w:p>
            <w:pPr>
              <w:spacing w:before="20" w:after="20" w:line="259" w:lineRule="auto"/>
              <w:ind w:firstLine="0"/>
              <w:jc w:val="center"/>
            </w:pPr>
            <w:r/>
            <w:r>
              <w:rPr>
                <w:rFonts w:ascii="Times New Roman" w:hAnsi="Times New Roman" w:eastAsia="宋体"/>
                <w:b w:val="0"/>
                <w:i w:val="0"/>
                <w:sz w:val="17"/>
              </w:rPr>
              <w:t>-0.085</w:t>
            </w:r>
          </w:p>
        </w:tc>
        <w:tc>
          <w:tcPr>
            <w:tcW w:type="dxa" w:w="1531"/>
          </w:tcPr>
          <w:p>
            <w:pPr>
              <w:spacing w:before="20" w:after="20" w:line="259" w:lineRule="auto"/>
              <w:ind w:firstLine="0"/>
              <w:jc w:val="center"/>
            </w:pPr>
            <w:r/>
            <w:r>
              <w:rPr>
                <w:rFonts w:ascii="Times New Roman" w:hAnsi="Times New Roman" w:eastAsia="宋体"/>
                <w:b w:val="0"/>
                <w:i w:val="0"/>
                <w:sz w:val="17"/>
              </w:rPr>
              <w:t>-4.89***</w:t>
            </w:r>
          </w:p>
        </w:tc>
      </w:tr>
      <w:tr>
        <w:tc>
          <w:tcPr>
            <w:tcW w:type="dxa" w:w="3288"/>
          </w:tcPr>
          <w:p>
            <w:pPr>
              <w:spacing w:before="20" w:after="20" w:line="259" w:lineRule="auto"/>
              <w:ind w:firstLine="0"/>
              <w:jc w:val="left"/>
            </w:pPr>
            <w:r/>
            <w:r>
              <w:rPr>
                <w:rFonts w:ascii="Times New Roman" w:hAnsi="Times New Roman" w:eastAsia="宋体"/>
                <w:b w:val="0"/>
                <w:i w:val="0"/>
                <w:sz w:val="17"/>
              </w:rPr>
              <w:t>timing（下行保护系数（−HM γ））</w:t>
            </w:r>
          </w:p>
        </w:tc>
        <w:tc>
          <w:tcPr>
            <w:tcW w:type="dxa" w:w="1644"/>
          </w:tcPr>
          <w:p>
            <w:pPr>
              <w:spacing w:before="20" w:after="20" w:line="259" w:lineRule="auto"/>
              <w:ind w:firstLine="0"/>
              <w:jc w:val="center"/>
            </w:pPr>
            <w:r/>
            <w:r>
              <w:rPr>
                <w:rFonts w:ascii="Times New Roman" w:hAnsi="Times New Roman" w:eastAsia="宋体"/>
                <w:b w:val="0"/>
                <w:i w:val="0"/>
                <w:sz w:val="17"/>
              </w:rPr>
              <w:t>1.989</w:t>
            </w:r>
          </w:p>
        </w:tc>
        <w:tc>
          <w:tcPr>
            <w:tcW w:type="dxa" w:w="1644"/>
          </w:tcPr>
          <w:p>
            <w:pPr>
              <w:spacing w:before="20" w:after="20" w:line="259" w:lineRule="auto"/>
              <w:ind w:firstLine="0"/>
              <w:jc w:val="center"/>
            </w:pPr>
            <w:r/>
            <w:r>
              <w:rPr>
                <w:rFonts w:ascii="Times New Roman" w:hAnsi="Times New Roman" w:eastAsia="宋体"/>
                <w:b w:val="0"/>
                <w:i w:val="0"/>
                <w:sz w:val="17"/>
              </w:rPr>
              <w:t>0.737</w:t>
            </w:r>
          </w:p>
        </w:tc>
        <w:tc>
          <w:tcPr>
            <w:tcW w:type="dxa" w:w="1531"/>
          </w:tcPr>
          <w:p>
            <w:pPr>
              <w:spacing w:before="20" w:after="20" w:line="259" w:lineRule="auto"/>
              <w:ind w:firstLine="0"/>
              <w:jc w:val="center"/>
            </w:pPr>
            <w:r/>
            <w:r>
              <w:rPr>
                <w:rFonts w:ascii="Times New Roman" w:hAnsi="Times New Roman" w:eastAsia="宋体"/>
                <w:b w:val="0"/>
                <w:i w:val="0"/>
                <w:sz w:val="17"/>
              </w:rPr>
              <w:t>1.252</w:t>
            </w:r>
          </w:p>
        </w:tc>
        <w:tc>
          <w:tcPr>
            <w:tcW w:type="dxa" w:w="1531"/>
          </w:tcPr>
          <w:p>
            <w:pPr>
              <w:spacing w:before="20" w:after="20" w:line="259" w:lineRule="auto"/>
              <w:ind w:firstLine="0"/>
              <w:jc w:val="center"/>
            </w:pPr>
            <w:r/>
            <w:r>
              <w:rPr>
                <w:rFonts w:ascii="Times New Roman" w:hAnsi="Times New Roman" w:eastAsia="宋体"/>
                <w:b w:val="0"/>
                <w:i w:val="0"/>
                <w:sz w:val="17"/>
              </w:rPr>
              <w:t>+5.40***</w:t>
            </w:r>
          </w:p>
        </w:tc>
      </w:tr>
      <w:tr>
        <w:tc>
          <w:tcPr>
            <w:tcW w:type="dxa" w:w="3288"/>
          </w:tcPr>
          <w:p>
            <w:pPr>
              <w:spacing w:before="20" w:after="20" w:line="259" w:lineRule="auto"/>
              <w:ind w:firstLine="0"/>
              <w:jc w:val="left"/>
            </w:pPr>
            <w:r/>
            <w:r>
              <w:rPr>
                <w:rFonts w:ascii="Times New Roman" w:hAnsi="Times New Roman" w:eastAsia="宋体"/>
                <w:b w:val="0"/>
                <w:i w:val="0"/>
                <w:sz w:val="17"/>
              </w:rPr>
              <w:t>mppm8_lag（操纵稳健业绩测度MPPM）</w:t>
            </w:r>
          </w:p>
        </w:tc>
        <w:tc>
          <w:tcPr>
            <w:tcW w:type="dxa" w:w="1644"/>
          </w:tcPr>
          <w:p>
            <w:pPr>
              <w:spacing w:before="20" w:after="20" w:line="259" w:lineRule="auto"/>
              <w:ind w:firstLine="0"/>
              <w:jc w:val="center"/>
            </w:pPr>
            <w:r/>
            <w:r>
              <w:rPr>
                <w:rFonts w:ascii="Times New Roman" w:hAnsi="Times New Roman" w:eastAsia="宋体"/>
                <w:b w:val="0"/>
                <w:i w:val="0"/>
                <w:sz w:val="17"/>
              </w:rPr>
              <w:t>0.039</w:t>
            </w:r>
          </w:p>
        </w:tc>
        <w:tc>
          <w:tcPr>
            <w:tcW w:type="dxa" w:w="1644"/>
          </w:tcPr>
          <w:p>
            <w:pPr>
              <w:spacing w:before="20" w:after="20" w:line="259" w:lineRule="auto"/>
              <w:ind w:firstLine="0"/>
              <w:jc w:val="center"/>
            </w:pPr>
            <w:r/>
            <w:r>
              <w:rPr>
                <w:rFonts w:ascii="Times New Roman" w:hAnsi="Times New Roman" w:eastAsia="宋体"/>
                <w:b w:val="0"/>
                <w:i w:val="0"/>
                <w:sz w:val="17"/>
              </w:rPr>
              <w:t>-0.073</w:t>
            </w:r>
          </w:p>
        </w:tc>
        <w:tc>
          <w:tcPr>
            <w:tcW w:type="dxa" w:w="1531"/>
          </w:tcPr>
          <w:p>
            <w:pPr>
              <w:spacing w:before="20" w:after="20" w:line="259" w:lineRule="auto"/>
              <w:ind w:firstLine="0"/>
              <w:jc w:val="center"/>
            </w:pPr>
            <w:r/>
            <w:r>
              <w:rPr>
                <w:rFonts w:ascii="Times New Roman" w:hAnsi="Times New Roman" w:eastAsia="宋体"/>
                <w:b w:val="0"/>
                <w:i w:val="0"/>
                <w:sz w:val="17"/>
              </w:rPr>
              <w:t>0.112</w:t>
            </w:r>
          </w:p>
        </w:tc>
        <w:tc>
          <w:tcPr>
            <w:tcW w:type="dxa" w:w="1531"/>
          </w:tcPr>
          <w:p>
            <w:pPr>
              <w:spacing w:before="20" w:after="20" w:line="259" w:lineRule="auto"/>
              <w:ind w:firstLine="0"/>
              <w:jc w:val="center"/>
            </w:pPr>
            <w:r/>
            <w:r>
              <w:rPr>
                <w:rFonts w:ascii="Times New Roman" w:hAnsi="Times New Roman" w:eastAsia="宋体"/>
                <w:b w:val="0"/>
                <w:i w:val="0"/>
                <w:sz w:val="17"/>
              </w:rPr>
              <w:t>+4.53***</w:t>
            </w:r>
          </w:p>
        </w:tc>
      </w:tr>
      <w:tr>
        <w:tc>
          <w:tcPr>
            <w:tcW w:type="dxa" w:w="3288"/>
          </w:tcPr>
          <w:p>
            <w:pPr>
              <w:spacing w:before="20" w:after="20" w:line="259" w:lineRule="auto"/>
              <w:ind w:firstLine="0"/>
              <w:jc w:val="left"/>
            </w:pPr>
            <w:r/>
            <w:r>
              <w:rPr>
                <w:rFonts w:ascii="Times New Roman" w:hAnsi="Times New Roman" w:eastAsia="宋体"/>
                <w:b w:val="0"/>
                <w:i w:val="0"/>
                <w:sz w:val="17"/>
              </w:rPr>
              <w:t>sharpe8_lag（Sharpe比率）</w:t>
            </w:r>
          </w:p>
        </w:tc>
        <w:tc>
          <w:tcPr>
            <w:tcW w:type="dxa" w:w="1644"/>
          </w:tcPr>
          <w:p>
            <w:pPr>
              <w:spacing w:before="20" w:after="20" w:line="259" w:lineRule="auto"/>
              <w:ind w:firstLine="0"/>
              <w:jc w:val="center"/>
            </w:pPr>
            <w:r/>
            <w:r>
              <w:rPr>
                <w:rFonts w:ascii="Times New Roman" w:hAnsi="Times New Roman" w:eastAsia="宋体"/>
                <w:b w:val="0"/>
                <w:i w:val="0"/>
                <w:sz w:val="17"/>
              </w:rPr>
              <w:t>0.134</w:t>
            </w:r>
          </w:p>
        </w:tc>
        <w:tc>
          <w:tcPr>
            <w:tcW w:type="dxa" w:w="1644"/>
          </w:tcPr>
          <w:p>
            <w:pPr>
              <w:spacing w:before="20" w:after="20" w:line="259" w:lineRule="auto"/>
              <w:ind w:firstLine="0"/>
              <w:jc w:val="center"/>
            </w:pPr>
            <w:r/>
            <w:r>
              <w:rPr>
                <w:rFonts w:ascii="Times New Roman" w:hAnsi="Times New Roman" w:eastAsia="宋体"/>
                <w:b w:val="0"/>
                <w:i w:val="0"/>
                <w:sz w:val="17"/>
              </w:rPr>
              <w:t>-0.128</w:t>
            </w:r>
          </w:p>
        </w:tc>
        <w:tc>
          <w:tcPr>
            <w:tcW w:type="dxa" w:w="1531"/>
          </w:tcPr>
          <w:p>
            <w:pPr>
              <w:spacing w:before="20" w:after="20" w:line="259" w:lineRule="auto"/>
              <w:ind w:firstLine="0"/>
              <w:jc w:val="center"/>
            </w:pPr>
            <w:r/>
            <w:r>
              <w:rPr>
                <w:rFonts w:ascii="Times New Roman" w:hAnsi="Times New Roman" w:eastAsia="宋体"/>
                <w:b w:val="0"/>
                <w:i w:val="0"/>
                <w:sz w:val="17"/>
              </w:rPr>
              <w:t>0.262</w:t>
            </w:r>
          </w:p>
        </w:tc>
        <w:tc>
          <w:tcPr>
            <w:tcW w:type="dxa" w:w="1531"/>
          </w:tcPr>
          <w:p>
            <w:pPr>
              <w:spacing w:before="20" w:after="20" w:line="259" w:lineRule="auto"/>
              <w:ind w:firstLine="0"/>
              <w:jc w:val="center"/>
            </w:pPr>
            <w:r/>
            <w:r>
              <w:rPr>
                <w:rFonts w:ascii="Times New Roman" w:hAnsi="Times New Roman" w:eastAsia="宋体"/>
                <w:b w:val="0"/>
                <w:i w:val="0"/>
                <w:sz w:val="17"/>
              </w:rPr>
              <w:t>+3.26***</w:t>
            </w:r>
          </w:p>
        </w:tc>
      </w:tr>
      <w:tr>
        <w:tc>
          <w:tcPr>
            <w:tcW w:type="dxa" w:w="3288"/>
          </w:tcPr>
          <w:p>
            <w:pPr>
              <w:spacing w:before="20" w:after="20" w:line="259" w:lineRule="auto"/>
              <w:ind w:firstLine="0"/>
              <w:jc w:val="left"/>
            </w:pPr>
            <w:r/>
            <w:r>
              <w:rPr>
                <w:rFonts w:ascii="Times New Roman" w:hAnsi="Times New Roman" w:eastAsia="宋体"/>
                <w:b w:val="0"/>
                <w:i w:val="0"/>
                <w:sz w:val="17"/>
              </w:rPr>
              <w:t>sortino8_lag（Sortino比率）</w:t>
            </w:r>
          </w:p>
        </w:tc>
        <w:tc>
          <w:tcPr>
            <w:tcW w:type="dxa" w:w="1644"/>
          </w:tcPr>
          <w:p>
            <w:pPr>
              <w:spacing w:before="20" w:after="20" w:line="259" w:lineRule="auto"/>
              <w:ind w:firstLine="0"/>
              <w:jc w:val="center"/>
            </w:pPr>
            <w:r/>
            <w:r>
              <w:rPr>
                <w:rFonts w:ascii="Times New Roman" w:hAnsi="Times New Roman" w:eastAsia="宋体"/>
                <w:b w:val="0"/>
                <w:i w:val="0"/>
                <w:sz w:val="17"/>
              </w:rPr>
              <w:t>0.420</w:t>
            </w:r>
          </w:p>
        </w:tc>
        <w:tc>
          <w:tcPr>
            <w:tcW w:type="dxa" w:w="1644"/>
          </w:tcPr>
          <w:p>
            <w:pPr>
              <w:spacing w:before="20" w:after="20" w:line="259" w:lineRule="auto"/>
              <w:ind w:firstLine="0"/>
              <w:jc w:val="center"/>
            </w:pPr>
            <w:r/>
            <w:r>
              <w:rPr>
                <w:rFonts w:ascii="Times New Roman" w:hAnsi="Times New Roman" w:eastAsia="宋体"/>
                <w:b w:val="0"/>
                <w:i w:val="0"/>
                <w:sz w:val="17"/>
              </w:rPr>
              <w:t>-0.116</w:t>
            </w:r>
          </w:p>
        </w:tc>
        <w:tc>
          <w:tcPr>
            <w:tcW w:type="dxa" w:w="1531"/>
          </w:tcPr>
          <w:p>
            <w:pPr>
              <w:spacing w:before="20" w:after="20" w:line="259" w:lineRule="auto"/>
              <w:ind w:firstLine="0"/>
              <w:jc w:val="center"/>
            </w:pPr>
            <w:r/>
            <w:r>
              <w:rPr>
                <w:rFonts w:ascii="Times New Roman" w:hAnsi="Times New Roman" w:eastAsia="宋体"/>
                <w:b w:val="0"/>
                <w:i w:val="0"/>
                <w:sz w:val="17"/>
              </w:rPr>
              <w:t>0.535</w:t>
            </w:r>
          </w:p>
        </w:tc>
        <w:tc>
          <w:tcPr>
            <w:tcW w:type="dxa" w:w="1531"/>
          </w:tcPr>
          <w:p>
            <w:pPr>
              <w:spacing w:before="20" w:after="20" w:line="259" w:lineRule="auto"/>
              <w:ind w:firstLine="0"/>
              <w:jc w:val="center"/>
            </w:pPr>
            <w:r/>
            <w:r>
              <w:rPr>
                <w:rFonts w:ascii="Times New Roman" w:hAnsi="Times New Roman" w:eastAsia="宋体"/>
                <w:b w:val="0"/>
                <w:i w:val="0"/>
                <w:sz w:val="17"/>
              </w:rPr>
              <w:t>+2.53**</w:t>
            </w:r>
          </w:p>
        </w:tc>
      </w:tr>
      <w:tr>
        <w:tc>
          <w:tcPr>
            <w:tcW w:type="dxa" w:w="3288"/>
          </w:tcPr>
          <w:p>
            <w:pPr>
              <w:spacing w:before="20" w:after="20" w:line="259" w:lineRule="auto"/>
              <w:ind w:firstLine="0"/>
              <w:jc w:val="left"/>
            </w:pPr>
            <w:r/>
            <w:r>
              <w:rPr>
                <w:rFonts w:ascii="Times New Roman" w:hAnsi="Times New Roman" w:eastAsia="宋体"/>
                <w:b w:val="0"/>
                <w:i w:val="0"/>
                <w:sz w:val="17"/>
              </w:rPr>
              <w:t>ICI（行业集中度）</w:t>
            </w:r>
          </w:p>
        </w:tc>
        <w:tc>
          <w:tcPr>
            <w:tcW w:type="dxa" w:w="1644"/>
          </w:tcPr>
          <w:p>
            <w:pPr>
              <w:spacing w:before="20" w:after="20" w:line="259" w:lineRule="auto"/>
              <w:ind w:firstLine="0"/>
              <w:jc w:val="center"/>
            </w:pPr>
            <w:r/>
            <w:r>
              <w:rPr>
                <w:rFonts w:ascii="Times New Roman" w:hAnsi="Times New Roman" w:eastAsia="宋体"/>
                <w:b w:val="0"/>
                <w:i w:val="0"/>
                <w:sz w:val="17"/>
              </w:rPr>
              <w:t>0.420</w:t>
            </w:r>
          </w:p>
        </w:tc>
        <w:tc>
          <w:tcPr>
            <w:tcW w:type="dxa" w:w="1644"/>
          </w:tcPr>
          <w:p>
            <w:pPr>
              <w:spacing w:before="20" w:after="20" w:line="259" w:lineRule="auto"/>
              <w:ind w:firstLine="0"/>
              <w:jc w:val="center"/>
            </w:pPr>
            <w:r/>
            <w:r>
              <w:rPr>
                <w:rFonts w:ascii="Times New Roman" w:hAnsi="Times New Roman" w:eastAsia="宋体"/>
                <w:b w:val="0"/>
                <w:i w:val="0"/>
                <w:sz w:val="17"/>
              </w:rPr>
              <w:t>0.260</w:t>
            </w:r>
          </w:p>
        </w:tc>
        <w:tc>
          <w:tcPr>
            <w:tcW w:type="dxa" w:w="1531"/>
          </w:tcPr>
          <w:p>
            <w:pPr>
              <w:spacing w:before="20" w:after="20" w:line="259" w:lineRule="auto"/>
              <w:ind w:firstLine="0"/>
              <w:jc w:val="center"/>
            </w:pPr>
            <w:r/>
            <w:r>
              <w:rPr>
                <w:rFonts w:ascii="Times New Roman" w:hAnsi="Times New Roman" w:eastAsia="宋体"/>
                <w:b w:val="0"/>
                <w:i w:val="0"/>
                <w:sz w:val="17"/>
              </w:rPr>
              <w:t>0.161</w:t>
            </w:r>
          </w:p>
        </w:tc>
        <w:tc>
          <w:tcPr>
            <w:tcW w:type="dxa" w:w="1531"/>
          </w:tcPr>
          <w:p>
            <w:pPr>
              <w:spacing w:before="20" w:after="20" w:line="259" w:lineRule="auto"/>
              <w:ind w:firstLine="0"/>
              <w:jc w:val="center"/>
            </w:pPr>
            <w:r/>
            <w:r>
              <w:rPr>
                <w:rFonts w:ascii="Times New Roman" w:hAnsi="Times New Roman" w:eastAsia="宋体"/>
                <w:b w:val="0"/>
                <w:i w:val="0"/>
                <w:sz w:val="17"/>
              </w:rPr>
              <w:t>+2.73**</w:t>
            </w:r>
          </w:p>
        </w:tc>
      </w:tr>
      <w:tr>
        <w:tc>
          <w:tcPr>
            <w:tcW w:type="dxa" w:w="3288"/>
          </w:tcPr>
          <w:p>
            <w:pPr>
              <w:spacing w:before="20" w:after="20" w:line="259" w:lineRule="auto"/>
              <w:ind w:firstLine="0"/>
              <w:jc w:val="left"/>
            </w:pPr>
            <w:r/>
            <w:r>
              <w:rPr>
                <w:rFonts w:ascii="Times New Roman" w:hAnsi="Times New Roman" w:eastAsia="宋体"/>
                <w:b w:val="0"/>
                <w:i w:val="0"/>
                <w:sz w:val="17"/>
              </w:rPr>
              <w:t>ISDI（行业风格漂移指数）</w:t>
            </w:r>
          </w:p>
        </w:tc>
        <w:tc>
          <w:tcPr>
            <w:tcW w:type="dxa" w:w="1644"/>
          </w:tcPr>
          <w:p>
            <w:pPr>
              <w:spacing w:before="20" w:after="20" w:line="259" w:lineRule="auto"/>
              <w:ind w:firstLine="0"/>
              <w:jc w:val="center"/>
            </w:pPr>
            <w:r/>
            <w:r>
              <w:rPr>
                <w:rFonts w:ascii="Times New Roman" w:hAnsi="Times New Roman" w:eastAsia="宋体"/>
                <w:b w:val="0"/>
                <w:i w:val="0"/>
                <w:sz w:val="17"/>
              </w:rPr>
              <w:t>0.165</w:t>
            </w:r>
          </w:p>
        </w:tc>
        <w:tc>
          <w:tcPr>
            <w:tcW w:type="dxa" w:w="1644"/>
          </w:tcPr>
          <w:p>
            <w:pPr>
              <w:spacing w:before="20" w:after="20" w:line="259" w:lineRule="auto"/>
              <w:ind w:firstLine="0"/>
              <w:jc w:val="center"/>
            </w:pPr>
            <w:r/>
            <w:r>
              <w:rPr>
                <w:rFonts w:ascii="Times New Roman" w:hAnsi="Times New Roman" w:eastAsia="宋体"/>
                <w:b w:val="0"/>
                <w:i w:val="0"/>
                <w:sz w:val="17"/>
              </w:rPr>
              <w:t>0.299</w:t>
            </w:r>
          </w:p>
        </w:tc>
        <w:tc>
          <w:tcPr>
            <w:tcW w:type="dxa" w:w="1531"/>
          </w:tcPr>
          <w:p>
            <w:pPr>
              <w:spacing w:before="20" w:after="20" w:line="259" w:lineRule="auto"/>
              <w:ind w:firstLine="0"/>
              <w:jc w:val="center"/>
            </w:pPr>
            <w:r/>
            <w:r>
              <w:rPr>
                <w:rFonts w:ascii="Times New Roman" w:hAnsi="Times New Roman" w:eastAsia="宋体"/>
                <w:b w:val="0"/>
                <w:i w:val="0"/>
                <w:sz w:val="17"/>
              </w:rPr>
              <w:t>-0.133</w:t>
            </w:r>
          </w:p>
        </w:tc>
        <w:tc>
          <w:tcPr>
            <w:tcW w:type="dxa" w:w="1531"/>
          </w:tcPr>
          <w:p>
            <w:pPr>
              <w:spacing w:before="20" w:after="20" w:line="259" w:lineRule="auto"/>
              <w:ind w:firstLine="0"/>
              <w:jc w:val="center"/>
            </w:pPr>
            <w:r/>
            <w:r>
              <w:rPr>
                <w:rFonts w:ascii="Times New Roman" w:hAnsi="Times New Roman" w:eastAsia="宋体"/>
                <w:b w:val="0"/>
                <w:i w:val="0"/>
                <w:sz w:val="17"/>
              </w:rPr>
              <w:t>-3.02***</w:t>
            </w:r>
          </w:p>
        </w:tc>
      </w:tr>
      <w:tr>
        <w:tc>
          <w:tcPr>
            <w:tcW w:type="dxa" w:w="3288"/>
          </w:tcPr>
          <w:p>
            <w:pPr>
              <w:spacing w:before="20" w:after="20" w:line="259" w:lineRule="auto"/>
              <w:ind w:firstLine="0"/>
              <w:jc w:val="left"/>
            </w:pPr>
            <w:r/>
            <w:r>
              <w:rPr>
                <w:rFonts w:ascii="Times New Roman" w:hAnsi="Times New Roman" w:eastAsia="宋体"/>
                <w:b w:val="0"/>
                <w:i w:val="0"/>
                <w:sz w:val="17"/>
              </w:rPr>
              <w:t>ARG（调仓幅度）</w:t>
            </w:r>
          </w:p>
        </w:tc>
        <w:tc>
          <w:tcPr>
            <w:tcW w:type="dxa" w:w="1644"/>
          </w:tcPr>
          <w:p>
            <w:pPr>
              <w:spacing w:before="20" w:after="20" w:line="259" w:lineRule="auto"/>
              <w:ind w:firstLine="0"/>
              <w:jc w:val="center"/>
            </w:pPr>
            <w:r/>
            <w:r>
              <w:rPr>
                <w:rFonts w:ascii="Times New Roman" w:hAnsi="Times New Roman" w:eastAsia="宋体"/>
                <w:b w:val="0"/>
                <w:i w:val="0"/>
                <w:sz w:val="17"/>
              </w:rPr>
              <w:t>0.244</w:t>
            </w:r>
          </w:p>
        </w:tc>
        <w:tc>
          <w:tcPr>
            <w:tcW w:type="dxa" w:w="1644"/>
          </w:tcPr>
          <w:p>
            <w:pPr>
              <w:spacing w:before="20" w:after="20" w:line="259" w:lineRule="auto"/>
              <w:ind w:firstLine="0"/>
              <w:jc w:val="center"/>
            </w:pPr>
            <w:r/>
            <w:r>
              <w:rPr>
                <w:rFonts w:ascii="Times New Roman" w:hAnsi="Times New Roman" w:eastAsia="宋体"/>
                <w:b w:val="0"/>
                <w:i w:val="0"/>
                <w:sz w:val="17"/>
              </w:rPr>
              <w:t>0.151</w:t>
            </w:r>
          </w:p>
        </w:tc>
        <w:tc>
          <w:tcPr>
            <w:tcW w:type="dxa" w:w="1531"/>
          </w:tcPr>
          <w:p>
            <w:pPr>
              <w:spacing w:before="20" w:after="20" w:line="259" w:lineRule="auto"/>
              <w:ind w:firstLine="0"/>
              <w:jc w:val="center"/>
            </w:pPr>
            <w:r/>
            <w:r>
              <w:rPr>
                <w:rFonts w:ascii="Times New Roman" w:hAnsi="Times New Roman" w:eastAsia="宋体"/>
                <w:b w:val="0"/>
                <w:i w:val="0"/>
                <w:sz w:val="17"/>
              </w:rPr>
              <w:t>0.093</w:t>
            </w:r>
          </w:p>
        </w:tc>
        <w:tc>
          <w:tcPr>
            <w:tcW w:type="dxa" w:w="1531"/>
          </w:tcPr>
          <w:p>
            <w:pPr>
              <w:spacing w:before="20" w:after="20" w:line="259" w:lineRule="auto"/>
              <w:ind w:firstLine="0"/>
              <w:jc w:val="center"/>
            </w:pPr>
            <w:r/>
            <w:r>
              <w:rPr>
                <w:rFonts w:ascii="Times New Roman" w:hAnsi="Times New Roman" w:eastAsia="宋体"/>
                <w:b w:val="0"/>
                <w:i w:val="0"/>
                <w:sz w:val="17"/>
              </w:rPr>
              <w:t>+3.13***</w:t>
            </w:r>
          </w:p>
        </w:tc>
      </w:tr>
      <w:tr>
        <w:tc>
          <w:tcPr>
            <w:tcW w:type="dxa" w:w="3288"/>
          </w:tcPr>
          <w:p>
            <w:pPr>
              <w:spacing w:before="20" w:after="20" w:line="259" w:lineRule="auto"/>
              <w:ind w:firstLine="0"/>
              <w:jc w:val="left"/>
            </w:pPr>
            <w:r/>
            <w:r>
              <w:rPr>
                <w:rFonts w:ascii="Times New Roman" w:hAnsi="Times New Roman" w:eastAsia="宋体"/>
                <w:b w:val="0"/>
                <w:i w:val="0"/>
                <w:sz w:val="17"/>
              </w:rPr>
              <w:t>SDI（策略偏离指数）</w:t>
            </w:r>
          </w:p>
        </w:tc>
        <w:tc>
          <w:tcPr>
            <w:tcW w:type="dxa" w:w="1644"/>
          </w:tcPr>
          <w:p>
            <w:pPr>
              <w:spacing w:before="20" w:after="20" w:line="259" w:lineRule="auto"/>
              <w:ind w:firstLine="0"/>
              <w:jc w:val="center"/>
            </w:pPr>
            <w:r/>
            <w:r>
              <w:rPr>
                <w:rFonts w:ascii="Times New Roman" w:hAnsi="Times New Roman" w:eastAsia="宋体"/>
                <w:b w:val="0"/>
                <w:i w:val="0"/>
                <w:sz w:val="17"/>
              </w:rPr>
              <w:t>0.053</w:t>
            </w:r>
          </w:p>
        </w:tc>
        <w:tc>
          <w:tcPr>
            <w:tcW w:type="dxa" w:w="1644"/>
          </w:tcPr>
          <w:p>
            <w:pPr>
              <w:spacing w:before="20" w:after="20" w:line="259" w:lineRule="auto"/>
              <w:ind w:firstLine="0"/>
              <w:jc w:val="center"/>
            </w:pPr>
            <w:r/>
            <w:r>
              <w:rPr>
                <w:rFonts w:ascii="Times New Roman" w:hAnsi="Times New Roman" w:eastAsia="宋体"/>
                <w:b w:val="0"/>
                <w:i w:val="0"/>
                <w:sz w:val="17"/>
              </w:rPr>
              <w:t>0.248</w:t>
            </w:r>
          </w:p>
        </w:tc>
        <w:tc>
          <w:tcPr>
            <w:tcW w:type="dxa" w:w="1531"/>
          </w:tcPr>
          <w:p>
            <w:pPr>
              <w:spacing w:before="20" w:after="20" w:line="259" w:lineRule="auto"/>
              <w:ind w:firstLine="0"/>
              <w:jc w:val="center"/>
            </w:pPr>
            <w:r/>
            <w:r>
              <w:rPr>
                <w:rFonts w:ascii="Times New Roman" w:hAnsi="Times New Roman" w:eastAsia="宋体"/>
                <w:b w:val="0"/>
                <w:i w:val="0"/>
                <w:sz w:val="17"/>
              </w:rPr>
              <w:t>-0.194</w:t>
            </w:r>
          </w:p>
        </w:tc>
        <w:tc>
          <w:tcPr>
            <w:tcW w:type="dxa" w:w="1531"/>
          </w:tcPr>
          <w:p>
            <w:pPr>
              <w:spacing w:before="20" w:after="20" w:line="259" w:lineRule="auto"/>
              <w:ind w:firstLine="0"/>
              <w:jc w:val="center"/>
            </w:pPr>
            <w:r/>
            <w:r>
              <w:rPr>
                <w:rFonts w:ascii="Times New Roman" w:hAnsi="Times New Roman" w:eastAsia="宋体"/>
                <w:b w:val="0"/>
                <w:i w:val="0"/>
                <w:sz w:val="17"/>
              </w:rPr>
              <w:t>-3.01***</w:t>
            </w:r>
          </w:p>
        </w:tc>
      </w:tr>
      <w:tr>
        <w:tc>
          <w:tcPr>
            <w:tcW w:type="dxa" w:w="3288"/>
          </w:tcPr>
          <w:p>
            <w:pPr>
              <w:spacing w:before="20" w:after="20" w:line="259" w:lineRule="auto"/>
              <w:ind w:firstLine="0"/>
              <w:jc w:val="left"/>
            </w:pPr>
            <w:r/>
            <w:r>
              <w:rPr>
                <w:rFonts w:ascii="Times New Roman" w:hAnsi="Times New Roman" w:eastAsia="宋体"/>
                <w:b w:val="0"/>
                <w:i w:val="0"/>
                <w:sz w:val="17"/>
              </w:rPr>
              <w:t>lsv（交易趋同度LSV）</w:t>
            </w:r>
          </w:p>
        </w:tc>
        <w:tc>
          <w:tcPr>
            <w:tcW w:type="dxa" w:w="1644"/>
          </w:tcPr>
          <w:p>
            <w:pPr>
              <w:spacing w:before="20" w:after="20" w:line="259" w:lineRule="auto"/>
              <w:ind w:firstLine="0"/>
              <w:jc w:val="center"/>
            </w:pPr>
            <w:r/>
            <w:r>
              <w:rPr>
                <w:rFonts w:ascii="Times New Roman" w:hAnsi="Times New Roman" w:eastAsia="宋体"/>
                <w:b w:val="0"/>
                <w:i w:val="0"/>
                <w:sz w:val="17"/>
              </w:rPr>
              <w:t>0.096</w:t>
            </w:r>
          </w:p>
        </w:tc>
        <w:tc>
          <w:tcPr>
            <w:tcW w:type="dxa" w:w="1644"/>
          </w:tcPr>
          <w:p>
            <w:pPr>
              <w:spacing w:before="20" w:after="20" w:line="259" w:lineRule="auto"/>
              <w:ind w:firstLine="0"/>
              <w:jc w:val="center"/>
            </w:pPr>
            <w:r/>
            <w:r>
              <w:rPr>
                <w:rFonts w:ascii="Times New Roman" w:hAnsi="Times New Roman" w:eastAsia="宋体"/>
                <w:b w:val="0"/>
                <w:i w:val="0"/>
                <w:sz w:val="17"/>
              </w:rPr>
              <w:t>0.085</w:t>
            </w:r>
          </w:p>
        </w:tc>
        <w:tc>
          <w:tcPr>
            <w:tcW w:type="dxa" w:w="1531"/>
          </w:tcPr>
          <w:p>
            <w:pPr>
              <w:spacing w:before="20" w:after="20" w:line="259" w:lineRule="auto"/>
              <w:ind w:firstLine="0"/>
              <w:jc w:val="center"/>
            </w:pPr>
            <w:r/>
            <w:r>
              <w:rPr>
                <w:rFonts w:ascii="Times New Roman" w:hAnsi="Times New Roman" w:eastAsia="宋体"/>
                <w:b w:val="0"/>
                <w:i w:val="0"/>
                <w:sz w:val="17"/>
              </w:rPr>
              <w:t>0.011</w:t>
            </w:r>
          </w:p>
        </w:tc>
        <w:tc>
          <w:tcPr>
            <w:tcW w:type="dxa" w:w="1531"/>
          </w:tcPr>
          <w:p>
            <w:pPr>
              <w:spacing w:before="20" w:after="20" w:line="259" w:lineRule="auto"/>
              <w:ind w:firstLine="0"/>
              <w:jc w:val="center"/>
            </w:pPr>
            <w:r/>
            <w:r>
              <w:rPr>
                <w:rFonts w:ascii="Times New Roman" w:hAnsi="Times New Roman" w:eastAsia="宋体"/>
                <w:b w:val="0"/>
                <w:i w:val="0"/>
                <w:sz w:val="17"/>
              </w:rPr>
              <w:t>+2.02*</w:t>
            </w:r>
          </w:p>
        </w:tc>
      </w:tr>
    </w:tbl>
    <w:p>
      <w:pPr>
        <w:spacing w:before="60" w:after="200"/>
      </w:pPr>
      <w:r>
        <w:rPr>
          <w:rFonts w:ascii="Times New Roman" w:hAnsi="Times New Roman" w:eastAsia="宋体"/>
          <w:b w:val="0"/>
          <w:i w:val="0"/>
          <w:sz w:val="17"/>
        </w:rPr>
        <w:t>注：risk_asym、oc_conf、AS_improved、换手率、任职年限与 log 规模在两组间差异不显著，未列入；log_fund_age 为唯一进入分化表的 L1 成分（Top5% 组基金更年轻）。单指标中区分度最高的是下行保护系数（t=+5.40，Top5% 组 1.989 vs Bottom5% 0.737）——最能拉开差距的行为不是选股，而是市场下跌时是否主动收缩暴露。</w:t>
      </w:r>
    </w:p>
    <w:p>
      <w:pPr>
        <w:spacing w:after="120" w:line="312" w:lineRule="auto"/>
        <w:ind w:firstLine="420"/>
      </w:pPr>
      <w:r>
        <w:rPr>
          <w:rFonts w:ascii="Times New Roman" w:hAnsi="Times New Roman" w:eastAsia="宋体"/>
          <w:b w:val="0"/>
          <w:i w:val="0"/>
          <w:sz w:val="21"/>
        </w:rPr>
        <w:t>按综合能力五等分后的背景对照（表 10）揭示两个反直觉事实。其一，规模不经济：最低能力组平均管理规模 17.3 亿元，最高组仅 4.4 亿元。其二，学历与证书不构成能力信号：硕士以上占比从 Q1 的 99% 降至 Q5 的 82%，CFA 占比从 5% 降至 0%。行为纪律而非背景标签，才是业绩的分水岭。（经理背景变量覆盖 45.9%，此处为描述性证据，不进入计分。）</w:t>
      </w:r>
    </w:p>
    <w:p>
      <w:pPr>
        <w:spacing w:before="120" w:after="60"/>
        <w:jc w:val="center"/>
      </w:pPr>
      <w:r>
        <w:rPr>
          <w:rFonts w:ascii="Times New Roman" w:hAnsi="Times New Roman" w:eastAsia="黑体"/>
          <w:b/>
          <w:i w:val="0"/>
          <w:sz w:val="18"/>
        </w:rPr>
        <w:t>表 10  综合能力五分组背景（Q1 最低 → Q5 最高）</w:t>
      </w:r>
    </w:p>
    <w:tbl>
      <w:tblPr>
        <w:tblStyle w:val="TableGrid"/>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rPr>
          <w:tblHeader w:val="true"/>
        </w:trPr>
        <w:tc>
          <w:tcPr>
            <w:tcW w:type="dxa" w:w="1020"/>
          </w:tcPr>
          <w:p>
            <w:pPr>
              <w:spacing w:before="20" w:after="20" w:line="259" w:lineRule="auto"/>
              <w:ind w:firstLine="0"/>
              <w:jc w:val="center"/>
            </w:pPr>
            <w:r/>
            <w:r>
              <w:rPr>
                <w:rFonts w:ascii="Times New Roman" w:hAnsi="Times New Roman" w:eastAsia="黑体"/>
                <w:b/>
                <w:i w:val="0"/>
                <w:sz w:val="17"/>
              </w:rPr>
              <w:t>分组</w:t>
            </w:r>
          </w:p>
        </w:tc>
        <w:tc>
          <w:tcPr>
            <w:tcW w:type="dxa" w:w="850"/>
          </w:tcPr>
          <w:p>
            <w:pPr>
              <w:spacing w:before="20" w:after="20" w:line="259" w:lineRule="auto"/>
              <w:ind w:firstLine="0"/>
              <w:jc w:val="center"/>
            </w:pPr>
            <w:r/>
            <w:r>
              <w:rPr>
                <w:rFonts w:ascii="Times New Roman" w:hAnsi="Times New Roman" w:eastAsia="黑体"/>
                <w:b/>
                <w:i w:val="0"/>
                <w:sz w:val="17"/>
              </w:rPr>
              <w:t>N</w:t>
            </w:r>
          </w:p>
        </w:tc>
        <w:tc>
          <w:tcPr>
            <w:tcW w:type="dxa" w:w="1361"/>
          </w:tcPr>
          <w:p>
            <w:pPr>
              <w:spacing w:before="20" w:after="20" w:line="259" w:lineRule="auto"/>
              <w:ind w:firstLine="0"/>
              <w:jc w:val="center"/>
            </w:pPr>
            <w:r/>
            <w:r>
              <w:rPr>
                <w:rFonts w:ascii="Times New Roman" w:hAnsi="Times New Roman" w:eastAsia="黑体"/>
                <w:b/>
                <w:i w:val="0"/>
                <w:sz w:val="17"/>
              </w:rPr>
              <w:t>综合能力</w:t>
            </w:r>
          </w:p>
        </w:tc>
        <w:tc>
          <w:tcPr>
            <w:tcW w:type="dxa" w:w="1361"/>
          </w:tcPr>
          <w:p>
            <w:pPr>
              <w:spacing w:before="20" w:after="20" w:line="259" w:lineRule="auto"/>
              <w:ind w:firstLine="0"/>
              <w:jc w:val="center"/>
            </w:pPr>
            <w:r/>
            <w:r>
              <w:rPr>
                <w:rFonts w:ascii="Times New Roman" w:hAnsi="Times New Roman" w:eastAsia="黑体"/>
                <w:b/>
                <w:i w:val="0"/>
                <w:sz w:val="17"/>
              </w:rPr>
              <w:t>FF5 alpha</w:t>
            </w:r>
          </w:p>
        </w:tc>
        <w:tc>
          <w:tcPr>
            <w:tcW w:type="dxa" w:w="1361"/>
          </w:tcPr>
          <w:p>
            <w:pPr>
              <w:spacing w:before="20" w:after="20" w:line="259" w:lineRule="auto"/>
              <w:ind w:firstLine="0"/>
              <w:jc w:val="center"/>
            </w:pPr>
            <w:r/>
            <w:r>
              <w:rPr>
                <w:rFonts w:ascii="Times New Roman" w:hAnsi="Times New Roman" w:eastAsia="黑体"/>
                <w:b/>
                <w:i w:val="0"/>
                <w:sz w:val="17"/>
              </w:rPr>
              <w:t>季度收益</w:t>
            </w:r>
          </w:p>
        </w:tc>
        <w:tc>
          <w:tcPr>
            <w:tcW w:type="dxa" w:w="1304"/>
          </w:tcPr>
          <w:p>
            <w:pPr>
              <w:spacing w:before="20" w:after="20" w:line="259" w:lineRule="auto"/>
              <w:ind w:firstLine="0"/>
              <w:jc w:val="center"/>
            </w:pPr>
            <w:r/>
            <w:r>
              <w:rPr>
                <w:rFonts w:ascii="Times New Roman" w:hAnsi="Times New Roman" w:eastAsia="黑体"/>
                <w:b/>
                <w:i w:val="0"/>
                <w:sz w:val="17"/>
              </w:rPr>
              <w:t>规模(亿)</w:t>
            </w:r>
          </w:p>
        </w:tc>
        <w:tc>
          <w:tcPr>
            <w:tcW w:type="dxa" w:w="1247"/>
          </w:tcPr>
          <w:p>
            <w:pPr>
              <w:spacing w:before="20" w:after="20" w:line="259" w:lineRule="auto"/>
              <w:ind w:firstLine="0"/>
              <w:jc w:val="center"/>
            </w:pPr>
            <w:r/>
            <w:r>
              <w:rPr>
                <w:rFonts w:ascii="Times New Roman" w:hAnsi="Times New Roman" w:eastAsia="黑体"/>
                <w:b/>
                <w:i w:val="0"/>
                <w:sz w:val="17"/>
              </w:rPr>
              <w:t>硕士以上</w:t>
            </w:r>
          </w:p>
        </w:tc>
        <w:tc>
          <w:tcPr>
            <w:tcW w:type="dxa" w:w="1134"/>
          </w:tcPr>
          <w:p>
            <w:pPr>
              <w:spacing w:before="20" w:after="20" w:line="259" w:lineRule="auto"/>
              <w:ind w:firstLine="0"/>
              <w:jc w:val="center"/>
            </w:pPr>
            <w:r/>
            <w:r>
              <w:rPr>
                <w:rFonts w:ascii="Times New Roman" w:hAnsi="Times New Roman" w:eastAsia="黑体"/>
                <w:b/>
                <w:i w:val="0"/>
                <w:sz w:val="17"/>
              </w:rPr>
              <w:t>CFA</w:t>
            </w:r>
          </w:p>
        </w:tc>
      </w:tr>
      <w:tr>
        <w:tc>
          <w:tcPr>
            <w:tcW w:type="dxa" w:w="1020"/>
          </w:tcPr>
          <w:p>
            <w:pPr>
              <w:spacing w:before="20" w:after="20" w:line="259" w:lineRule="auto"/>
              <w:ind w:firstLine="0"/>
              <w:jc w:val="center"/>
            </w:pPr>
            <w:r/>
            <w:r>
              <w:rPr>
                <w:rFonts w:ascii="Times New Roman" w:hAnsi="Times New Roman" w:eastAsia="宋体"/>
                <w:b w:val="0"/>
                <w:i w:val="0"/>
                <w:sz w:val="17"/>
              </w:rPr>
              <w:t>Q1</w:t>
            </w:r>
          </w:p>
        </w:tc>
        <w:tc>
          <w:tcPr>
            <w:tcW w:type="dxa" w:w="850"/>
          </w:tcPr>
          <w:p>
            <w:pPr>
              <w:spacing w:before="20" w:after="20" w:line="259" w:lineRule="auto"/>
              <w:ind w:firstLine="0"/>
              <w:jc w:val="center"/>
            </w:pPr>
            <w:r/>
            <w:r>
              <w:rPr>
                <w:rFonts w:ascii="Times New Roman" w:hAnsi="Times New Roman" w:eastAsia="宋体"/>
                <w:b w:val="0"/>
                <w:i w:val="0"/>
                <w:sz w:val="17"/>
              </w:rPr>
              <w:t>73</w:t>
            </w:r>
          </w:p>
        </w:tc>
        <w:tc>
          <w:tcPr>
            <w:tcW w:type="dxa" w:w="1361"/>
          </w:tcPr>
          <w:p>
            <w:pPr>
              <w:spacing w:before="20" w:after="20" w:line="259" w:lineRule="auto"/>
              <w:ind w:firstLine="0"/>
              <w:jc w:val="center"/>
            </w:pPr>
            <w:r/>
            <w:r>
              <w:rPr>
                <w:rFonts w:ascii="Times New Roman" w:hAnsi="Times New Roman" w:eastAsia="宋体"/>
                <w:b w:val="0"/>
                <w:i w:val="0"/>
                <w:sz w:val="17"/>
              </w:rPr>
              <w:t>-0.6151</w:t>
            </w:r>
          </w:p>
        </w:tc>
        <w:tc>
          <w:tcPr>
            <w:tcW w:type="dxa" w:w="1361"/>
          </w:tcPr>
          <w:p>
            <w:pPr>
              <w:spacing w:before="20" w:after="20" w:line="259" w:lineRule="auto"/>
              <w:ind w:firstLine="0"/>
              <w:jc w:val="center"/>
            </w:pPr>
            <w:r/>
            <w:r>
              <w:rPr>
                <w:rFonts w:ascii="Times New Roman" w:hAnsi="Times New Roman" w:eastAsia="宋体"/>
                <w:b w:val="0"/>
                <w:i w:val="0"/>
                <w:sz w:val="17"/>
              </w:rPr>
              <w:t>0.64%</w:t>
            </w:r>
          </w:p>
        </w:tc>
        <w:tc>
          <w:tcPr>
            <w:tcW w:type="dxa" w:w="1361"/>
          </w:tcPr>
          <w:p>
            <w:pPr>
              <w:spacing w:before="20" w:after="20" w:line="259" w:lineRule="auto"/>
              <w:ind w:firstLine="0"/>
              <w:jc w:val="center"/>
            </w:pPr>
            <w:r/>
            <w:r>
              <w:rPr>
                <w:rFonts w:ascii="Times New Roman" w:hAnsi="Times New Roman" w:eastAsia="宋体"/>
                <w:b w:val="0"/>
                <w:i w:val="0"/>
                <w:sz w:val="17"/>
              </w:rPr>
              <w:t>4.37%</w:t>
            </w:r>
          </w:p>
        </w:tc>
        <w:tc>
          <w:tcPr>
            <w:tcW w:type="dxa" w:w="1304"/>
          </w:tcPr>
          <w:p>
            <w:pPr>
              <w:spacing w:before="20" w:after="20" w:line="259" w:lineRule="auto"/>
              <w:ind w:firstLine="0"/>
              <w:jc w:val="center"/>
            </w:pPr>
            <w:r/>
            <w:r>
              <w:rPr>
                <w:rFonts w:ascii="Times New Roman" w:hAnsi="Times New Roman" w:eastAsia="宋体"/>
                <w:b w:val="0"/>
                <w:i w:val="0"/>
                <w:sz w:val="17"/>
              </w:rPr>
              <w:t>17.3</w:t>
            </w:r>
          </w:p>
        </w:tc>
        <w:tc>
          <w:tcPr>
            <w:tcW w:type="dxa" w:w="1247"/>
          </w:tcPr>
          <w:p>
            <w:pPr>
              <w:spacing w:before="20" w:after="20" w:line="259" w:lineRule="auto"/>
              <w:ind w:firstLine="0"/>
              <w:jc w:val="center"/>
            </w:pPr>
            <w:r/>
            <w:r>
              <w:rPr>
                <w:rFonts w:ascii="Times New Roman" w:hAnsi="Times New Roman" w:eastAsia="宋体"/>
                <w:b w:val="0"/>
                <w:i w:val="0"/>
                <w:sz w:val="17"/>
              </w:rPr>
              <w:t>99%</w:t>
            </w:r>
          </w:p>
        </w:tc>
        <w:tc>
          <w:tcPr>
            <w:tcW w:type="dxa" w:w="1134"/>
          </w:tcPr>
          <w:p>
            <w:pPr>
              <w:spacing w:before="20" w:after="20" w:line="259" w:lineRule="auto"/>
              <w:ind w:firstLine="0"/>
              <w:jc w:val="center"/>
            </w:pPr>
            <w:r/>
            <w:r>
              <w:rPr>
                <w:rFonts w:ascii="Times New Roman" w:hAnsi="Times New Roman" w:eastAsia="宋体"/>
                <w:b w:val="0"/>
                <w:i w:val="0"/>
                <w:sz w:val="17"/>
              </w:rPr>
              <w:t>5%</w:t>
            </w:r>
          </w:p>
        </w:tc>
      </w:tr>
      <w:tr>
        <w:tc>
          <w:tcPr>
            <w:tcW w:type="dxa" w:w="1020"/>
          </w:tcPr>
          <w:p>
            <w:pPr>
              <w:spacing w:before="20" w:after="20" w:line="259" w:lineRule="auto"/>
              <w:ind w:firstLine="0"/>
              <w:jc w:val="center"/>
            </w:pPr>
            <w:r/>
            <w:r>
              <w:rPr>
                <w:rFonts w:ascii="Times New Roman" w:hAnsi="Times New Roman" w:eastAsia="宋体"/>
                <w:b w:val="0"/>
                <w:i w:val="0"/>
                <w:sz w:val="17"/>
              </w:rPr>
              <w:t>Q2</w:t>
            </w:r>
          </w:p>
        </w:tc>
        <w:tc>
          <w:tcPr>
            <w:tcW w:type="dxa" w:w="850"/>
          </w:tcPr>
          <w:p>
            <w:pPr>
              <w:spacing w:before="20" w:after="20" w:line="259" w:lineRule="auto"/>
              <w:ind w:firstLine="0"/>
              <w:jc w:val="center"/>
            </w:pPr>
            <w:r/>
            <w:r>
              <w:rPr>
                <w:rFonts w:ascii="Times New Roman" w:hAnsi="Times New Roman" w:eastAsia="宋体"/>
                <w:b w:val="0"/>
                <w:i w:val="0"/>
                <w:sz w:val="17"/>
              </w:rPr>
              <w:t>72</w:t>
            </w:r>
          </w:p>
        </w:tc>
        <w:tc>
          <w:tcPr>
            <w:tcW w:type="dxa" w:w="1361"/>
          </w:tcPr>
          <w:p>
            <w:pPr>
              <w:spacing w:before="20" w:after="20" w:line="259" w:lineRule="auto"/>
              <w:ind w:firstLine="0"/>
              <w:jc w:val="center"/>
            </w:pPr>
            <w:r/>
            <w:r>
              <w:rPr>
                <w:rFonts w:ascii="Times New Roman" w:hAnsi="Times New Roman" w:eastAsia="宋体"/>
                <w:b w:val="0"/>
                <w:i w:val="0"/>
                <w:sz w:val="17"/>
              </w:rPr>
              <w:t>-0.3362</w:t>
            </w:r>
          </w:p>
        </w:tc>
        <w:tc>
          <w:tcPr>
            <w:tcW w:type="dxa" w:w="1361"/>
          </w:tcPr>
          <w:p>
            <w:pPr>
              <w:spacing w:before="20" w:after="20" w:line="259" w:lineRule="auto"/>
              <w:ind w:firstLine="0"/>
              <w:jc w:val="center"/>
            </w:pPr>
            <w:r/>
            <w:r>
              <w:rPr>
                <w:rFonts w:ascii="Times New Roman" w:hAnsi="Times New Roman" w:eastAsia="宋体"/>
                <w:b w:val="0"/>
                <w:i w:val="0"/>
                <w:sz w:val="17"/>
              </w:rPr>
              <w:t>1.53%</w:t>
            </w:r>
          </w:p>
        </w:tc>
        <w:tc>
          <w:tcPr>
            <w:tcW w:type="dxa" w:w="1361"/>
          </w:tcPr>
          <w:p>
            <w:pPr>
              <w:spacing w:before="20" w:after="20" w:line="259" w:lineRule="auto"/>
              <w:ind w:firstLine="0"/>
              <w:jc w:val="center"/>
            </w:pPr>
            <w:r/>
            <w:r>
              <w:rPr>
                <w:rFonts w:ascii="Times New Roman" w:hAnsi="Times New Roman" w:eastAsia="宋体"/>
                <w:b w:val="0"/>
                <w:i w:val="0"/>
                <w:sz w:val="17"/>
              </w:rPr>
              <w:t>5.41%</w:t>
            </w:r>
          </w:p>
        </w:tc>
        <w:tc>
          <w:tcPr>
            <w:tcW w:type="dxa" w:w="1304"/>
          </w:tcPr>
          <w:p>
            <w:pPr>
              <w:spacing w:before="20" w:after="20" w:line="259" w:lineRule="auto"/>
              <w:ind w:firstLine="0"/>
              <w:jc w:val="center"/>
            </w:pPr>
            <w:r/>
            <w:r>
              <w:rPr>
                <w:rFonts w:ascii="Times New Roman" w:hAnsi="Times New Roman" w:eastAsia="宋体"/>
                <w:b w:val="0"/>
                <w:i w:val="0"/>
                <w:sz w:val="17"/>
              </w:rPr>
              <w:t>7.6</w:t>
            </w:r>
          </w:p>
        </w:tc>
        <w:tc>
          <w:tcPr>
            <w:tcW w:type="dxa" w:w="1247"/>
          </w:tcPr>
          <w:p>
            <w:pPr>
              <w:spacing w:before="20" w:after="20" w:line="259" w:lineRule="auto"/>
              <w:ind w:firstLine="0"/>
              <w:jc w:val="center"/>
            </w:pPr>
            <w:r/>
            <w:r>
              <w:rPr>
                <w:rFonts w:ascii="Times New Roman" w:hAnsi="Times New Roman" w:eastAsia="宋体"/>
                <w:b w:val="0"/>
                <w:i w:val="0"/>
                <w:sz w:val="17"/>
              </w:rPr>
              <w:t>89%</w:t>
            </w:r>
          </w:p>
        </w:tc>
        <w:tc>
          <w:tcPr>
            <w:tcW w:type="dxa" w:w="1134"/>
          </w:tcPr>
          <w:p>
            <w:pPr>
              <w:spacing w:before="20" w:after="20" w:line="259" w:lineRule="auto"/>
              <w:ind w:firstLine="0"/>
              <w:jc w:val="center"/>
            </w:pPr>
            <w:r/>
            <w:r>
              <w:rPr>
                <w:rFonts w:ascii="Times New Roman" w:hAnsi="Times New Roman" w:eastAsia="宋体"/>
                <w:b w:val="0"/>
                <w:i w:val="0"/>
                <w:sz w:val="17"/>
              </w:rPr>
              <w:t>3%</w:t>
            </w:r>
          </w:p>
        </w:tc>
      </w:tr>
      <w:tr>
        <w:tc>
          <w:tcPr>
            <w:tcW w:type="dxa" w:w="1020"/>
          </w:tcPr>
          <w:p>
            <w:pPr>
              <w:spacing w:before="20" w:after="20" w:line="259" w:lineRule="auto"/>
              <w:ind w:firstLine="0"/>
              <w:jc w:val="center"/>
            </w:pPr>
            <w:r/>
            <w:r>
              <w:rPr>
                <w:rFonts w:ascii="Times New Roman" w:hAnsi="Times New Roman" w:eastAsia="宋体"/>
                <w:b w:val="0"/>
                <w:i w:val="0"/>
                <w:sz w:val="17"/>
              </w:rPr>
              <w:t>Q3</w:t>
            </w:r>
          </w:p>
        </w:tc>
        <w:tc>
          <w:tcPr>
            <w:tcW w:type="dxa" w:w="850"/>
          </w:tcPr>
          <w:p>
            <w:pPr>
              <w:spacing w:before="20" w:after="20" w:line="259" w:lineRule="auto"/>
              <w:ind w:firstLine="0"/>
              <w:jc w:val="center"/>
            </w:pPr>
            <w:r/>
            <w:r>
              <w:rPr>
                <w:rFonts w:ascii="Times New Roman" w:hAnsi="Times New Roman" w:eastAsia="宋体"/>
                <w:b w:val="0"/>
                <w:i w:val="0"/>
                <w:sz w:val="17"/>
              </w:rPr>
              <w:t>72</w:t>
            </w:r>
          </w:p>
        </w:tc>
        <w:tc>
          <w:tcPr>
            <w:tcW w:type="dxa" w:w="1361"/>
          </w:tcPr>
          <w:p>
            <w:pPr>
              <w:spacing w:before="20" w:after="20" w:line="259" w:lineRule="auto"/>
              <w:ind w:firstLine="0"/>
              <w:jc w:val="center"/>
            </w:pPr>
            <w:r/>
            <w:r>
              <w:rPr>
                <w:rFonts w:ascii="Times New Roman" w:hAnsi="Times New Roman" w:eastAsia="宋体"/>
                <w:b w:val="0"/>
                <w:i w:val="0"/>
                <w:sz w:val="17"/>
              </w:rPr>
              <w:t>-0.1431</w:t>
            </w:r>
          </w:p>
        </w:tc>
        <w:tc>
          <w:tcPr>
            <w:tcW w:type="dxa" w:w="1361"/>
          </w:tcPr>
          <w:p>
            <w:pPr>
              <w:spacing w:before="20" w:after="20" w:line="259" w:lineRule="auto"/>
              <w:ind w:firstLine="0"/>
              <w:jc w:val="center"/>
            </w:pPr>
            <w:r/>
            <w:r>
              <w:rPr>
                <w:rFonts w:ascii="Times New Roman" w:hAnsi="Times New Roman" w:eastAsia="宋体"/>
                <w:b w:val="0"/>
                <w:i w:val="0"/>
                <w:sz w:val="17"/>
              </w:rPr>
              <w:t>1.92%</w:t>
            </w:r>
          </w:p>
        </w:tc>
        <w:tc>
          <w:tcPr>
            <w:tcW w:type="dxa" w:w="1361"/>
          </w:tcPr>
          <w:p>
            <w:pPr>
              <w:spacing w:before="20" w:after="20" w:line="259" w:lineRule="auto"/>
              <w:ind w:firstLine="0"/>
              <w:jc w:val="center"/>
            </w:pPr>
            <w:r/>
            <w:r>
              <w:rPr>
                <w:rFonts w:ascii="Times New Roman" w:hAnsi="Times New Roman" w:eastAsia="宋体"/>
                <w:b w:val="0"/>
                <w:i w:val="0"/>
                <w:sz w:val="17"/>
              </w:rPr>
              <w:t>6.80%</w:t>
            </w:r>
          </w:p>
        </w:tc>
        <w:tc>
          <w:tcPr>
            <w:tcW w:type="dxa" w:w="1304"/>
          </w:tcPr>
          <w:p>
            <w:pPr>
              <w:spacing w:before="20" w:after="20" w:line="259" w:lineRule="auto"/>
              <w:ind w:firstLine="0"/>
              <w:jc w:val="center"/>
            </w:pPr>
            <w:r/>
            <w:r>
              <w:rPr>
                <w:rFonts w:ascii="Times New Roman" w:hAnsi="Times New Roman" w:eastAsia="宋体"/>
                <w:b w:val="0"/>
                <w:i w:val="0"/>
                <w:sz w:val="17"/>
              </w:rPr>
              <w:t>8.5</w:t>
            </w:r>
          </w:p>
        </w:tc>
        <w:tc>
          <w:tcPr>
            <w:tcW w:type="dxa" w:w="1247"/>
          </w:tcPr>
          <w:p>
            <w:pPr>
              <w:spacing w:before="20" w:after="20" w:line="259" w:lineRule="auto"/>
              <w:ind w:firstLine="0"/>
              <w:jc w:val="center"/>
            </w:pPr>
            <w:r/>
            <w:r>
              <w:rPr>
                <w:rFonts w:ascii="Times New Roman" w:hAnsi="Times New Roman" w:eastAsia="宋体"/>
                <w:b w:val="0"/>
                <w:i w:val="0"/>
                <w:sz w:val="17"/>
              </w:rPr>
              <w:t>86%</w:t>
            </w:r>
          </w:p>
        </w:tc>
        <w:tc>
          <w:tcPr>
            <w:tcW w:type="dxa" w:w="1134"/>
          </w:tcPr>
          <w:p>
            <w:pPr>
              <w:spacing w:before="20" w:after="20" w:line="259" w:lineRule="auto"/>
              <w:ind w:firstLine="0"/>
              <w:jc w:val="center"/>
            </w:pPr>
            <w:r/>
            <w:r>
              <w:rPr>
                <w:rFonts w:ascii="Times New Roman" w:hAnsi="Times New Roman" w:eastAsia="宋体"/>
                <w:b w:val="0"/>
                <w:i w:val="0"/>
                <w:sz w:val="17"/>
              </w:rPr>
              <w:t>1%</w:t>
            </w:r>
          </w:p>
        </w:tc>
      </w:tr>
      <w:tr>
        <w:tc>
          <w:tcPr>
            <w:tcW w:type="dxa" w:w="1020"/>
          </w:tcPr>
          <w:p>
            <w:pPr>
              <w:spacing w:before="20" w:after="20" w:line="259" w:lineRule="auto"/>
              <w:ind w:firstLine="0"/>
              <w:jc w:val="center"/>
            </w:pPr>
            <w:r/>
            <w:r>
              <w:rPr>
                <w:rFonts w:ascii="Times New Roman" w:hAnsi="Times New Roman" w:eastAsia="宋体"/>
                <w:b w:val="0"/>
                <w:i w:val="0"/>
                <w:sz w:val="17"/>
              </w:rPr>
              <w:t>Q4</w:t>
            </w:r>
          </w:p>
        </w:tc>
        <w:tc>
          <w:tcPr>
            <w:tcW w:type="dxa" w:w="850"/>
          </w:tcPr>
          <w:p>
            <w:pPr>
              <w:spacing w:before="20" w:after="20" w:line="259" w:lineRule="auto"/>
              <w:ind w:firstLine="0"/>
              <w:jc w:val="center"/>
            </w:pPr>
            <w:r/>
            <w:r>
              <w:rPr>
                <w:rFonts w:ascii="Times New Roman" w:hAnsi="Times New Roman" w:eastAsia="宋体"/>
                <w:b w:val="0"/>
                <w:i w:val="0"/>
                <w:sz w:val="17"/>
              </w:rPr>
              <w:t>72</w:t>
            </w:r>
          </w:p>
        </w:tc>
        <w:tc>
          <w:tcPr>
            <w:tcW w:type="dxa" w:w="1361"/>
          </w:tcPr>
          <w:p>
            <w:pPr>
              <w:spacing w:before="20" w:after="20" w:line="259" w:lineRule="auto"/>
              <w:ind w:firstLine="0"/>
              <w:jc w:val="center"/>
            </w:pPr>
            <w:r/>
            <w:r>
              <w:rPr>
                <w:rFonts w:ascii="Times New Roman" w:hAnsi="Times New Roman" w:eastAsia="宋体"/>
                <w:b w:val="0"/>
                <w:i w:val="0"/>
                <w:sz w:val="17"/>
              </w:rPr>
              <w:t>0.0696</w:t>
            </w:r>
          </w:p>
        </w:tc>
        <w:tc>
          <w:tcPr>
            <w:tcW w:type="dxa" w:w="1361"/>
          </w:tcPr>
          <w:p>
            <w:pPr>
              <w:spacing w:before="20" w:after="20" w:line="259" w:lineRule="auto"/>
              <w:ind w:firstLine="0"/>
              <w:jc w:val="center"/>
            </w:pPr>
            <w:r/>
            <w:r>
              <w:rPr>
                <w:rFonts w:ascii="Times New Roman" w:hAnsi="Times New Roman" w:eastAsia="宋体"/>
                <w:b w:val="0"/>
                <w:i w:val="0"/>
                <w:sz w:val="17"/>
              </w:rPr>
              <w:t>2.31%</w:t>
            </w:r>
          </w:p>
        </w:tc>
        <w:tc>
          <w:tcPr>
            <w:tcW w:type="dxa" w:w="1361"/>
          </w:tcPr>
          <w:p>
            <w:pPr>
              <w:spacing w:before="20" w:after="20" w:line="259" w:lineRule="auto"/>
              <w:ind w:firstLine="0"/>
              <w:jc w:val="center"/>
            </w:pPr>
            <w:r/>
            <w:r>
              <w:rPr>
                <w:rFonts w:ascii="Times New Roman" w:hAnsi="Times New Roman" w:eastAsia="宋体"/>
                <w:b w:val="0"/>
                <w:i w:val="0"/>
                <w:sz w:val="17"/>
              </w:rPr>
              <w:t>6.83%</w:t>
            </w:r>
          </w:p>
        </w:tc>
        <w:tc>
          <w:tcPr>
            <w:tcW w:type="dxa" w:w="1304"/>
          </w:tcPr>
          <w:p>
            <w:pPr>
              <w:spacing w:before="20" w:after="20" w:line="259" w:lineRule="auto"/>
              <w:ind w:firstLine="0"/>
              <w:jc w:val="center"/>
            </w:pPr>
            <w:r/>
            <w:r>
              <w:rPr>
                <w:rFonts w:ascii="Times New Roman" w:hAnsi="Times New Roman" w:eastAsia="宋体"/>
                <w:b w:val="0"/>
                <w:i w:val="0"/>
                <w:sz w:val="17"/>
              </w:rPr>
              <w:t>6.0</w:t>
            </w:r>
          </w:p>
        </w:tc>
        <w:tc>
          <w:tcPr>
            <w:tcW w:type="dxa" w:w="1247"/>
          </w:tcPr>
          <w:p>
            <w:pPr>
              <w:spacing w:before="20" w:after="20" w:line="259" w:lineRule="auto"/>
              <w:ind w:firstLine="0"/>
              <w:jc w:val="center"/>
            </w:pPr>
            <w:r/>
            <w:r>
              <w:rPr>
                <w:rFonts w:ascii="Times New Roman" w:hAnsi="Times New Roman" w:eastAsia="宋体"/>
                <w:b w:val="0"/>
                <w:i w:val="0"/>
                <w:sz w:val="17"/>
              </w:rPr>
              <w:t>85%</w:t>
            </w:r>
          </w:p>
        </w:tc>
        <w:tc>
          <w:tcPr>
            <w:tcW w:type="dxa" w:w="1134"/>
          </w:tcPr>
          <w:p>
            <w:pPr>
              <w:spacing w:before="20" w:after="20" w:line="259" w:lineRule="auto"/>
              <w:ind w:firstLine="0"/>
              <w:jc w:val="center"/>
            </w:pPr>
            <w:r/>
            <w:r>
              <w:rPr>
                <w:rFonts w:ascii="Times New Roman" w:hAnsi="Times New Roman" w:eastAsia="宋体"/>
                <w:b w:val="0"/>
                <w:i w:val="0"/>
                <w:sz w:val="17"/>
              </w:rPr>
              <w:t>3%</w:t>
            </w:r>
          </w:p>
        </w:tc>
      </w:tr>
      <w:tr>
        <w:tc>
          <w:tcPr>
            <w:tcW w:type="dxa" w:w="1020"/>
          </w:tcPr>
          <w:p>
            <w:pPr>
              <w:spacing w:before="20" w:after="20" w:line="259" w:lineRule="auto"/>
              <w:ind w:firstLine="0"/>
              <w:jc w:val="center"/>
            </w:pPr>
            <w:r/>
            <w:r>
              <w:rPr>
                <w:rFonts w:ascii="Times New Roman" w:hAnsi="Times New Roman" w:eastAsia="宋体"/>
                <w:b w:val="0"/>
                <w:i w:val="0"/>
                <w:sz w:val="17"/>
              </w:rPr>
              <w:t>Q5</w:t>
            </w:r>
          </w:p>
        </w:tc>
        <w:tc>
          <w:tcPr>
            <w:tcW w:type="dxa" w:w="850"/>
          </w:tcPr>
          <w:p>
            <w:pPr>
              <w:spacing w:before="20" w:after="20" w:line="259" w:lineRule="auto"/>
              <w:ind w:firstLine="0"/>
              <w:jc w:val="center"/>
            </w:pPr>
            <w:r/>
            <w:r>
              <w:rPr>
                <w:rFonts w:ascii="Times New Roman" w:hAnsi="Times New Roman" w:eastAsia="宋体"/>
                <w:b w:val="0"/>
                <w:i w:val="0"/>
                <w:sz w:val="17"/>
              </w:rPr>
              <w:t>73</w:t>
            </w:r>
          </w:p>
        </w:tc>
        <w:tc>
          <w:tcPr>
            <w:tcW w:type="dxa" w:w="1361"/>
          </w:tcPr>
          <w:p>
            <w:pPr>
              <w:spacing w:before="20" w:after="20" w:line="259" w:lineRule="auto"/>
              <w:ind w:firstLine="0"/>
              <w:jc w:val="center"/>
            </w:pPr>
            <w:r/>
            <w:r>
              <w:rPr>
                <w:rFonts w:ascii="Times New Roman" w:hAnsi="Times New Roman" w:eastAsia="宋体"/>
                <w:b w:val="0"/>
                <w:i w:val="0"/>
                <w:sz w:val="17"/>
              </w:rPr>
              <w:t>0.5079</w:t>
            </w:r>
          </w:p>
        </w:tc>
        <w:tc>
          <w:tcPr>
            <w:tcW w:type="dxa" w:w="1361"/>
          </w:tcPr>
          <w:p>
            <w:pPr>
              <w:spacing w:before="20" w:after="20" w:line="259" w:lineRule="auto"/>
              <w:ind w:firstLine="0"/>
              <w:jc w:val="center"/>
            </w:pPr>
            <w:r/>
            <w:r>
              <w:rPr>
                <w:rFonts w:ascii="Times New Roman" w:hAnsi="Times New Roman" w:eastAsia="宋体"/>
                <w:b w:val="0"/>
                <w:i w:val="0"/>
                <w:sz w:val="17"/>
              </w:rPr>
              <w:t>3.77%</w:t>
            </w:r>
          </w:p>
        </w:tc>
        <w:tc>
          <w:tcPr>
            <w:tcW w:type="dxa" w:w="1361"/>
          </w:tcPr>
          <w:p>
            <w:pPr>
              <w:spacing w:before="20" w:after="20" w:line="259" w:lineRule="auto"/>
              <w:ind w:firstLine="0"/>
              <w:jc w:val="center"/>
            </w:pPr>
            <w:r/>
            <w:r>
              <w:rPr>
                <w:rFonts w:ascii="Times New Roman" w:hAnsi="Times New Roman" w:eastAsia="宋体"/>
                <w:b w:val="0"/>
                <w:i w:val="0"/>
                <w:sz w:val="17"/>
              </w:rPr>
              <w:t>9.82%</w:t>
            </w:r>
          </w:p>
        </w:tc>
        <w:tc>
          <w:tcPr>
            <w:tcW w:type="dxa" w:w="1304"/>
          </w:tcPr>
          <w:p>
            <w:pPr>
              <w:spacing w:before="20" w:after="20" w:line="259" w:lineRule="auto"/>
              <w:ind w:firstLine="0"/>
              <w:jc w:val="center"/>
            </w:pPr>
            <w:r/>
            <w:r>
              <w:rPr>
                <w:rFonts w:ascii="Times New Roman" w:hAnsi="Times New Roman" w:eastAsia="宋体"/>
                <w:b w:val="0"/>
                <w:i w:val="0"/>
                <w:sz w:val="17"/>
              </w:rPr>
              <w:t>4.4</w:t>
            </w:r>
          </w:p>
        </w:tc>
        <w:tc>
          <w:tcPr>
            <w:tcW w:type="dxa" w:w="1247"/>
          </w:tcPr>
          <w:p>
            <w:pPr>
              <w:spacing w:before="20" w:after="20" w:line="259" w:lineRule="auto"/>
              <w:ind w:firstLine="0"/>
              <w:jc w:val="center"/>
            </w:pPr>
            <w:r/>
            <w:r>
              <w:rPr>
                <w:rFonts w:ascii="Times New Roman" w:hAnsi="Times New Roman" w:eastAsia="宋体"/>
                <w:b w:val="0"/>
                <w:i w:val="0"/>
                <w:sz w:val="17"/>
              </w:rPr>
              <w:t>82%</w:t>
            </w:r>
          </w:p>
        </w:tc>
        <w:tc>
          <w:tcPr>
            <w:tcW w:type="dxa" w:w="1134"/>
          </w:tcPr>
          <w:p>
            <w:pPr>
              <w:spacing w:before="20" w:after="20" w:line="259" w:lineRule="auto"/>
              <w:ind w:firstLine="0"/>
              <w:jc w:val="center"/>
            </w:pPr>
            <w:r/>
            <w:r>
              <w:rPr>
                <w:rFonts w:ascii="Times New Roman" w:hAnsi="Times New Roman" w:eastAsia="宋体"/>
                <w:b w:val="0"/>
                <w:i w:val="0"/>
                <w:sz w:val="17"/>
              </w:rPr>
              <w:t>0%</w:t>
            </w:r>
          </w:p>
        </w:tc>
      </w:tr>
    </w:tbl>
    <w:p>
      <w:pPr>
        <w:spacing w:before="240" w:after="120"/>
      </w:pPr>
      <w:r>
        <w:rPr>
          <w:rFonts w:ascii="Times New Roman" w:hAnsi="Times New Roman" w:eastAsia="黑体"/>
          <w:b/>
          <w:i w:val="0"/>
          <w:sz w:val="24"/>
        </w:rPr>
        <w:t>4.2  典型画像</w:t>
      </w:r>
    </w:p>
    <w:p>
      <w:pPr>
        <w:spacing w:after="120" w:line="312" w:lineRule="auto"/>
        <w:ind w:firstLine="420"/>
      </w:pPr>
      <w:r>
        <w:rPr>
          <w:rFonts w:ascii="Times New Roman" w:hAnsi="Times New Roman" w:eastAsia="宋体"/>
          <w:b w:val="0"/>
          <w:i w:val="0"/>
          <w:sz w:val="21"/>
        </w:rPr>
        <w:t>选取 5 名投资经理做案例分析（按经理姓名去重），覆盖全能型、风险定价型、认知纪律型、攻守转换型、基本面优势型五种正向典型画像；另设一支反例（华安策略优选·杨明）作对照，见表 11。</w:t>
      </w:r>
    </w:p>
    <w:p>
      <w:pPr>
        <w:spacing w:before="120" w:after="60"/>
        <w:jc w:val="center"/>
      </w:pPr>
      <w:r>
        <w:rPr>
          <w:rFonts w:ascii="Times New Roman" w:hAnsi="Times New Roman" w:eastAsia="黑体"/>
          <w:b/>
          <w:i w:val="0"/>
          <w:sz w:val="18"/>
        </w:rPr>
        <w:t>表 11  典型画像：五名正向画像 + 一名反例的六维分位</w:t>
      </w:r>
    </w:p>
    <w:tbl>
      <w:tblPr>
        <w:tblStyle w:val="TableGrid"/>
        <w:tblW w:type="auto" w:w="0"/>
        <w:jc w:val="center"/>
        <w:tblLayout w:type="fixed"/>
        <w:tblLook w:firstColumn="1" w:firstRow="1" w:lastColumn="0" w:lastRow="0" w:noHBand="0" w:noVBand="1" w:val="04A0"/>
      </w:tblPr>
      <w:tblGrid>
        <w:gridCol w:w="1662"/>
        <w:gridCol w:w="1662"/>
        <w:gridCol w:w="1662"/>
        <w:gridCol w:w="1662"/>
        <w:gridCol w:w="1662"/>
        <w:gridCol w:w="1662"/>
      </w:tblGrid>
      <w:tr>
        <w:trPr>
          <w:tblHeader w:val="true"/>
        </w:trPr>
        <w:tc>
          <w:tcPr>
            <w:tcW w:type="dxa" w:w="1474"/>
          </w:tcPr>
          <w:p>
            <w:pPr>
              <w:spacing w:before="20" w:after="20" w:line="259" w:lineRule="auto"/>
              <w:ind w:firstLine="0"/>
              <w:jc w:val="center"/>
            </w:pPr>
            <w:r/>
            <w:r>
              <w:rPr>
                <w:rFonts w:ascii="Times New Roman" w:hAnsi="Times New Roman" w:eastAsia="黑体"/>
                <w:b/>
                <w:i w:val="0"/>
                <w:sz w:val="15"/>
              </w:rPr>
              <w:t>形态</w:t>
            </w:r>
          </w:p>
        </w:tc>
        <w:tc>
          <w:tcPr>
            <w:tcW w:type="dxa" w:w="2154"/>
          </w:tcPr>
          <w:p>
            <w:pPr>
              <w:spacing w:before="20" w:after="20" w:line="259" w:lineRule="auto"/>
              <w:ind w:firstLine="0"/>
              <w:jc w:val="center"/>
            </w:pPr>
            <w:r/>
            <w:r>
              <w:rPr>
                <w:rFonts w:ascii="Times New Roman" w:hAnsi="Times New Roman" w:eastAsia="黑体"/>
                <w:b/>
                <w:i w:val="0"/>
                <w:sz w:val="15"/>
              </w:rPr>
              <w:t>基金／经理／公司</w:t>
            </w:r>
          </w:p>
        </w:tc>
        <w:tc>
          <w:tcPr>
            <w:tcW w:type="dxa" w:w="794"/>
          </w:tcPr>
          <w:p>
            <w:pPr>
              <w:spacing w:before="20" w:after="20" w:line="259" w:lineRule="auto"/>
              <w:ind w:firstLine="0"/>
              <w:jc w:val="center"/>
            </w:pPr>
            <w:r/>
            <w:r>
              <w:rPr>
                <w:rFonts w:ascii="Times New Roman" w:hAnsi="Times New Roman" w:eastAsia="黑体"/>
                <w:b/>
                <w:i w:val="0"/>
                <w:sz w:val="15"/>
              </w:rPr>
              <w:t>规模</w:t>
              <w:br/>
              <w:t>(亿)</w:t>
            </w:r>
          </w:p>
        </w:tc>
        <w:tc>
          <w:tcPr>
            <w:tcW w:type="dxa" w:w="850"/>
          </w:tcPr>
          <w:p>
            <w:pPr>
              <w:spacing w:before="20" w:after="20" w:line="259" w:lineRule="auto"/>
              <w:ind w:firstLine="0"/>
              <w:jc w:val="center"/>
            </w:pPr>
            <w:r/>
            <w:r>
              <w:rPr>
                <w:rFonts w:ascii="Times New Roman" w:hAnsi="Times New Roman" w:eastAsia="黑体"/>
                <w:b/>
                <w:i w:val="0"/>
                <w:sz w:val="15"/>
              </w:rPr>
              <w:t>FF5</w:t>
              <w:br/>
              <w:t>alpha</w:t>
            </w:r>
          </w:p>
        </w:tc>
        <w:tc>
          <w:tcPr>
            <w:tcW w:type="dxa" w:w="1077"/>
          </w:tcPr>
          <w:p>
            <w:pPr>
              <w:spacing w:before="20" w:after="20" w:line="259" w:lineRule="auto"/>
              <w:ind w:firstLine="0"/>
              <w:jc w:val="center"/>
            </w:pPr>
            <w:r/>
            <w:r>
              <w:rPr>
                <w:rFonts w:ascii="Times New Roman" w:hAnsi="Times New Roman" w:eastAsia="黑体"/>
                <w:b/>
                <w:i w:val="0"/>
                <w:sz w:val="15"/>
              </w:rPr>
              <w:t>综合能力</w:t>
              <w:br/>
              <w:t>(分位)</w:t>
            </w:r>
          </w:p>
        </w:tc>
        <w:tc>
          <w:tcPr>
            <w:tcW w:type="dxa" w:w="3288"/>
          </w:tcPr>
          <w:p>
            <w:pPr>
              <w:spacing w:before="20" w:after="20" w:line="259" w:lineRule="auto"/>
              <w:ind w:firstLine="0"/>
              <w:jc w:val="center"/>
            </w:pPr>
            <w:r/>
            <w:r>
              <w:rPr>
                <w:rFonts w:ascii="Times New Roman" w:hAnsi="Times New Roman" w:eastAsia="黑体"/>
                <w:b/>
                <w:i w:val="0"/>
                <w:sz w:val="15"/>
              </w:rPr>
              <w:t>六维分位（L1／L2／L3／L4a／L4b／L5）</w:t>
            </w:r>
          </w:p>
        </w:tc>
      </w:tr>
      <w:tr>
        <w:tc>
          <w:tcPr>
            <w:tcW w:type="dxa" w:w="1474"/>
          </w:tcPr>
          <w:p>
            <w:pPr>
              <w:spacing w:before="20" w:after="20" w:line="259" w:lineRule="auto"/>
              <w:ind w:firstLine="0"/>
              <w:jc w:val="left"/>
            </w:pPr>
            <w:r/>
            <w:r>
              <w:rPr>
                <w:rFonts w:ascii="Times New Roman" w:hAnsi="Times New Roman" w:eastAsia="宋体"/>
                <w:b w:val="0"/>
                <w:i w:val="0"/>
                <w:sz w:val="15"/>
              </w:rPr>
              <w:t>全能型</w:t>
              <w:br/>
            </w:r>
            <w:r>
              <w:rPr>
                <w:rFonts w:ascii="Times New Roman" w:hAnsi="Times New Roman" w:eastAsia="宋体"/>
                <w:b w:val="0"/>
                <w:i w:val="0"/>
                <w:sz w:val="15"/>
              </w:rPr>
              <w:t>综合能力最高</w:t>
            </w:r>
          </w:p>
        </w:tc>
        <w:tc>
          <w:tcPr>
            <w:tcW w:type="dxa" w:w="2154"/>
          </w:tcPr>
          <w:p>
            <w:pPr>
              <w:spacing w:before="20" w:after="20" w:line="259" w:lineRule="auto"/>
              <w:ind w:firstLine="0"/>
              <w:jc w:val="left"/>
            </w:pPr>
            <w:r/>
            <w:r>
              <w:rPr>
                <w:rFonts w:ascii="Times New Roman" w:hAnsi="Times New Roman" w:eastAsia="宋体"/>
                <w:b w:val="0"/>
                <w:i w:val="0"/>
                <w:sz w:val="15"/>
              </w:rPr>
              <w:t>中航机遇领航混合发起A</w:t>
              <w:br/>
            </w:r>
            <w:r>
              <w:rPr>
                <w:rFonts w:ascii="Times New Roman" w:hAnsi="Times New Roman" w:eastAsia="宋体"/>
                <w:b w:val="0"/>
                <w:i w:val="0"/>
                <w:sz w:val="15"/>
              </w:rPr>
              <w:t>韩浩、王森｜中航基金</w:t>
            </w:r>
          </w:p>
        </w:tc>
        <w:tc>
          <w:tcPr>
            <w:tcW w:type="dxa" w:w="794"/>
          </w:tcPr>
          <w:p>
            <w:pPr>
              <w:spacing w:before="20" w:after="20" w:line="259" w:lineRule="auto"/>
              <w:ind w:firstLine="0"/>
              <w:jc w:val="center"/>
            </w:pPr>
            <w:r/>
            <w:r>
              <w:rPr>
                <w:rFonts w:ascii="Times New Roman" w:hAnsi="Times New Roman" w:eastAsia="宋体"/>
                <w:b w:val="0"/>
                <w:i w:val="0"/>
                <w:sz w:val="15"/>
              </w:rPr>
              <w:t>0.21</w:t>
            </w:r>
          </w:p>
        </w:tc>
        <w:tc>
          <w:tcPr>
            <w:tcW w:type="dxa" w:w="850"/>
          </w:tcPr>
          <w:p>
            <w:pPr>
              <w:spacing w:before="20" w:after="20" w:line="259" w:lineRule="auto"/>
              <w:ind w:firstLine="0"/>
              <w:jc w:val="center"/>
            </w:pPr>
            <w:r/>
            <w:r>
              <w:rPr>
                <w:rFonts w:ascii="Times New Roman" w:hAnsi="Times New Roman" w:eastAsia="宋体"/>
                <w:b w:val="0"/>
                <w:i w:val="0"/>
                <w:sz w:val="15"/>
              </w:rPr>
              <w:t>5.41%</w:t>
            </w:r>
          </w:p>
        </w:tc>
        <w:tc>
          <w:tcPr>
            <w:tcW w:type="dxa" w:w="1077"/>
          </w:tcPr>
          <w:p>
            <w:pPr>
              <w:spacing w:before="20" w:after="20" w:line="259" w:lineRule="auto"/>
              <w:ind w:firstLine="0"/>
              <w:jc w:val="center"/>
            </w:pPr>
            <w:r/>
            <w:r>
              <w:rPr>
                <w:rFonts w:ascii="Times New Roman" w:hAnsi="Times New Roman" w:eastAsia="宋体"/>
                <w:b w:val="0"/>
                <w:i w:val="0"/>
                <w:sz w:val="15"/>
              </w:rPr>
              <w:t>+1.57</w:t>
              <w:br/>
            </w:r>
            <w:r>
              <w:rPr>
                <w:rFonts w:ascii="Times New Roman" w:hAnsi="Times New Roman" w:eastAsia="宋体"/>
                <w:b w:val="0"/>
                <w:i w:val="0"/>
                <w:sz w:val="15"/>
              </w:rPr>
              <w:t>（100%）</w:t>
            </w:r>
          </w:p>
        </w:tc>
        <w:tc>
          <w:tcPr>
            <w:tcW w:type="dxa" w:w="3288"/>
          </w:tcPr>
          <w:p>
            <w:pPr>
              <w:spacing w:before="20" w:after="20" w:line="259" w:lineRule="auto"/>
              <w:ind w:firstLine="0"/>
              <w:jc w:val="left"/>
            </w:pPr>
            <w:r/>
            <w:r>
              <w:rPr>
                <w:rFonts w:ascii="Times New Roman" w:hAnsi="Times New Roman" w:eastAsia="宋体"/>
                <w:b w:val="0"/>
                <w:i w:val="0"/>
                <w:sz w:val="15"/>
              </w:rPr>
              <w:t>L1 90% ／ L2 99% ／ L3 93% ／ L4a 99% ／ L4b 99% ／ L5 93%</w:t>
            </w:r>
          </w:p>
        </w:tc>
      </w:tr>
      <w:tr>
        <w:tc>
          <w:tcPr>
            <w:tcW w:type="dxa" w:w="1474"/>
          </w:tcPr>
          <w:p>
            <w:pPr>
              <w:spacing w:before="20" w:after="20" w:line="259" w:lineRule="auto"/>
              <w:ind w:firstLine="0"/>
              <w:jc w:val="left"/>
            </w:pPr>
            <w:r/>
            <w:r>
              <w:rPr>
                <w:rFonts w:ascii="Times New Roman" w:hAnsi="Times New Roman" w:eastAsia="宋体"/>
                <w:b w:val="0"/>
                <w:i w:val="0"/>
                <w:sz w:val="15"/>
              </w:rPr>
              <w:t>风险定价型</w:t>
              <w:br/>
            </w:r>
            <w:r>
              <w:rPr>
                <w:rFonts w:ascii="Times New Roman" w:hAnsi="Times New Roman" w:eastAsia="宋体"/>
                <w:b w:val="0"/>
                <w:i w:val="0"/>
                <w:sz w:val="15"/>
              </w:rPr>
              <w:t>风险转化能力最高</w:t>
            </w:r>
          </w:p>
        </w:tc>
        <w:tc>
          <w:tcPr>
            <w:tcW w:type="dxa" w:w="2154"/>
          </w:tcPr>
          <w:p>
            <w:pPr>
              <w:spacing w:before="20" w:after="20" w:line="259" w:lineRule="auto"/>
              <w:ind w:firstLine="0"/>
              <w:jc w:val="left"/>
            </w:pPr>
            <w:r/>
            <w:r>
              <w:rPr>
                <w:rFonts w:ascii="Times New Roman" w:hAnsi="Times New Roman" w:eastAsia="宋体"/>
                <w:b w:val="0"/>
                <w:i w:val="0"/>
                <w:sz w:val="15"/>
              </w:rPr>
              <w:t>易方达信息产业混合C</w:t>
              <w:br/>
            </w:r>
            <w:r>
              <w:rPr>
                <w:rFonts w:ascii="Times New Roman" w:hAnsi="Times New Roman" w:eastAsia="宋体"/>
                <w:b w:val="0"/>
                <w:i w:val="0"/>
                <w:sz w:val="15"/>
              </w:rPr>
              <w:t>郑希｜易方达基金</w:t>
            </w:r>
          </w:p>
        </w:tc>
        <w:tc>
          <w:tcPr>
            <w:tcW w:type="dxa" w:w="794"/>
          </w:tcPr>
          <w:p>
            <w:pPr>
              <w:spacing w:before="20" w:after="20" w:line="259" w:lineRule="auto"/>
              <w:ind w:firstLine="0"/>
              <w:jc w:val="center"/>
            </w:pPr>
            <w:r/>
            <w:r>
              <w:rPr>
                <w:rFonts w:ascii="Times New Roman" w:hAnsi="Times New Roman" w:eastAsia="宋体"/>
                <w:b w:val="0"/>
                <w:i w:val="0"/>
                <w:sz w:val="15"/>
              </w:rPr>
              <w:t>81.19</w:t>
            </w:r>
          </w:p>
        </w:tc>
        <w:tc>
          <w:tcPr>
            <w:tcW w:type="dxa" w:w="850"/>
          </w:tcPr>
          <w:p>
            <w:pPr>
              <w:spacing w:before="20" w:after="20" w:line="259" w:lineRule="auto"/>
              <w:ind w:firstLine="0"/>
              <w:jc w:val="center"/>
            </w:pPr>
            <w:r/>
            <w:r>
              <w:rPr>
                <w:rFonts w:ascii="Times New Roman" w:hAnsi="Times New Roman" w:eastAsia="宋体"/>
                <w:b w:val="0"/>
                <w:i w:val="0"/>
                <w:sz w:val="15"/>
              </w:rPr>
              <w:t>3.31%</w:t>
            </w:r>
          </w:p>
        </w:tc>
        <w:tc>
          <w:tcPr>
            <w:tcW w:type="dxa" w:w="1077"/>
          </w:tcPr>
          <w:p>
            <w:pPr>
              <w:spacing w:before="20" w:after="20" w:line="259" w:lineRule="auto"/>
              <w:ind w:firstLine="0"/>
              <w:jc w:val="center"/>
            </w:pPr>
            <w:r/>
            <w:r>
              <w:rPr>
                <w:rFonts w:ascii="Times New Roman" w:hAnsi="Times New Roman" w:eastAsia="宋体"/>
                <w:b w:val="0"/>
                <w:i w:val="0"/>
                <w:sz w:val="15"/>
              </w:rPr>
              <w:t>+1.24</w:t>
              <w:br/>
            </w:r>
            <w:r>
              <w:rPr>
                <w:rFonts w:ascii="Times New Roman" w:hAnsi="Times New Roman" w:eastAsia="宋体"/>
                <w:b w:val="0"/>
                <w:i w:val="0"/>
                <w:sz w:val="15"/>
              </w:rPr>
              <w:t>（99%）</w:t>
            </w:r>
          </w:p>
        </w:tc>
        <w:tc>
          <w:tcPr>
            <w:tcW w:type="dxa" w:w="3288"/>
          </w:tcPr>
          <w:p>
            <w:pPr>
              <w:spacing w:before="20" w:after="20" w:line="259" w:lineRule="auto"/>
              <w:ind w:firstLine="0"/>
              <w:jc w:val="left"/>
            </w:pPr>
            <w:r/>
            <w:r>
              <w:rPr>
                <w:rFonts w:ascii="Times New Roman" w:hAnsi="Times New Roman" w:eastAsia="宋体"/>
                <w:b w:val="0"/>
                <w:i w:val="0"/>
                <w:sz w:val="15"/>
              </w:rPr>
              <w:t>L1 76% ／ L2 96% ／ L3 90% ／ L4a 95% ／ L4b 100% ／ L5 77%</w:t>
            </w:r>
          </w:p>
        </w:tc>
      </w:tr>
      <w:tr>
        <w:tc>
          <w:tcPr>
            <w:tcW w:type="dxa" w:w="1474"/>
          </w:tcPr>
          <w:p>
            <w:pPr>
              <w:spacing w:before="20" w:after="20" w:line="259" w:lineRule="auto"/>
              <w:ind w:firstLine="0"/>
              <w:jc w:val="left"/>
            </w:pPr>
            <w:r/>
            <w:r>
              <w:rPr>
                <w:rFonts w:ascii="Times New Roman" w:hAnsi="Times New Roman" w:eastAsia="宋体"/>
                <w:b w:val="0"/>
                <w:i w:val="0"/>
                <w:sz w:val="15"/>
              </w:rPr>
              <w:t>认知纪律型</w:t>
              <w:br/>
            </w:r>
            <w:r>
              <w:rPr>
                <w:rFonts w:ascii="Times New Roman" w:hAnsi="Times New Roman" w:eastAsia="宋体"/>
                <w:b w:val="0"/>
                <w:i w:val="0"/>
                <w:sz w:val="15"/>
              </w:rPr>
              <w:t>认知能力最高</w:t>
            </w:r>
          </w:p>
        </w:tc>
        <w:tc>
          <w:tcPr>
            <w:tcW w:type="dxa" w:w="2154"/>
          </w:tcPr>
          <w:p>
            <w:pPr>
              <w:spacing w:before="20" w:after="20" w:line="259" w:lineRule="auto"/>
              <w:ind w:firstLine="0"/>
              <w:jc w:val="left"/>
            </w:pPr>
            <w:r/>
            <w:r>
              <w:rPr>
                <w:rFonts w:ascii="Times New Roman" w:hAnsi="Times New Roman" w:eastAsia="宋体"/>
                <w:b w:val="0"/>
                <w:i w:val="0"/>
                <w:sz w:val="15"/>
              </w:rPr>
              <w:t>东方惠新灵活配置混合C</w:t>
              <w:br/>
            </w:r>
            <w:r>
              <w:rPr>
                <w:rFonts w:ascii="Times New Roman" w:hAnsi="Times New Roman" w:eastAsia="宋体"/>
                <w:b w:val="0"/>
                <w:i w:val="0"/>
                <w:sz w:val="15"/>
              </w:rPr>
              <w:t>严凯｜东方基金</w:t>
            </w:r>
          </w:p>
        </w:tc>
        <w:tc>
          <w:tcPr>
            <w:tcW w:type="dxa" w:w="794"/>
          </w:tcPr>
          <w:p>
            <w:pPr>
              <w:spacing w:before="20" w:after="20" w:line="259" w:lineRule="auto"/>
              <w:ind w:firstLine="0"/>
              <w:jc w:val="center"/>
            </w:pPr>
            <w:r/>
            <w:r>
              <w:rPr>
                <w:rFonts w:ascii="Times New Roman" w:hAnsi="Times New Roman" w:eastAsia="宋体"/>
                <w:b w:val="0"/>
                <w:i w:val="0"/>
                <w:sz w:val="15"/>
              </w:rPr>
              <w:t>34.67</w:t>
            </w:r>
          </w:p>
        </w:tc>
        <w:tc>
          <w:tcPr>
            <w:tcW w:type="dxa" w:w="850"/>
          </w:tcPr>
          <w:p>
            <w:pPr>
              <w:spacing w:before="20" w:after="20" w:line="259" w:lineRule="auto"/>
              <w:ind w:firstLine="0"/>
              <w:jc w:val="center"/>
            </w:pPr>
            <w:r/>
            <w:r>
              <w:rPr>
                <w:rFonts w:ascii="Times New Roman" w:hAnsi="Times New Roman" w:eastAsia="宋体"/>
                <w:b w:val="0"/>
                <w:i w:val="0"/>
                <w:sz w:val="15"/>
              </w:rPr>
              <w:t>3.34%</w:t>
            </w:r>
          </w:p>
        </w:tc>
        <w:tc>
          <w:tcPr>
            <w:tcW w:type="dxa" w:w="1077"/>
          </w:tcPr>
          <w:p>
            <w:pPr>
              <w:spacing w:before="20" w:after="20" w:line="259" w:lineRule="auto"/>
              <w:ind w:firstLine="0"/>
              <w:jc w:val="center"/>
            </w:pPr>
            <w:r/>
            <w:r>
              <w:rPr>
                <w:rFonts w:ascii="Times New Roman" w:hAnsi="Times New Roman" w:eastAsia="宋体"/>
                <w:b w:val="0"/>
                <w:i w:val="0"/>
                <w:sz w:val="15"/>
              </w:rPr>
              <w:t>+0.04</w:t>
              <w:br/>
            </w:r>
            <w:r>
              <w:rPr>
                <w:rFonts w:ascii="Times New Roman" w:hAnsi="Times New Roman" w:eastAsia="宋体"/>
                <w:b w:val="0"/>
                <w:i w:val="0"/>
                <w:sz w:val="15"/>
              </w:rPr>
              <w:t>（67%）</w:t>
            </w:r>
          </w:p>
        </w:tc>
        <w:tc>
          <w:tcPr>
            <w:tcW w:type="dxa" w:w="3288"/>
          </w:tcPr>
          <w:p>
            <w:pPr>
              <w:spacing w:before="20" w:after="20" w:line="259" w:lineRule="auto"/>
              <w:ind w:firstLine="0"/>
              <w:jc w:val="left"/>
            </w:pPr>
            <w:r/>
            <w:r>
              <w:rPr>
                <w:rFonts w:ascii="Times New Roman" w:hAnsi="Times New Roman" w:eastAsia="宋体"/>
                <w:b w:val="0"/>
                <w:i w:val="0"/>
                <w:sz w:val="15"/>
              </w:rPr>
              <w:t>L1 70% ／ L2 100% ／ L3 28% ／ L4a 1% ／ L4b 9% ／ L5 87%</w:t>
            </w:r>
          </w:p>
        </w:tc>
      </w:tr>
      <w:tr>
        <w:tc>
          <w:tcPr>
            <w:tcW w:type="dxa" w:w="1474"/>
          </w:tcPr>
          <w:p>
            <w:pPr>
              <w:spacing w:before="20" w:after="20" w:line="259" w:lineRule="auto"/>
              <w:ind w:firstLine="0"/>
              <w:jc w:val="left"/>
            </w:pPr>
            <w:r/>
            <w:r>
              <w:rPr>
                <w:rFonts w:ascii="Times New Roman" w:hAnsi="Times New Roman" w:eastAsia="宋体"/>
                <w:b w:val="0"/>
                <w:i w:val="0"/>
                <w:sz w:val="15"/>
              </w:rPr>
              <w:t>攻守转换型</w:t>
              <w:br/>
            </w:r>
            <w:r>
              <w:rPr>
                <w:rFonts w:ascii="Times New Roman" w:hAnsi="Times New Roman" w:eastAsia="宋体"/>
                <w:b w:val="0"/>
                <w:i w:val="0"/>
                <w:sz w:val="15"/>
              </w:rPr>
              <w:t>风险应对能力最高</w:t>
            </w:r>
          </w:p>
        </w:tc>
        <w:tc>
          <w:tcPr>
            <w:tcW w:type="dxa" w:w="2154"/>
          </w:tcPr>
          <w:p>
            <w:pPr>
              <w:spacing w:before="20" w:after="20" w:line="259" w:lineRule="auto"/>
              <w:ind w:firstLine="0"/>
              <w:jc w:val="left"/>
            </w:pPr>
            <w:r/>
            <w:r>
              <w:rPr>
                <w:rFonts w:ascii="Times New Roman" w:hAnsi="Times New Roman" w:eastAsia="宋体"/>
                <w:b w:val="0"/>
                <w:i w:val="0"/>
                <w:sz w:val="15"/>
              </w:rPr>
              <w:t>信澳业绩驱动混合C</w:t>
              <w:br/>
            </w:r>
            <w:r>
              <w:rPr>
                <w:rFonts w:ascii="Times New Roman" w:hAnsi="Times New Roman" w:eastAsia="宋体"/>
                <w:b w:val="0"/>
                <w:i w:val="0"/>
                <w:sz w:val="15"/>
              </w:rPr>
              <w:t>童昌希｜信达澳亚基金</w:t>
            </w:r>
          </w:p>
        </w:tc>
        <w:tc>
          <w:tcPr>
            <w:tcW w:type="dxa" w:w="794"/>
          </w:tcPr>
          <w:p>
            <w:pPr>
              <w:spacing w:before="20" w:after="20" w:line="259" w:lineRule="auto"/>
              <w:ind w:firstLine="0"/>
              <w:jc w:val="center"/>
            </w:pPr>
            <w:r/>
            <w:r>
              <w:rPr>
                <w:rFonts w:ascii="Times New Roman" w:hAnsi="Times New Roman" w:eastAsia="宋体"/>
                <w:b w:val="0"/>
                <w:i w:val="0"/>
                <w:sz w:val="15"/>
              </w:rPr>
              <w:t>2.46</w:t>
            </w:r>
          </w:p>
        </w:tc>
        <w:tc>
          <w:tcPr>
            <w:tcW w:type="dxa" w:w="850"/>
          </w:tcPr>
          <w:p>
            <w:pPr>
              <w:spacing w:before="20" w:after="20" w:line="259" w:lineRule="auto"/>
              <w:ind w:firstLine="0"/>
              <w:jc w:val="center"/>
            </w:pPr>
            <w:r/>
            <w:r>
              <w:rPr>
                <w:rFonts w:ascii="Times New Roman" w:hAnsi="Times New Roman" w:eastAsia="宋体"/>
                <w:b w:val="0"/>
                <w:i w:val="0"/>
                <w:sz w:val="15"/>
              </w:rPr>
              <w:t>6.67%</w:t>
            </w:r>
          </w:p>
        </w:tc>
        <w:tc>
          <w:tcPr>
            <w:tcW w:type="dxa" w:w="1077"/>
          </w:tcPr>
          <w:p>
            <w:pPr>
              <w:spacing w:before="20" w:after="20" w:line="259" w:lineRule="auto"/>
              <w:ind w:firstLine="0"/>
              <w:jc w:val="center"/>
            </w:pPr>
            <w:r/>
            <w:r>
              <w:rPr>
                <w:rFonts w:ascii="Times New Roman" w:hAnsi="Times New Roman" w:eastAsia="宋体"/>
                <w:b w:val="0"/>
                <w:i w:val="0"/>
                <w:sz w:val="15"/>
              </w:rPr>
              <w:t>+0.19</w:t>
              <w:br/>
            </w:r>
            <w:r>
              <w:rPr>
                <w:rFonts w:ascii="Times New Roman" w:hAnsi="Times New Roman" w:eastAsia="宋体"/>
                <w:b w:val="0"/>
                <w:i w:val="0"/>
                <w:sz w:val="15"/>
              </w:rPr>
              <w:t>（80%）</w:t>
            </w:r>
          </w:p>
        </w:tc>
        <w:tc>
          <w:tcPr>
            <w:tcW w:type="dxa" w:w="3288"/>
          </w:tcPr>
          <w:p>
            <w:pPr>
              <w:spacing w:before="20" w:after="20" w:line="259" w:lineRule="auto"/>
              <w:ind w:firstLine="0"/>
              <w:jc w:val="left"/>
            </w:pPr>
            <w:r/>
            <w:r>
              <w:rPr>
                <w:rFonts w:ascii="Times New Roman" w:hAnsi="Times New Roman" w:eastAsia="宋体"/>
                <w:b w:val="0"/>
                <w:i w:val="0"/>
                <w:sz w:val="15"/>
              </w:rPr>
              <w:t>L1 85% ／ L2 68% ／ L3 66% ／ L4a 99% ／ L4b 1% ／ L5 69%</w:t>
            </w:r>
          </w:p>
        </w:tc>
      </w:tr>
      <w:tr>
        <w:tc>
          <w:tcPr>
            <w:tcW w:type="dxa" w:w="1474"/>
          </w:tcPr>
          <w:p>
            <w:pPr>
              <w:spacing w:before="20" w:after="20" w:line="259" w:lineRule="auto"/>
              <w:ind w:firstLine="0"/>
              <w:jc w:val="left"/>
            </w:pPr>
            <w:r/>
            <w:r>
              <w:rPr>
                <w:rFonts w:ascii="Times New Roman" w:hAnsi="Times New Roman" w:eastAsia="宋体"/>
                <w:b w:val="0"/>
                <w:i w:val="0"/>
                <w:sz w:val="15"/>
              </w:rPr>
              <w:t>基本面优势型</w:t>
              <w:br/>
            </w:r>
            <w:r>
              <w:rPr>
                <w:rFonts w:ascii="Times New Roman" w:hAnsi="Times New Roman" w:eastAsia="宋体"/>
                <w:b w:val="0"/>
                <w:i w:val="0"/>
                <w:sz w:val="15"/>
              </w:rPr>
              <w:t>基本面优势最高</w:t>
            </w:r>
          </w:p>
        </w:tc>
        <w:tc>
          <w:tcPr>
            <w:tcW w:type="dxa" w:w="2154"/>
          </w:tcPr>
          <w:p>
            <w:pPr>
              <w:spacing w:before="20" w:after="20" w:line="259" w:lineRule="auto"/>
              <w:ind w:firstLine="0"/>
              <w:jc w:val="left"/>
            </w:pPr>
            <w:r/>
            <w:r>
              <w:rPr>
                <w:rFonts w:ascii="Times New Roman" w:hAnsi="Times New Roman" w:eastAsia="宋体"/>
                <w:b w:val="0"/>
                <w:i w:val="0"/>
                <w:sz w:val="15"/>
              </w:rPr>
              <w:t>诺德兴新趋势混合A</w:t>
              <w:br/>
            </w:r>
            <w:r>
              <w:rPr>
                <w:rFonts w:ascii="Times New Roman" w:hAnsi="Times New Roman" w:eastAsia="宋体"/>
                <w:b w:val="0"/>
                <w:i w:val="0"/>
                <w:sz w:val="15"/>
              </w:rPr>
              <w:t>Yi Xie、周建胜｜诺德基金</w:t>
            </w:r>
          </w:p>
        </w:tc>
        <w:tc>
          <w:tcPr>
            <w:tcW w:type="dxa" w:w="794"/>
          </w:tcPr>
          <w:p>
            <w:pPr>
              <w:spacing w:before="20" w:after="20" w:line="259" w:lineRule="auto"/>
              <w:ind w:firstLine="0"/>
              <w:jc w:val="center"/>
            </w:pPr>
            <w:r/>
            <w:r>
              <w:rPr>
                <w:rFonts w:ascii="Times New Roman" w:hAnsi="Times New Roman" w:eastAsia="宋体"/>
                <w:b w:val="0"/>
                <w:i w:val="0"/>
                <w:sz w:val="15"/>
              </w:rPr>
              <w:t>2.32</w:t>
            </w:r>
          </w:p>
        </w:tc>
        <w:tc>
          <w:tcPr>
            <w:tcW w:type="dxa" w:w="850"/>
          </w:tcPr>
          <w:p>
            <w:pPr>
              <w:spacing w:before="20" w:after="20" w:line="259" w:lineRule="auto"/>
              <w:ind w:firstLine="0"/>
              <w:jc w:val="center"/>
            </w:pPr>
            <w:r/>
            <w:r>
              <w:rPr>
                <w:rFonts w:ascii="Times New Roman" w:hAnsi="Times New Roman" w:eastAsia="宋体"/>
                <w:b w:val="0"/>
                <w:i w:val="0"/>
                <w:sz w:val="15"/>
              </w:rPr>
              <w:t>-0.83%</w:t>
            </w:r>
          </w:p>
        </w:tc>
        <w:tc>
          <w:tcPr>
            <w:tcW w:type="dxa" w:w="1077"/>
          </w:tcPr>
          <w:p>
            <w:pPr>
              <w:spacing w:before="20" w:after="20" w:line="259" w:lineRule="auto"/>
              <w:ind w:firstLine="0"/>
              <w:jc w:val="center"/>
            </w:pPr>
            <w:r/>
            <w:r>
              <w:rPr>
                <w:rFonts w:ascii="Times New Roman" w:hAnsi="Times New Roman" w:eastAsia="宋体"/>
                <w:b w:val="0"/>
                <w:i w:val="0"/>
                <w:sz w:val="15"/>
              </w:rPr>
              <w:t>-0.15</w:t>
              <w:br/>
            </w:r>
            <w:r>
              <w:rPr>
                <w:rFonts w:ascii="Times New Roman" w:hAnsi="Times New Roman" w:eastAsia="宋体"/>
                <w:b w:val="0"/>
                <w:i w:val="0"/>
                <w:sz w:val="15"/>
              </w:rPr>
              <w:t>（50%）</w:t>
            </w:r>
          </w:p>
        </w:tc>
        <w:tc>
          <w:tcPr>
            <w:tcW w:type="dxa" w:w="3288"/>
          </w:tcPr>
          <w:p>
            <w:pPr>
              <w:spacing w:before="20" w:after="20" w:line="259" w:lineRule="auto"/>
              <w:ind w:firstLine="0"/>
              <w:jc w:val="left"/>
            </w:pPr>
            <w:r/>
            <w:r>
              <w:rPr>
                <w:rFonts w:ascii="Times New Roman" w:hAnsi="Times New Roman" w:eastAsia="宋体"/>
                <w:b w:val="0"/>
                <w:i w:val="0"/>
                <w:sz w:val="15"/>
              </w:rPr>
              <w:t>L1 100% ／ L2 1% ／ L3 20% ／ L4a 96% ／ L4b 2% ／ L5 59%</w:t>
            </w:r>
          </w:p>
        </w:tc>
      </w:tr>
      <w:tr>
        <w:tc>
          <w:tcPr>
            <w:tcW w:type="dxa" w:w="1474"/>
          </w:tcPr>
          <w:p>
            <w:pPr>
              <w:spacing w:before="20" w:after="20" w:line="259" w:lineRule="auto"/>
              <w:ind w:firstLine="0"/>
              <w:jc w:val="left"/>
            </w:pPr>
            <w:r/>
            <w:r>
              <w:rPr>
                <w:rFonts w:ascii="Times New Roman" w:hAnsi="Times New Roman" w:eastAsia="宋体"/>
                <w:b w:val="0"/>
                <w:i w:val="0"/>
                <w:sz w:val="15"/>
              </w:rPr>
              <w:t>反例</w:t>
              <w:br/>
            </w:r>
            <w:r>
              <w:rPr>
                <w:rFonts w:ascii="Times New Roman" w:hAnsi="Times New Roman" w:eastAsia="宋体"/>
                <w:b w:val="0"/>
                <w:i w:val="0"/>
                <w:sz w:val="15"/>
              </w:rPr>
              <w:t>综合能力最低</w:t>
            </w:r>
          </w:p>
        </w:tc>
        <w:tc>
          <w:tcPr>
            <w:tcW w:type="dxa" w:w="2154"/>
          </w:tcPr>
          <w:p>
            <w:pPr>
              <w:spacing w:before="20" w:after="20" w:line="259" w:lineRule="auto"/>
              <w:ind w:firstLine="0"/>
              <w:jc w:val="left"/>
            </w:pPr>
            <w:r/>
            <w:r>
              <w:rPr>
                <w:rFonts w:ascii="Times New Roman" w:hAnsi="Times New Roman" w:eastAsia="宋体"/>
                <w:b w:val="0"/>
                <w:i w:val="0"/>
                <w:sz w:val="15"/>
              </w:rPr>
              <w:t>华安策略优选混合A</w:t>
              <w:br/>
            </w:r>
            <w:r>
              <w:rPr>
                <w:rFonts w:ascii="Times New Roman" w:hAnsi="Times New Roman" w:eastAsia="宋体"/>
                <w:b w:val="0"/>
                <w:i w:val="0"/>
                <w:sz w:val="15"/>
              </w:rPr>
              <w:t>杨明｜华安基金</w:t>
            </w:r>
          </w:p>
        </w:tc>
        <w:tc>
          <w:tcPr>
            <w:tcW w:type="dxa" w:w="794"/>
          </w:tcPr>
          <w:p>
            <w:pPr>
              <w:spacing w:before="20" w:after="20" w:line="259" w:lineRule="auto"/>
              <w:ind w:firstLine="0"/>
              <w:jc w:val="center"/>
            </w:pPr>
            <w:r/>
            <w:r>
              <w:rPr>
                <w:rFonts w:ascii="Times New Roman" w:hAnsi="Times New Roman" w:eastAsia="宋体"/>
                <w:b w:val="0"/>
                <w:i w:val="0"/>
                <w:sz w:val="15"/>
              </w:rPr>
              <w:t>5.00</w:t>
            </w:r>
          </w:p>
        </w:tc>
        <w:tc>
          <w:tcPr>
            <w:tcW w:type="dxa" w:w="850"/>
          </w:tcPr>
          <w:p>
            <w:pPr>
              <w:spacing w:before="20" w:after="20" w:line="259" w:lineRule="auto"/>
              <w:ind w:firstLine="0"/>
              <w:jc w:val="center"/>
            </w:pPr>
            <w:r/>
            <w:r>
              <w:rPr>
                <w:rFonts w:ascii="Times New Roman" w:hAnsi="Times New Roman" w:eastAsia="宋体"/>
                <w:b w:val="0"/>
                <w:i w:val="0"/>
                <w:sz w:val="15"/>
              </w:rPr>
              <w:t>-0.36%</w:t>
            </w:r>
          </w:p>
        </w:tc>
        <w:tc>
          <w:tcPr>
            <w:tcW w:type="dxa" w:w="1077"/>
          </w:tcPr>
          <w:p>
            <w:pPr>
              <w:spacing w:before="20" w:after="20" w:line="259" w:lineRule="auto"/>
              <w:ind w:firstLine="0"/>
              <w:jc w:val="center"/>
            </w:pPr>
            <w:r/>
            <w:r>
              <w:rPr>
                <w:rFonts w:ascii="Times New Roman" w:hAnsi="Times New Roman" w:eastAsia="宋体"/>
                <w:b w:val="0"/>
                <w:i w:val="0"/>
                <w:sz w:val="15"/>
              </w:rPr>
              <w:t>-0.91</w:t>
              <w:br/>
            </w:r>
            <w:r>
              <w:rPr>
                <w:rFonts w:ascii="Times New Roman" w:hAnsi="Times New Roman" w:eastAsia="宋体"/>
                <w:b w:val="0"/>
                <w:i w:val="0"/>
                <w:sz w:val="15"/>
              </w:rPr>
              <w:t>（0%）</w:t>
            </w:r>
          </w:p>
        </w:tc>
        <w:tc>
          <w:tcPr>
            <w:tcW w:type="dxa" w:w="3288"/>
          </w:tcPr>
          <w:p>
            <w:pPr>
              <w:spacing w:before="20" w:after="20" w:line="259" w:lineRule="auto"/>
              <w:ind w:firstLine="0"/>
              <w:jc w:val="left"/>
            </w:pPr>
            <w:r/>
            <w:r>
              <w:rPr>
                <w:rFonts w:ascii="Times New Roman" w:hAnsi="Times New Roman" w:eastAsia="宋体"/>
                <w:b w:val="0"/>
                <w:i w:val="0"/>
                <w:sz w:val="15"/>
              </w:rPr>
              <w:t>L1 1% ／ L2 76% ／ L3 3% ／ L4a 10% ／ L4b 20% ／ L5 12%</w:t>
            </w:r>
          </w:p>
        </w:tc>
      </w:tr>
    </w:tbl>
    <w:p>
      <w:pPr>
        <w:spacing w:before="60" w:after="200"/>
      </w:pPr>
      <w:r>
        <w:rPr>
          <w:rFonts w:ascii="Times New Roman" w:hAnsi="Times New Roman" w:eastAsia="宋体"/>
          <w:b w:val="0"/>
          <w:i w:val="0"/>
          <w:sz w:val="17"/>
        </w:rPr>
        <w:t>注：分位为该经理在全样本 400 只基金中的百分位，越接近 100% 越强。L4a 为过程应对职能、L4b 为转化效率职能，同属 L4 风险应对层。</w:t>
      </w:r>
    </w:p>
    <w:p>
      <w:pPr>
        <w:spacing w:after="120" w:line="312" w:lineRule="auto"/>
        <w:ind w:firstLine="420"/>
      </w:pPr>
      <w:r>
        <w:rPr>
          <w:rFonts w:ascii="Times New Roman" w:hAnsi="Times New Roman" w:eastAsia="宋体"/>
          <w:b w:val="0"/>
          <w:i w:val="0"/>
          <w:sz w:val="21"/>
        </w:rPr>
        <w:t>五正向案例与反例给出两条读法。</w:t>
      </w:r>
      <w:r>
        <w:rPr>
          <w:rFonts w:ascii="Times New Roman" w:hAnsi="Times New Roman" w:eastAsia="宋体"/>
          <w:b/>
          <w:i w:val="0"/>
          <w:sz w:val="21"/>
        </w:rPr>
        <w:t>其一，单一维度极端不必然带来高综合业绩</w:t>
      </w:r>
      <w:r>
        <w:rPr>
          <w:rFonts w:ascii="Times New Roman" w:hAnsi="Times New Roman" w:eastAsia="宋体"/>
          <w:b w:val="0"/>
          <w:i w:val="0"/>
          <w:sz w:val="21"/>
        </w:rPr>
        <w:t>——认知纪律型（东方惠新）L2 分位 100% 而 L4a 仅 1%；攻守转换型（信澳业绩驱动）L4a 分位 99% 而 L4b 仅 1%；基本面优势型（诺德兴新趋势）L1 分位 100% 但 alpha 为负——年轻与小规模是业绩的边界条件，不是能力本身。其二，</w:t>
      </w:r>
      <w:r>
        <w:rPr>
          <w:rFonts w:ascii="Times New Roman" w:hAnsi="Times New Roman" w:eastAsia="宋体"/>
          <w:b/>
          <w:i w:val="0"/>
          <w:sz w:val="21"/>
        </w:rPr>
        <w:t>全能型与风险定价型的共同点是至少三维同处高分位</w:t>
      </w:r>
      <w:r>
        <w:rPr>
          <w:rFonts w:ascii="Times New Roman" w:hAnsi="Times New Roman" w:eastAsia="宋体"/>
          <w:b w:val="0"/>
          <w:i w:val="0"/>
          <w:sz w:val="21"/>
        </w:rPr>
        <w:t>，反例（华安策略优选）各维度全面低分位。案例为各维度极值切面、不宜外推：全样本离散度与 alpha 相关仅 −0.043（控综合能力后 −0.059），按离散度五等分的 alpha 亦非单调；单点分位与 alpha 相关 +0.471。“单点突出伴随综合业绩平平”应理解为挑选机制的产物，图 3 的雷达图并列呈现六种形态。</w:t>
      </w:r>
    </w:p>
    <w:p>
      <w:pPr>
        <w:spacing w:before="120" w:after="40"/>
        <w:jc w:val="center"/>
      </w:pPr>
      <w:r>
        <w:drawing>
          <wp:inline xmlns:a="http://schemas.openxmlformats.org/drawingml/2006/main" xmlns:pic="http://schemas.openxmlformats.org/drawingml/2006/picture">
            <wp:extent cx="5616000" cy="3974400"/>
            <wp:docPr id="3" name="Picture 3"/>
            <wp:cNvGraphicFramePr>
              <a:graphicFrameLocks noChangeAspect="1"/>
            </wp:cNvGraphicFramePr>
            <a:graphic>
              <a:graphicData uri="http://schemas.openxmlformats.org/drawingml/2006/picture">
                <pic:pic>
                  <pic:nvPicPr>
                    <pic:cNvPr id="0" name="论文图3_典型经理雷达图.png"/>
                    <pic:cNvPicPr/>
                  </pic:nvPicPr>
                  <pic:blipFill>
                    <a:blip r:embed="rId12"/>
                    <a:stretch>
                      <a:fillRect/>
                    </a:stretch>
                  </pic:blipFill>
                  <pic:spPr>
                    <a:xfrm>
                      <a:off x="0" y="0"/>
                      <a:ext cx="5616000" cy="3974400"/>
                    </a:xfrm>
                    <a:prstGeom prst="rect"/>
                  </pic:spPr>
                </pic:pic>
              </a:graphicData>
            </a:graphic>
          </wp:inline>
        </w:drawing>
      </w:r>
    </w:p>
    <w:p>
      <w:pPr>
        <w:spacing w:after="200"/>
        <w:jc w:val="center"/>
      </w:pPr>
      <w:r>
        <w:rPr>
          <w:rFonts w:ascii="Times New Roman" w:hAnsi="Times New Roman" w:eastAsia="黑体"/>
          <w:b/>
          <w:i w:val="0"/>
          <w:sz w:val="18"/>
        </w:rPr>
        <w:t>图 3  五名典型投资经理 + 反例（华安策略优选·杨明）的六维能力雷达图（数值为全样本百分位）</w:t>
      </w:r>
    </w:p>
    <w:p>
      <w:pPr>
        <w:spacing w:before="240" w:after="120"/>
      </w:pPr>
      <w:r>
        <w:rPr>
          <w:rFonts w:ascii="Times New Roman" w:hAnsi="Times New Roman" w:eastAsia="黑体"/>
          <w:b/>
          <w:i w:val="0"/>
          <w:sz w:val="28"/>
        </w:rPr>
        <w:t>5  结论</w:t>
      </w:r>
    </w:p>
    <w:p>
      <w:pPr>
        <w:spacing w:after="120" w:line="312" w:lineRule="auto"/>
        <w:ind w:firstLine="420"/>
      </w:pPr>
      <w:r>
        <w:rPr>
          <w:rFonts w:ascii="Times New Roman" w:hAnsi="Times New Roman" w:eastAsia="宋体"/>
          <w:b w:val="0"/>
          <w:i w:val="0"/>
          <w:sz w:val="21"/>
        </w:rPr>
        <w:t>本文以 400 只中国主动权益基金、80 个季度为样本，检验 L1–L5 五层行为框架下 15 个成分指标对 FF5 超额收益的预测力，并按层等权复合为六个计分维度刻画投资经理画像。主要结论有四。</w:t>
      </w:r>
    </w:p>
    <w:p>
      <w:pPr>
        <w:spacing w:after="120" w:line="312" w:lineRule="auto"/>
        <w:ind w:firstLine="420"/>
      </w:pPr>
      <w:r>
        <w:rPr>
          <w:rFonts w:ascii="Times New Roman" w:hAnsi="Times New Roman" w:eastAsia="宋体"/>
          <w:b w:val="0"/>
          <w:i w:val="0"/>
          <w:sz w:val="21"/>
        </w:rPr>
        <w:t>第一，</w:t>
      </w:r>
      <w:r>
        <w:rPr>
          <w:rFonts w:ascii="Times New Roman" w:hAnsi="Times New Roman" w:eastAsia="宋体"/>
          <w:b/>
          <w:i w:val="0"/>
          <w:sz w:val="21"/>
        </w:rPr>
        <w:t>行为可以被观测，而且与业绩相关</w:t>
      </w:r>
      <w:r>
        <w:rPr>
          <w:rFonts w:ascii="Times New Roman" w:hAnsi="Times New Roman" w:eastAsia="宋体"/>
          <w:b w:val="0"/>
          <w:i w:val="0"/>
          <w:sz w:val="21"/>
        </w:rPr>
        <w:t>。认知层（风险偏好不对称性、处置效应、过度自信）、选择层（行业集中度、行业风格漂移）与风险应对层的两个职能（调仓幅度与下行保护；抗操纵测度、Sortino、Sharpe）共四个行为维度显著解释 alpha。其中转化效率的联立系数最大，但须交代一项限定：该职能的测度本身是风险调整后业绩指标，与因变量共享概念内核，其 0.180 的增量 R²（绝对增量，占全模型 R² 的 39.4%）有一部分来自定义同源；支撑其有效性的主要证据是样本外单维检验（前半期指标预测后半期 alpha，t=+5.38；该值与表 4 中 sortino8 规格II 的 t=+5.38 数值相同纯属巧合，前者为跨期的复合维度、后者为同期的单一成分，引用时须区分）。因此更准确的说法是：</w:t>
      </w:r>
      <w:r>
        <w:rPr>
          <w:rFonts w:ascii="Times New Roman" w:hAnsi="Times New Roman" w:eastAsia="宋体"/>
          <w:b/>
          <w:i w:val="0"/>
          <w:sz w:val="21"/>
        </w:rPr>
        <w:t>风险使用效率具有持续性</w:t>
      </w:r>
      <w:r>
        <w:rPr>
          <w:rFonts w:ascii="Times New Roman" w:hAnsi="Times New Roman" w:eastAsia="宋体"/>
          <w:b w:val="0"/>
          <w:i w:val="0"/>
          <w:sz w:val="21"/>
        </w:rPr>
        <w:t>。</w:t>
      </w:r>
    </w:p>
    <w:p>
      <w:pPr>
        <w:spacing w:after="120" w:line="312" w:lineRule="auto"/>
        <w:ind w:firstLine="420"/>
      </w:pPr>
      <w:r>
        <w:rPr>
          <w:rFonts w:ascii="Times New Roman" w:hAnsi="Times New Roman" w:eastAsia="宋体"/>
          <w:b w:val="0"/>
          <w:i w:val="0"/>
          <w:sz w:val="21"/>
        </w:rPr>
        <w:t>第二，</w:t>
      </w:r>
      <w:r>
        <w:rPr>
          <w:rFonts w:ascii="Times New Roman" w:hAnsi="Times New Roman" w:eastAsia="宋体"/>
          <w:b/>
          <w:i w:val="0"/>
          <w:sz w:val="21"/>
        </w:rPr>
        <w:t>L1 基本面优势是边界条件而非能力</w:t>
      </w:r>
      <w:r>
        <w:rPr>
          <w:rFonts w:ascii="Times New Roman" w:hAnsi="Times New Roman" w:eastAsia="宋体"/>
          <w:b w:val="0"/>
          <w:i w:val="0"/>
          <w:sz w:val="21"/>
        </w:rPr>
        <w:t>。它单维显著、同期联立不显著（t=-0.17），样本外联立却转为显著为正（t=+2.71）——年轻、小规模的前期状态确实预示后期更高的 alpha，只是同期截面上信息已被行为维度完整吸收。典型个案佐证：基本面优势分位 100% 的经理 alpha 为负。与之呼应的是行为优于标签：高能力组规模更小、学历与 CFA 占比更低。须说明的是，L1 虽更宜理解为边界条件，因其在样本外检验中显著为正，仍保留在综合得分之内，但在解读时应与四个行为维度相区分。</w:t>
      </w:r>
    </w:p>
    <w:p>
      <w:pPr>
        <w:spacing w:after="120" w:line="312" w:lineRule="auto"/>
        <w:ind w:firstLine="420"/>
      </w:pPr>
      <w:r>
        <w:rPr>
          <w:rFonts w:ascii="Times New Roman" w:hAnsi="Times New Roman" w:eastAsia="宋体"/>
          <w:b w:val="0"/>
          <w:i w:val="0"/>
          <w:sz w:val="21"/>
        </w:rPr>
        <w:t>第三，</w:t>
      </w:r>
      <w:r>
        <w:rPr>
          <w:rFonts w:ascii="Times New Roman" w:hAnsi="Times New Roman" w:eastAsia="宋体"/>
          <w:b/>
          <w:i w:val="0"/>
          <w:sz w:val="21"/>
        </w:rPr>
        <w:t>指标筛选须以稳健性为门槛</w:t>
      </w:r>
      <w:r>
        <w:rPr>
          <w:rFonts w:ascii="Times New Roman" w:hAnsi="Times New Roman" w:eastAsia="宋体"/>
          <w:b w:val="0"/>
          <w:i w:val="0"/>
          <w:sz w:val="21"/>
        </w:rPr>
        <w:t>。改进主动份额在六道检验中符号翻转，换手率、追涨杀跌、风险稳定性与收益波动率因双口径不显著、覆盖率不足、与既有指标严重重合或本质是风险暴露而被剔除。裁决原则：符号在口径间翻转、显著性依赖控制变量、群体差异不显著，三条中任一成立即不入画像。</w:t>
      </w:r>
    </w:p>
    <w:p>
      <w:pPr>
        <w:spacing w:after="120" w:line="312" w:lineRule="auto"/>
        <w:ind w:firstLine="420"/>
      </w:pPr>
      <w:r>
        <w:rPr>
          <w:rFonts w:ascii="Times New Roman" w:hAnsi="Times New Roman" w:eastAsia="宋体"/>
          <w:b w:val="0"/>
          <w:i w:val="0"/>
          <w:sz w:val="21"/>
        </w:rPr>
        <w:t>第四，</w:t>
      </w:r>
      <w:r>
        <w:rPr>
          <w:rFonts w:ascii="Times New Roman" w:hAnsi="Times New Roman" w:eastAsia="宋体"/>
          <w:b/>
          <w:i w:val="0"/>
          <w:sz w:val="21"/>
        </w:rPr>
        <w:t>能力得分可用于筛选与自检</w:t>
      </w:r>
      <w:r>
        <w:rPr>
          <w:rFonts w:ascii="Times New Roman" w:hAnsi="Times New Roman" w:eastAsia="宋体"/>
          <w:b w:val="0"/>
          <w:i w:val="0"/>
          <w:sz w:val="21"/>
        </w:rPr>
        <w:t>。按综合能力五等分，FF5 alpha 由 Q1 的 0.64% 严格单调升至 Q5 的 3.77%，Q5−Q1 每季度 3.13 个百分点（t=10.28）。分解：L4b 与因变量同源（仅 L4b 五等分差 2.92 pp t=9.24，占全六维 93%）；剔 L4b 后2.53 pp（t=7.53）；行为三维 2.60 pp（t=8.43）。单指标中区分度最高的不是选股类而是下行保护系数——市场下跌时是否主动收缩暴露。</w:t>
      </w:r>
    </w:p>
    <w:p>
      <w:pPr>
        <w:spacing w:after="120" w:line="312" w:lineRule="auto"/>
        <w:ind w:firstLine="420"/>
      </w:pPr>
      <w:r>
        <w:rPr>
          <w:rFonts w:ascii="Times New Roman" w:hAnsi="Times New Roman" w:eastAsia="宋体"/>
          <w:b/>
          <w:i w:val="0"/>
          <w:sz w:val="21"/>
        </w:rPr>
        <w:t>外部效度</w:t>
      </w:r>
      <w:r>
        <w:rPr>
          <w:rFonts w:ascii="Times New Roman" w:hAnsi="Times New Roman" w:eastAsia="宋体"/>
          <w:b w:val="0"/>
          <w:i w:val="0"/>
          <w:sz w:val="21"/>
        </w:rPr>
        <w:t>。另以 33 只论文样本外基金（绩优 18 / 绩差 15），按近 3 年收益分组的已知群体效度检验做佐证：L3 ISDI 绩优 0.26 vs 绩差 0.43（t=-4.51***，ρ=-0.614）是最稳健外部支持；L4a timing ρ=0.130 n.s.、</w:t>
      </w:r>
      <w:r>
        <w:rPr>
          <w:rFonts w:ascii="Times New Roman" w:hAnsi="Times New Roman" w:eastAsia="宋体"/>
          <w:b/>
          <w:i w:val="0"/>
          <w:sz w:val="21"/>
        </w:rPr>
        <w:t>是负面证据</w:t>
      </w:r>
      <w:r>
        <w:rPr>
          <w:rFonts w:ascii="Times New Roman" w:hAnsi="Times New Roman" w:eastAsia="宋体"/>
          <w:b w:val="0"/>
          <w:i w:val="0"/>
          <w:sz w:val="21"/>
        </w:rPr>
        <w:t>。</w:t>
      </w:r>
    </w:p>
    <w:p>
      <w:pPr>
        <w:spacing w:after="120" w:line="312" w:lineRule="auto"/>
        <w:ind w:firstLine="420"/>
      </w:pPr>
      <w:r>
        <w:rPr>
          <w:rFonts w:ascii="Times New Roman" w:hAnsi="Times New Roman" w:eastAsia="宋体"/>
          <w:b/>
          <w:i w:val="0"/>
          <w:sz w:val="21"/>
        </w:rPr>
        <w:t>运气vs实力</w:t>
      </w:r>
      <w:r>
        <w:rPr>
          <w:rFonts w:ascii="Times New Roman" w:hAnsi="Times New Roman" w:eastAsia="宋体"/>
          <w:b w:val="0"/>
          <w:i w:val="0"/>
          <w:sz w:val="21"/>
        </w:rPr>
        <w:t>。Q5−Q1 95% CI = [2.53pp, 3.83pp]，1000 次 Bootstrap 均正，</w:t>
      </w:r>
      <w:r>
        <w:rPr>
          <w:rFonts w:ascii="Times New Roman" w:hAnsi="Times New Roman" w:eastAsia="宋体"/>
          <w:b/>
          <w:i w:val="0"/>
          <w:sz w:val="21"/>
        </w:rPr>
        <w:t>不可被运气解释</w:t>
      </w:r>
      <w:r>
        <w:rPr>
          <w:rFonts w:ascii="Times New Roman" w:hAnsi="Times New Roman" w:eastAsia="宋体"/>
          <w:b w:val="0"/>
          <w:i w:val="0"/>
          <w:sz w:val="21"/>
        </w:rPr>
        <w:t>。</w:t>
      </w:r>
    </w:p>
    <w:p>
      <w:pPr>
        <w:spacing w:after="120" w:line="312" w:lineRule="auto"/>
        <w:ind w:firstLine="420"/>
      </w:pPr>
      <w:r>
        <w:rPr>
          <w:rFonts w:ascii="Times New Roman" w:hAnsi="Times New Roman" w:eastAsia="宋体"/>
          <w:b/>
          <w:i w:val="0"/>
          <w:sz w:val="21"/>
        </w:rPr>
        <w:t>α分解</w:t>
      </w:r>
      <w:r>
        <w:rPr>
          <w:rFonts w:ascii="Times New Roman" w:hAnsi="Times New Roman" w:eastAsia="宋体"/>
          <w:b w:val="0"/>
          <w:i w:val="0"/>
          <w:sz w:val="21"/>
        </w:rPr>
        <w:t>。RA/DE 对选股α 预测力显著（截面t=+5.12/-3.03，前向RA t=+3.30），择时全 n.s.；</w:t>
      </w:r>
      <w:r>
        <w:rPr>
          <w:rFonts w:ascii="Times New Roman" w:hAnsi="Times New Roman" w:eastAsia="宋体"/>
          <w:b/>
          <w:i w:val="0"/>
          <w:sz w:val="21"/>
        </w:rPr>
        <w:t>认知层预测力来自选股</w:t>
      </w:r>
      <w:r>
        <w:rPr>
          <w:rFonts w:ascii="Times New Roman" w:hAnsi="Times New Roman" w:eastAsia="宋体"/>
          <w:b w:val="0"/>
          <w:i w:val="0"/>
          <w:sz w:val="21"/>
        </w:rPr>
        <w:t>。</w:t>
        <w:br/>
      </w:r>
    </w:p>
    <w:p>
      <w:pPr>
        <w:spacing w:after="120" w:line="312" w:lineRule="auto"/>
        <w:ind w:firstLine="420"/>
      </w:pPr>
      <w:r>
        <w:rPr>
          <w:rFonts w:ascii="Times New Roman" w:hAnsi="Times New Roman" w:eastAsia="宋体"/>
          <w:b/>
          <w:i w:val="0"/>
          <w:sz w:val="21"/>
        </w:rPr>
        <w:t>异质性</w:t>
      </w:r>
      <w:r>
        <w:rPr>
          <w:rFonts w:ascii="Times New Roman" w:hAnsi="Times New Roman" w:eastAsia="宋体"/>
          <w:b w:val="0"/>
          <w:i w:val="0"/>
          <w:sz w:val="21"/>
        </w:rPr>
        <w:t>。按规模 3 等分：小 n=121 Q5−Q1=+4.12pp(t=+7.43)，中 n=120 +2.72pp(t=+5.95)，大 n=121 +3.19pp(t=+8.28)，均显著为正；</w:t>
      </w:r>
      <w:r>
        <w:rPr>
          <w:rFonts w:ascii="Times New Roman" w:hAnsi="Times New Roman" w:eastAsia="宋体"/>
          <w:b/>
          <w:i w:val="0"/>
          <w:sz w:val="21"/>
        </w:rPr>
        <w:t>小盘最大</w:t>
      </w:r>
      <w:r>
        <w:rPr>
          <w:rFonts w:ascii="Times New Roman" w:hAnsi="Times New Roman" w:eastAsia="宋体"/>
          <w:b w:val="0"/>
          <w:i w:val="0"/>
          <w:sz w:val="21"/>
        </w:rPr>
        <w:t>。</w:t>
      </w:r>
    </w:p>
    <w:p>
      <w:pPr>
        <w:spacing w:after="120" w:line="312" w:lineRule="auto"/>
        <w:ind w:firstLine="420"/>
      </w:pPr>
      <w:r>
        <w:rPr>
          <w:rFonts w:ascii="Times New Roman" w:hAnsi="Times New Roman" w:eastAsia="宋体"/>
          <w:b w:val="0"/>
          <w:i w:val="0"/>
          <w:sz w:val="21"/>
        </w:rPr>
        <w:t>局限有五。数据层面三项：处置效应依赖半年度持仓快照（观测层覆盖 46.6%、基金层 99.8%）；严格双边换手率仅覆盖 200 只，主口径改用 Wind 集成换手率（基金层 98.5%）；交易趋同度以持仓变动方向代理真实买卖方向；策略偏离指数（SDI）在基金层有 45.4% 的基金时序均值为 0，对这部分基金不具区分度；且样本仅含存续基金，存在幸存者偏差。方法层面两项：风险应对层两职能与因变量均存在概念同源（复合维度与 alpha 相关 0.446、0.448，过程应对的 timing 亦由收益序列估计），性质均弱于纯行为维度；六维等权使 L4 层实得 2/6≈33.3% 权重而其余四层各 1/6，该加权选择经稳健性检验不改变排序结论（按层加权综合得分 Spearman 相关 0.9917），但仍需读者知晓。</w:t>
      </w:r>
    </w:p>
    <w:p>
      <w:pPr>
        <w:spacing w:before="240" w:after="120"/>
      </w:pPr>
      <w:r>
        <w:rPr>
          <w:rFonts w:ascii="Times New Roman" w:hAnsi="Times New Roman" w:eastAsia="黑体"/>
          <w:b/>
          <w:i w:val="0"/>
          <w:sz w:val="28"/>
        </w:rPr>
        <w:t>参考文献</w:t>
      </w:r>
    </w:p>
    <w:p>
      <w:pPr>
        <w:spacing w:after="40" w:line="276" w:lineRule="auto"/>
      </w:pPr>
      <w:r>
        <w:rPr>
          <w:rFonts w:ascii="Times New Roman" w:hAnsi="Times New Roman" w:eastAsia="宋体"/>
          <w:b w:val="0"/>
          <w:i w:val="0"/>
          <w:sz w:val="18"/>
        </w:rPr>
        <w:t>[1] KAHNEMAN D, TVERSKY A. Prospect theory: an analysis of decision under risk[J]. Econometrica, 1979, 47(2): 263-292.</w:t>
      </w:r>
    </w:p>
    <w:p>
      <w:pPr>
        <w:spacing w:after="40" w:line="276" w:lineRule="auto"/>
      </w:pPr>
      <w:r>
        <w:rPr>
          <w:rFonts w:ascii="Times New Roman" w:hAnsi="Times New Roman" w:eastAsia="宋体"/>
          <w:b w:val="0"/>
          <w:i w:val="0"/>
          <w:sz w:val="18"/>
        </w:rPr>
        <w:t>[2] SHEFRIN H, STATMAN M. The disposition to sell winners too early and ride losers too long: theory and evidence[J]. The Journal of Finance, 1985, 40(3): 777-790.</w:t>
      </w:r>
    </w:p>
    <w:p>
      <w:pPr>
        <w:spacing w:after="40" w:line="276" w:lineRule="auto"/>
      </w:pPr>
      <w:r>
        <w:rPr>
          <w:rFonts w:ascii="Times New Roman" w:hAnsi="Times New Roman" w:eastAsia="宋体"/>
          <w:b w:val="0"/>
          <w:i w:val="0"/>
          <w:sz w:val="18"/>
        </w:rPr>
        <w:t>[3] ODEAN T. Are investors reluctant to realize their losses?[J]. The Journal of Finance, 1998, 53(5): 1775-1798.</w:t>
      </w:r>
    </w:p>
    <w:p>
      <w:pPr>
        <w:spacing w:after="40" w:line="276" w:lineRule="auto"/>
      </w:pPr>
      <w:r>
        <w:rPr>
          <w:rFonts w:ascii="Times New Roman" w:hAnsi="Times New Roman" w:eastAsia="宋体"/>
          <w:b w:val="0"/>
          <w:i w:val="0"/>
          <w:sz w:val="18"/>
        </w:rPr>
        <w:t>[4] PUETZ A, RUENZI S. Overconfidence among professional investors: evidence from mutual fund managers[J]. Journal of Business Finance &amp; Accounting, 2011, 38(5-6): 684-712.</w:t>
      </w:r>
    </w:p>
    <w:p>
      <w:pPr>
        <w:spacing w:after="40" w:line="276" w:lineRule="auto"/>
      </w:pPr>
      <w:r>
        <w:rPr>
          <w:rFonts w:ascii="Times New Roman" w:hAnsi="Times New Roman" w:eastAsia="宋体"/>
          <w:b w:val="0"/>
          <w:i w:val="0"/>
          <w:sz w:val="18"/>
        </w:rPr>
        <w:t>[5] KACPERCZYK M, SIALM C, ZHENG L. On the industry concentration of actively managed equity mutual funds[J]. The Journal of Finance, 2005, 60(4): 1983-2011.</w:t>
      </w:r>
    </w:p>
    <w:p>
      <w:pPr>
        <w:spacing w:after="40" w:line="276" w:lineRule="auto"/>
      </w:pPr>
      <w:r>
        <w:rPr>
          <w:rFonts w:ascii="Times New Roman" w:hAnsi="Times New Roman" w:eastAsia="宋体"/>
          <w:b w:val="0"/>
          <w:i w:val="0"/>
          <w:sz w:val="18"/>
        </w:rPr>
        <w:t>[6] KACPERCZYK M, SIALM C, ZHENG L. Unobserved actions of mutual funds[J]. The Review of Financial Studies, 2008, 21(6): 2379-2416.</w:t>
      </w:r>
    </w:p>
    <w:p>
      <w:pPr>
        <w:spacing w:after="40" w:line="276" w:lineRule="auto"/>
      </w:pPr>
      <w:r>
        <w:rPr>
          <w:rFonts w:ascii="Times New Roman" w:hAnsi="Times New Roman" w:eastAsia="宋体"/>
          <w:b w:val="0"/>
          <w:i w:val="0"/>
          <w:sz w:val="18"/>
        </w:rPr>
        <w:t>[7] HENRIKSSON R D, MERTON R C. On market timing and investment performance. II. Statistical procedures for evaluating forecasting skills[J]. The Journal of Business, 1981, 54(4): 513-533.</w:t>
      </w:r>
    </w:p>
    <w:p>
      <w:pPr>
        <w:spacing w:after="40" w:line="276" w:lineRule="auto"/>
      </w:pPr>
      <w:r>
        <w:rPr>
          <w:rFonts w:ascii="Times New Roman" w:hAnsi="Times New Roman" w:eastAsia="宋体"/>
          <w:b w:val="0"/>
          <w:i w:val="0"/>
          <w:sz w:val="18"/>
        </w:rPr>
        <w:t>[8] SHARPE W F. Mutual fund performance[J]. The Journal of Business, 1966, 39(1): 119-138.</w:t>
      </w:r>
    </w:p>
    <w:p>
      <w:pPr>
        <w:spacing w:after="40" w:line="276" w:lineRule="auto"/>
      </w:pPr>
      <w:r>
        <w:rPr>
          <w:rFonts w:ascii="Times New Roman" w:hAnsi="Times New Roman" w:eastAsia="宋体"/>
          <w:b w:val="0"/>
          <w:i w:val="0"/>
          <w:sz w:val="18"/>
        </w:rPr>
        <w:t>[9] SORTINO F A, PRICE L N. Performance measurement in a downside risk framework[J]. The Journal of Investing, 1994, 3(3): 59-64.</w:t>
      </w:r>
    </w:p>
    <w:p>
      <w:pPr>
        <w:spacing w:after="40" w:line="276" w:lineRule="auto"/>
      </w:pPr>
      <w:r>
        <w:rPr>
          <w:rFonts w:ascii="Times New Roman" w:hAnsi="Times New Roman" w:eastAsia="宋体"/>
          <w:b w:val="0"/>
          <w:i w:val="0"/>
          <w:sz w:val="18"/>
        </w:rPr>
        <w:t>[10] GOETZMANN W N, INGERSOLL J, SPIEGEL M, WELCH I. Portfolio performance manipulation and manipulation-proof performance measures[J]. The Review of Financial Studies, 2007, 20(5): 1503-1546.</w:t>
      </w:r>
    </w:p>
    <w:p>
      <w:pPr>
        <w:spacing w:after="40" w:line="276" w:lineRule="auto"/>
      </w:pPr>
      <w:r>
        <w:rPr>
          <w:rFonts w:ascii="Times New Roman" w:hAnsi="Times New Roman" w:eastAsia="宋体"/>
          <w:b w:val="0"/>
          <w:i w:val="0"/>
          <w:sz w:val="18"/>
        </w:rPr>
        <w:t>[11] CHEVALIER J, ELLISON G. Career concerns of mutual fund managers[J]. The Quarterly Journal of Economics, 1999, 114(2): 389-432.</w:t>
      </w:r>
    </w:p>
    <w:p>
      <w:pPr>
        <w:spacing w:after="40" w:line="276" w:lineRule="auto"/>
      </w:pPr>
      <w:r>
        <w:rPr>
          <w:rFonts w:ascii="Times New Roman" w:hAnsi="Times New Roman" w:eastAsia="宋体"/>
          <w:b w:val="0"/>
          <w:i w:val="0"/>
          <w:sz w:val="18"/>
        </w:rPr>
        <w:t>[12] BERK J B, GREEN R C. Mutual fund flows and performance in rational markets[J]. Journal of Political Economy, 2004, 112(5): 1269-1295.</w:t>
      </w:r>
    </w:p>
    <w:p>
      <w:pPr>
        <w:spacing w:after="40" w:line="276" w:lineRule="auto"/>
      </w:pPr>
      <w:r>
        <w:rPr>
          <w:rFonts w:ascii="Times New Roman" w:hAnsi="Times New Roman" w:eastAsia="宋体"/>
          <w:b w:val="0"/>
          <w:i w:val="0"/>
          <w:sz w:val="18"/>
        </w:rPr>
        <w:t>[13] FRAZZINI A, FRIEDMAN J, POMORSKI L. Deactivating active share[J]. Financial Analysts Journal, 2016, 72(2): 14-21.</w:t>
      </w:r>
    </w:p>
    <w:p>
      <w:pPr>
        <w:spacing w:after="40" w:line="276" w:lineRule="auto"/>
      </w:pPr>
      <w:r>
        <w:rPr>
          <w:rFonts w:ascii="Times New Roman" w:hAnsi="Times New Roman" w:eastAsia="宋体"/>
          <w:b w:val="0"/>
          <w:i w:val="0"/>
          <w:sz w:val="18"/>
        </w:rPr>
        <w:t>[14] ANG A, CHEN J, XING Y. Downside risk[J]. The Review of Financial Studies, 2006, 19(4): 1217-1251.</w:t>
      </w:r>
    </w:p>
    <w:p>
      <w:pPr>
        <w:spacing w:after="40" w:line="276" w:lineRule="auto"/>
      </w:pPr>
      <w:r>
        <w:rPr>
          <w:rFonts w:ascii="Times New Roman" w:hAnsi="Times New Roman" w:eastAsia="宋体"/>
          <w:b w:val="0"/>
          <w:i w:val="0"/>
          <w:sz w:val="18"/>
        </w:rPr>
        <w:t>[15] CHEN Y, WEI H. Fund style drift and fund performance: evidence from China[J]. PLoS ONE, 2025, 20(2): e0316932.</w:t>
      </w:r>
    </w:p>
    <w:p>
      <w:pPr>
        <w:spacing w:after="40" w:line="276" w:lineRule="auto"/>
      </w:pPr>
      <w:r>
        <w:rPr>
          <w:rFonts w:ascii="Times New Roman" w:hAnsi="Times New Roman" w:eastAsia="宋体"/>
          <w:b w:val="0"/>
          <w:i w:val="0"/>
          <w:sz w:val="18"/>
        </w:rPr>
        <w:t>[16] WERMERS R. A matter of style: the causes and consequences of style drift in institutional portfolios[R]. Working Paper, University of Maryland, 2012.</w:t>
      </w:r>
    </w:p>
    <w:p>
      <w:pPr>
        <w:spacing w:after="40" w:line="276" w:lineRule="auto"/>
      </w:pPr>
      <w:r>
        <w:rPr>
          <w:rFonts w:ascii="Times New Roman" w:hAnsi="Times New Roman" w:eastAsia="宋体"/>
          <w:b w:val="0"/>
          <w:i w:val="0"/>
          <w:sz w:val="18"/>
        </w:rPr>
        <w:t>[17] LAKONISHOK J, SHLEIFER A, VISHNY R W. The impact of institutional trading on stock prices[J]. Journal of Financial Economics, 1992, 32(1): 23-43.</w:t>
      </w:r>
    </w:p>
    <w:p>
      <w:pPr>
        <w:spacing w:after="40" w:line="276" w:lineRule="auto"/>
      </w:pPr>
      <w:r>
        <w:rPr>
          <w:rFonts w:ascii="Times New Roman" w:hAnsi="Times New Roman" w:eastAsia="宋体"/>
          <w:b w:val="0"/>
          <w:i w:val="0"/>
          <w:sz w:val="18"/>
        </w:rPr>
        <w:t>[18] WERMERS R. Mutual fund herding and the impact on stock prices[J]. The Journal of Finance, 1999, 54(2): 585-622.</w:t>
      </w:r>
    </w:p>
    <w:p>
      <w:pPr>
        <w:spacing w:after="40" w:line="276" w:lineRule="auto"/>
      </w:pPr>
      <w:r>
        <w:rPr>
          <w:rFonts w:ascii="Times New Roman" w:hAnsi="Times New Roman" w:eastAsia="宋体"/>
          <w:b w:val="0"/>
          <w:i w:val="0"/>
          <w:sz w:val="18"/>
        </w:rPr>
        <w:t>[19] FAMA E F, FRENCH K R. A five-factor asset pricing model[J]. Journal of Financial Economics, 2015, 116(1): 1-22.</w:t>
      </w:r>
    </w:p>
    <w:p>
      <w:pPr>
        <w:spacing w:after="40" w:line="276" w:lineRule="auto"/>
      </w:pPr>
      <w:r>
        <w:rPr>
          <w:rFonts w:ascii="Times New Roman" w:hAnsi="Times New Roman" w:eastAsia="宋体"/>
          <w:b w:val="0"/>
          <w:i w:val="0"/>
          <w:sz w:val="18"/>
        </w:rPr>
        <w:t>[20] 李志冰, 杨光艺, 冯永昌, 景亮. Fama-French五因子模型在中国股票市场的实证检验[J]. 金融研究, 2017(6): 191-206.</w:t>
      </w:r>
    </w:p>
    <w:p>
      <w:pPr>
        <w:spacing w:after="40" w:line="276" w:lineRule="auto"/>
      </w:pPr>
      <w:r>
        <w:rPr>
          <w:rFonts w:ascii="Times New Roman" w:hAnsi="Times New Roman" w:eastAsia="宋体"/>
          <w:b w:val="0"/>
          <w:i w:val="0"/>
          <w:sz w:val="18"/>
        </w:rPr>
        <w:t>[21] GREENWOOD R, SHLEIFER A. Expectations and returns[J]. The Review of Financial Studies, 2014, 27(3): 714-746.</w:t>
      </w:r>
    </w:p>
    <w:p>
      <w:pPr>
        <w:spacing w:after="40" w:line="276" w:lineRule="auto"/>
      </w:pPr>
      <w:r>
        <w:rPr>
          <w:rFonts w:ascii="Times New Roman" w:hAnsi="Times New Roman" w:eastAsia="宋体"/>
          <w:b w:val="0"/>
          <w:i w:val="0"/>
          <w:sz w:val="18"/>
        </w:rPr>
        <w:t>[22] BARBER B M, ODEAN T. All that glitters: the effect of attention and news on the buying behavior of individual and institutional investors[J]. The Review of Financial Studies, 2008, 21(2): 785-818.</w:t>
      </w:r>
    </w:p>
    <w:p>
      <w:pPr>
        <w:spacing w:after="40" w:line="276" w:lineRule="auto"/>
      </w:pPr>
      <w:r>
        <w:rPr>
          <w:rFonts w:ascii="Times New Roman" w:hAnsi="Times New Roman" w:eastAsia="宋体"/>
          <w:b w:val="0"/>
          <w:i w:val="0"/>
          <w:sz w:val="18"/>
        </w:rPr>
        <w:t>[23] GERVAIS S, ODEAN T. Learning to be overconfident[J]. The Review of Financial Studies, 2001, 14(1): 1-27.</w:t>
      </w:r>
    </w:p>
    <w:p>
      <w:pPr>
        <w:spacing w:after="40" w:line="276" w:lineRule="auto"/>
      </w:pPr>
      <w:r>
        <w:rPr>
          <w:rFonts w:ascii="Times New Roman" w:hAnsi="Times New Roman" w:eastAsia="宋体"/>
          <w:b w:val="0"/>
          <w:i w:val="0"/>
          <w:sz w:val="18"/>
        </w:rPr>
        <w:t>[24] TREYNOR J L, MAZUY K K. Can mutual funds outguess the market?[J]. Harvard Business Review, 1966, 44(4): 131-136.</w:t>
      </w:r>
    </w:p>
    <w:p>
      <w:pPr>
        <w:spacing w:after="40" w:line="276" w:lineRule="auto"/>
      </w:pPr>
      <w:r>
        <w:rPr>
          <w:rFonts w:ascii="Times New Roman" w:hAnsi="Times New Roman" w:eastAsia="宋体"/>
          <w:b w:val="0"/>
          <w:i w:val="0"/>
          <w:sz w:val="18"/>
        </w:rPr>
        <w:t>[25] CREMERS K J M, PETAJISTO A. How active is your fund manager? A new measure that predicts performance[J]. The Review of Financial Studies, 2009, 22(9): 3841-3880.</w:t>
      </w:r>
    </w:p>
    <w:p>
      <w:pPr>
        <w:spacing w:before="240" w:after="120"/>
      </w:pPr>
      <w:r>
        <w:rPr>
          <w:rFonts w:ascii="Times New Roman" w:hAnsi="Times New Roman" w:eastAsia="黑体"/>
          <w:b/>
          <w:i w:val="0"/>
          <w:sz w:val="28"/>
        </w:rPr>
        <w:t>附录 A  分期稳健性：2020 年结构性扩张前后的队列对照</w:t>
      </w:r>
    </w:p>
    <w:p>
      <w:pPr>
        <w:spacing w:after="120" w:line="312" w:lineRule="auto"/>
        <w:ind w:firstLine="420"/>
      </w:pPr>
      <w:r>
        <w:rPr>
          <w:rFonts w:ascii="Times New Roman" w:hAnsi="Times New Roman" w:eastAsia="宋体"/>
          <w:b w:val="0"/>
          <w:i w:val="0"/>
          <w:sz w:val="21"/>
        </w:rPr>
        <w:t>样本基金数从 2019 年末的 61 只跃升至 2020 年末的 286 只，主表使用全样本。为排除结论被新基金队列驱动的可能，按基金首次出现在样本中的报告期划分两个队列——老基金队列（首次报告期早于 2020 年 1 月）与新基金队列（首次报告期不早于 2020 年 1 月），分别按方程 (7) 做六维联立回归，结果见附表 A1。</w:t>
      </w:r>
    </w:p>
    <w:p>
      <w:pPr>
        <w:spacing w:before="120" w:after="60"/>
        <w:jc w:val="center"/>
      </w:pPr>
      <w:r>
        <w:rPr>
          <w:rFonts w:ascii="Times New Roman" w:hAnsi="Times New Roman" w:eastAsia="黑体"/>
          <w:b/>
          <w:i w:val="0"/>
          <w:sz w:val="18"/>
        </w:rPr>
        <w:t>附表 A1  六维联立回归的队列对照（被解释变量：FF5 alpha）</w:t>
      </w:r>
    </w:p>
    <w:tbl>
      <w:tblPr>
        <w:tblStyle w:val="TableGrid"/>
        <w:tblW w:type="auto" w:w="0"/>
        <w:jc w:val="center"/>
        <w:tblLayout w:type="fixed"/>
        <w:tblLook w:firstColumn="1" w:firstRow="1" w:lastColumn="0" w:lastRow="0" w:noHBand="0" w:noVBand="1" w:val="04A0"/>
      </w:tblPr>
      <w:tblGrid>
        <w:gridCol w:w="1425"/>
        <w:gridCol w:w="1425"/>
        <w:gridCol w:w="1425"/>
        <w:gridCol w:w="1425"/>
        <w:gridCol w:w="1425"/>
        <w:gridCol w:w="1425"/>
        <w:gridCol w:w="1425"/>
      </w:tblGrid>
      <w:tr>
        <w:trPr>
          <w:tblHeader w:val="true"/>
        </w:trPr>
        <w:tc>
          <w:tcPr>
            <w:tcW w:type="dxa" w:w="1474"/>
          </w:tcPr>
          <w:p>
            <w:pPr>
              <w:spacing w:before="20" w:after="20" w:line="259" w:lineRule="auto"/>
              <w:ind w:firstLine="0"/>
              <w:jc w:val="center"/>
            </w:pPr>
            <w:r/>
            <w:r>
              <w:rPr>
                <w:rFonts w:ascii="Times New Roman" w:hAnsi="Times New Roman" w:eastAsia="黑体"/>
                <w:b/>
                <w:i w:val="0"/>
                <w:sz w:val="16"/>
              </w:rPr>
              <w:t>样本</w:t>
            </w:r>
          </w:p>
        </w:tc>
        <w:tc>
          <w:tcPr>
            <w:tcW w:type="dxa" w:w="1361"/>
          </w:tcPr>
          <w:p>
            <w:pPr>
              <w:spacing w:before="20" w:after="20" w:line="259" w:lineRule="auto"/>
              <w:ind w:firstLine="0"/>
              <w:jc w:val="center"/>
            </w:pPr>
            <w:r/>
            <w:r>
              <w:rPr>
                <w:rFonts w:ascii="Times New Roman" w:hAnsi="Times New Roman" w:eastAsia="黑体"/>
                <w:b/>
                <w:i w:val="0"/>
                <w:sz w:val="16"/>
              </w:rPr>
              <w:t>L1 基本面层</w:t>
            </w:r>
          </w:p>
        </w:tc>
        <w:tc>
          <w:tcPr>
            <w:tcW w:type="dxa" w:w="1247"/>
          </w:tcPr>
          <w:p>
            <w:pPr>
              <w:spacing w:before="20" w:after="20" w:line="259" w:lineRule="auto"/>
              <w:ind w:firstLine="0"/>
              <w:jc w:val="center"/>
            </w:pPr>
            <w:r/>
            <w:r>
              <w:rPr>
                <w:rFonts w:ascii="Times New Roman" w:hAnsi="Times New Roman" w:eastAsia="黑体"/>
                <w:b/>
                <w:i w:val="0"/>
                <w:sz w:val="16"/>
              </w:rPr>
              <w:t>L2 认知层</w:t>
            </w:r>
          </w:p>
        </w:tc>
        <w:tc>
          <w:tcPr>
            <w:tcW w:type="dxa" w:w="1361"/>
          </w:tcPr>
          <w:p>
            <w:pPr>
              <w:spacing w:before="20" w:after="20" w:line="259" w:lineRule="auto"/>
              <w:ind w:firstLine="0"/>
              <w:jc w:val="center"/>
            </w:pPr>
            <w:r/>
            <w:r>
              <w:rPr>
                <w:rFonts w:ascii="Times New Roman" w:hAnsi="Times New Roman" w:eastAsia="黑体"/>
                <w:b/>
                <w:i w:val="0"/>
                <w:sz w:val="16"/>
              </w:rPr>
              <w:t>L3 选择层</w:t>
            </w:r>
          </w:p>
        </w:tc>
        <w:tc>
          <w:tcPr>
            <w:tcW w:type="dxa" w:w="1361"/>
          </w:tcPr>
          <w:p>
            <w:pPr>
              <w:spacing w:before="20" w:after="20" w:line="259" w:lineRule="auto"/>
              <w:ind w:firstLine="0"/>
              <w:jc w:val="center"/>
            </w:pPr>
            <w:r/>
            <w:r>
              <w:rPr>
                <w:rFonts w:ascii="Times New Roman" w:hAnsi="Times New Roman" w:eastAsia="黑体"/>
                <w:b/>
                <w:i w:val="0"/>
                <w:sz w:val="16"/>
              </w:rPr>
              <w:t>L4 风险应对层</w:t>
            </w:r>
          </w:p>
        </w:tc>
        <w:tc>
          <w:tcPr>
            <w:tcW w:type="dxa" w:w="1361"/>
          </w:tcPr>
          <w:p>
            <w:pPr>
              <w:spacing w:before="20" w:after="20" w:line="259" w:lineRule="auto"/>
              <w:ind w:firstLine="0"/>
              <w:jc w:val="center"/>
            </w:pPr>
            <w:r/>
            <w:r>
              <w:rPr>
                <w:rFonts w:ascii="Times New Roman" w:hAnsi="Times New Roman" w:eastAsia="黑体"/>
                <w:b/>
                <w:i w:val="0"/>
                <w:sz w:val="16"/>
              </w:rPr>
              <w:t>L4 风险应对层</w:t>
              <w:br/>
              <w:t>(转化)</w:t>
            </w:r>
          </w:p>
        </w:tc>
        <w:tc>
          <w:tcPr>
            <w:tcW w:type="dxa" w:w="1361"/>
          </w:tcPr>
          <w:p>
            <w:pPr>
              <w:spacing w:before="20" w:after="20" w:line="259" w:lineRule="auto"/>
              <w:ind w:firstLine="0"/>
              <w:jc w:val="center"/>
            </w:pPr>
            <w:r/>
            <w:r>
              <w:rPr>
                <w:rFonts w:ascii="Times New Roman" w:hAnsi="Times New Roman" w:eastAsia="黑体"/>
                <w:b/>
                <w:i w:val="0"/>
                <w:sz w:val="16"/>
              </w:rPr>
              <w:t>L5 交易执行层</w:t>
            </w:r>
          </w:p>
        </w:tc>
      </w:tr>
      <w:tr>
        <w:tc>
          <w:tcPr>
            <w:tcW w:type="dxa" w:w="1474"/>
          </w:tcPr>
          <w:p>
            <w:pPr>
              <w:spacing w:before="20" w:after="20" w:line="259" w:lineRule="auto"/>
              <w:ind w:firstLine="0"/>
              <w:jc w:val="left"/>
            </w:pPr>
            <w:r/>
            <w:r>
              <w:rPr>
                <w:rFonts w:ascii="Times New Roman" w:hAnsi="Times New Roman" w:eastAsia="宋体"/>
                <w:b w:val="0"/>
                <w:i w:val="0"/>
                <w:sz w:val="16"/>
              </w:rPr>
              <w:t>全样本</w:t>
              <w:br/>
            </w:r>
            <w:r>
              <w:rPr>
                <w:rFonts w:ascii="Times New Roman" w:hAnsi="Times New Roman" w:eastAsia="宋体"/>
                <w:b w:val="0"/>
                <w:i w:val="0"/>
                <w:sz w:val="16"/>
              </w:rPr>
              <w:t>(N=362, R²=0.4557)</w:t>
            </w:r>
          </w:p>
        </w:tc>
        <w:tc>
          <w:tcPr>
            <w:tcW w:type="dxa" w:w="1361"/>
          </w:tcPr>
          <w:p>
            <w:pPr>
              <w:spacing w:before="20" w:after="20" w:line="259" w:lineRule="auto"/>
              <w:ind w:firstLine="0"/>
              <w:jc w:val="center"/>
            </w:pPr>
            <w:r/>
            <w:r>
              <w:rPr>
                <w:rFonts w:ascii="Times New Roman" w:hAnsi="Times New Roman" w:eastAsia="宋体"/>
                <w:b w:val="0"/>
                <w:i w:val="0"/>
                <w:sz w:val="16"/>
              </w:rPr>
              <w:t>-0.0002</w:t>
              <w:br/>
            </w:r>
            <w:r>
              <w:rPr>
                <w:rFonts w:ascii="Times New Roman" w:hAnsi="Times New Roman" w:eastAsia="宋体"/>
                <w:b w:val="0"/>
                <w:i w:val="0"/>
                <w:sz w:val="16"/>
              </w:rPr>
              <w:t>(-0.17)</w:t>
            </w:r>
          </w:p>
        </w:tc>
        <w:tc>
          <w:tcPr>
            <w:tcW w:type="dxa" w:w="1247"/>
          </w:tcPr>
          <w:p>
            <w:pPr>
              <w:spacing w:before="20" w:after="20" w:line="259" w:lineRule="auto"/>
              <w:ind w:firstLine="0"/>
              <w:jc w:val="center"/>
            </w:pPr>
            <w:r/>
            <w:r>
              <w:rPr>
                <w:rFonts w:ascii="Times New Roman" w:hAnsi="Times New Roman" w:eastAsia="宋体"/>
                <w:b w:val="0"/>
                <w:i w:val="0"/>
                <w:sz w:val="16"/>
              </w:rPr>
              <w:t>+0.0083</w:t>
              <w:br/>
            </w:r>
            <w:r>
              <w:rPr>
                <w:rFonts w:ascii="Times New Roman" w:hAnsi="Times New Roman" w:eastAsia="宋体"/>
                <w:b w:val="0"/>
                <w:i w:val="0"/>
                <w:sz w:val="16"/>
              </w:rPr>
              <w:t>(+4.00)***</w:t>
            </w:r>
          </w:p>
        </w:tc>
        <w:tc>
          <w:tcPr>
            <w:tcW w:type="dxa" w:w="1361"/>
          </w:tcPr>
          <w:p>
            <w:pPr>
              <w:spacing w:before="20" w:after="20" w:line="259" w:lineRule="auto"/>
              <w:ind w:firstLine="0"/>
              <w:jc w:val="center"/>
            </w:pPr>
            <w:r/>
            <w:r>
              <w:rPr>
                <w:rFonts w:ascii="Times New Roman" w:hAnsi="Times New Roman" w:eastAsia="宋体"/>
                <w:b w:val="0"/>
                <w:i w:val="0"/>
                <w:sz w:val="16"/>
              </w:rPr>
              <w:t>+0.0031</w:t>
              <w:br/>
            </w:r>
            <w:r>
              <w:rPr>
                <w:rFonts w:ascii="Times New Roman" w:hAnsi="Times New Roman" w:eastAsia="宋体"/>
                <w:b w:val="0"/>
                <w:i w:val="0"/>
                <w:sz w:val="16"/>
              </w:rPr>
              <w:t>(+2.44)**</w:t>
            </w:r>
          </w:p>
        </w:tc>
        <w:tc>
          <w:tcPr>
            <w:tcW w:type="dxa" w:w="1361"/>
          </w:tcPr>
          <w:p>
            <w:pPr>
              <w:spacing w:before="20" w:after="20" w:line="259" w:lineRule="auto"/>
              <w:ind w:firstLine="0"/>
              <w:jc w:val="center"/>
            </w:pPr>
            <w:r/>
            <w:r>
              <w:rPr>
                <w:rFonts w:ascii="Times New Roman" w:hAnsi="Times New Roman" w:eastAsia="宋体"/>
                <w:b w:val="0"/>
                <w:i w:val="0"/>
                <w:sz w:val="16"/>
              </w:rPr>
              <w:t>+0.0092</w:t>
              <w:br/>
            </w:r>
            <w:r>
              <w:rPr>
                <w:rFonts w:ascii="Times New Roman" w:hAnsi="Times New Roman" w:eastAsia="宋体"/>
                <w:b w:val="0"/>
                <w:i w:val="0"/>
                <w:sz w:val="16"/>
              </w:rPr>
              <w:t>(+3.83)***</w:t>
            </w:r>
          </w:p>
        </w:tc>
        <w:tc>
          <w:tcPr>
            <w:tcW w:type="dxa" w:w="1361"/>
          </w:tcPr>
          <w:p>
            <w:pPr>
              <w:spacing w:before="20" w:after="20" w:line="259" w:lineRule="auto"/>
              <w:ind w:firstLine="0"/>
              <w:jc w:val="center"/>
            </w:pPr>
            <w:r/>
            <w:r>
              <w:rPr>
                <w:rFonts w:ascii="Times New Roman" w:hAnsi="Times New Roman" w:eastAsia="宋体"/>
                <w:b w:val="0"/>
                <w:i w:val="0"/>
                <w:sz w:val="16"/>
              </w:rPr>
              <w:t>+0.0132</w:t>
              <w:br/>
            </w:r>
            <w:r>
              <w:rPr>
                <w:rFonts w:ascii="Times New Roman" w:hAnsi="Times New Roman" w:eastAsia="宋体"/>
                <w:b w:val="0"/>
                <w:i w:val="0"/>
                <w:sz w:val="16"/>
              </w:rPr>
              <w:t>(+5.50)***</w:t>
            </w:r>
          </w:p>
        </w:tc>
        <w:tc>
          <w:tcPr>
            <w:tcW w:type="dxa" w:w="1361"/>
          </w:tcPr>
          <w:p>
            <w:pPr>
              <w:spacing w:before="20" w:after="20" w:line="259" w:lineRule="auto"/>
              <w:ind w:firstLine="0"/>
              <w:jc w:val="center"/>
            </w:pPr>
            <w:r/>
            <w:r>
              <w:rPr>
                <w:rFonts w:ascii="Times New Roman" w:hAnsi="Times New Roman" w:eastAsia="宋体"/>
                <w:b w:val="0"/>
                <w:i w:val="0"/>
                <w:sz w:val="16"/>
              </w:rPr>
              <w:t>+0.0016</w:t>
              <w:br/>
            </w:r>
            <w:r>
              <w:rPr>
                <w:rFonts w:ascii="Times New Roman" w:hAnsi="Times New Roman" w:eastAsia="宋体"/>
                <w:b w:val="0"/>
                <w:i w:val="0"/>
                <w:sz w:val="16"/>
              </w:rPr>
              <w:t>(+1.23)</w:t>
            </w:r>
          </w:p>
        </w:tc>
      </w:tr>
      <w:tr>
        <w:tc>
          <w:tcPr>
            <w:tcW w:type="dxa" w:w="1474"/>
          </w:tcPr>
          <w:p>
            <w:pPr>
              <w:spacing w:before="20" w:after="20" w:line="259" w:lineRule="auto"/>
              <w:ind w:firstLine="0"/>
              <w:jc w:val="left"/>
            </w:pPr>
            <w:r/>
            <w:r>
              <w:rPr>
                <w:rFonts w:ascii="Times New Roman" w:hAnsi="Times New Roman" w:eastAsia="宋体"/>
                <w:b w:val="0"/>
                <w:i w:val="0"/>
                <w:sz w:val="16"/>
              </w:rPr>
              <w:t>老基金队列</w:t>
              <w:br/>
            </w:r>
            <w:r>
              <w:rPr>
                <w:rFonts w:ascii="Times New Roman" w:hAnsi="Times New Roman" w:eastAsia="宋体"/>
                <w:b w:val="0"/>
                <w:i w:val="0"/>
                <w:sz w:val="16"/>
              </w:rPr>
              <w:t>(N=61, R²=0.5520)</w:t>
            </w:r>
          </w:p>
        </w:tc>
        <w:tc>
          <w:tcPr>
            <w:tcW w:type="dxa" w:w="1361"/>
          </w:tcPr>
          <w:p>
            <w:pPr>
              <w:spacing w:before="20" w:after="20" w:line="259" w:lineRule="auto"/>
              <w:ind w:firstLine="0"/>
              <w:jc w:val="center"/>
            </w:pPr>
            <w:r/>
            <w:r>
              <w:rPr>
                <w:rFonts w:ascii="Times New Roman" w:hAnsi="Times New Roman" w:eastAsia="宋体"/>
                <w:b w:val="0"/>
                <w:i w:val="0"/>
                <w:sz w:val="16"/>
              </w:rPr>
              <w:t>+0.0025</w:t>
              <w:br/>
            </w:r>
            <w:r>
              <w:rPr>
                <w:rFonts w:ascii="Times New Roman" w:hAnsi="Times New Roman" w:eastAsia="宋体"/>
                <w:b w:val="0"/>
                <w:i w:val="0"/>
                <w:sz w:val="16"/>
              </w:rPr>
              <w:t>(+0.50)</w:t>
            </w:r>
          </w:p>
        </w:tc>
        <w:tc>
          <w:tcPr>
            <w:tcW w:type="dxa" w:w="1247"/>
          </w:tcPr>
          <w:p>
            <w:pPr>
              <w:spacing w:before="20" w:after="20" w:line="259" w:lineRule="auto"/>
              <w:ind w:firstLine="0"/>
              <w:jc w:val="center"/>
            </w:pPr>
            <w:r/>
            <w:r>
              <w:rPr>
                <w:rFonts w:ascii="Times New Roman" w:hAnsi="Times New Roman" w:eastAsia="宋体"/>
                <w:b w:val="0"/>
                <w:i w:val="0"/>
                <w:sz w:val="16"/>
              </w:rPr>
              <w:t>+0.0091</w:t>
              <w:br/>
            </w:r>
            <w:r>
              <w:rPr>
                <w:rFonts w:ascii="Times New Roman" w:hAnsi="Times New Roman" w:eastAsia="宋体"/>
                <w:b w:val="0"/>
                <w:i w:val="0"/>
                <w:sz w:val="16"/>
              </w:rPr>
              <w:t>(+2.72)***</w:t>
            </w:r>
          </w:p>
        </w:tc>
        <w:tc>
          <w:tcPr>
            <w:tcW w:type="dxa" w:w="1361"/>
          </w:tcPr>
          <w:p>
            <w:pPr>
              <w:spacing w:before="20" w:after="20" w:line="259" w:lineRule="auto"/>
              <w:ind w:firstLine="0"/>
              <w:jc w:val="center"/>
            </w:pPr>
            <w:r/>
            <w:r>
              <w:rPr>
                <w:rFonts w:ascii="Times New Roman" w:hAnsi="Times New Roman" w:eastAsia="宋体"/>
                <w:b w:val="0"/>
                <w:i w:val="0"/>
                <w:sz w:val="16"/>
              </w:rPr>
              <w:t>-0.0056</w:t>
              <w:br/>
            </w:r>
            <w:r>
              <w:rPr>
                <w:rFonts w:ascii="Times New Roman" w:hAnsi="Times New Roman" w:eastAsia="宋体"/>
                <w:b w:val="0"/>
                <w:i w:val="0"/>
                <w:sz w:val="16"/>
              </w:rPr>
              <w:t>(-1.20)</w:t>
            </w:r>
          </w:p>
        </w:tc>
        <w:tc>
          <w:tcPr>
            <w:tcW w:type="dxa" w:w="1361"/>
          </w:tcPr>
          <w:p>
            <w:pPr>
              <w:spacing w:before="20" w:after="20" w:line="259" w:lineRule="auto"/>
              <w:ind w:firstLine="0"/>
              <w:jc w:val="center"/>
            </w:pPr>
            <w:r/>
            <w:r>
              <w:rPr>
                <w:rFonts w:ascii="Times New Roman" w:hAnsi="Times New Roman" w:eastAsia="宋体"/>
                <w:b w:val="0"/>
                <w:i w:val="0"/>
                <w:sz w:val="16"/>
              </w:rPr>
              <w:t>+0.0017</w:t>
              <w:br/>
            </w:r>
            <w:r>
              <w:rPr>
                <w:rFonts w:ascii="Times New Roman" w:hAnsi="Times New Roman" w:eastAsia="宋体"/>
                <w:b w:val="0"/>
                <w:i w:val="0"/>
                <w:sz w:val="16"/>
              </w:rPr>
              <w:t>(+0.30)</w:t>
            </w:r>
          </w:p>
        </w:tc>
        <w:tc>
          <w:tcPr>
            <w:tcW w:type="dxa" w:w="1361"/>
          </w:tcPr>
          <w:p>
            <w:pPr>
              <w:spacing w:before="20" w:after="20" w:line="259" w:lineRule="auto"/>
              <w:ind w:firstLine="0"/>
              <w:jc w:val="center"/>
            </w:pPr>
            <w:r/>
            <w:r>
              <w:rPr>
                <w:rFonts w:ascii="Times New Roman" w:hAnsi="Times New Roman" w:eastAsia="宋体"/>
                <w:b w:val="0"/>
                <w:i w:val="0"/>
                <w:sz w:val="16"/>
              </w:rPr>
              <w:t>+0.0194</w:t>
              <w:br/>
            </w:r>
            <w:r>
              <w:rPr>
                <w:rFonts w:ascii="Times New Roman" w:hAnsi="Times New Roman" w:eastAsia="宋体"/>
                <w:b w:val="0"/>
                <w:i w:val="0"/>
                <w:sz w:val="16"/>
              </w:rPr>
              <w:t>(+8.89)***</w:t>
            </w:r>
          </w:p>
        </w:tc>
        <w:tc>
          <w:tcPr>
            <w:tcW w:type="dxa" w:w="1361"/>
          </w:tcPr>
          <w:p>
            <w:pPr>
              <w:spacing w:before="20" w:after="20" w:line="259" w:lineRule="auto"/>
              <w:ind w:firstLine="0"/>
              <w:jc w:val="center"/>
            </w:pPr>
            <w:r/>
            <w:r>
              <w:rPr>
                <w:rFonts w:ascii="Times New Roman" w:hAnsi="Times New Roman" w:eastAsia="宋体"/>
                <w:b w:val="0"/>
                <w:i w:val="0"/>
                <w:sz w:val="16"/>
              </w:rPr>
              <w:t>-0.0009</w:t>
              <w:br/>
            </w:r>
            <w:r>
              <w:rPr>
                <w:rFonts w:ascii="Times New Roman" w:hAnsi="Times New Roman" w:eastAsia="宋体"/>
                <w:b w:val="0"/>
                <w:i w:val="0"/>
                <w:sz w:val="16"/>
              </w:rPr>
              <w:t>(-0.27)</w:t>
            </w:r>
          </w:p>
        </w:tc>
      </w:tr>
      <w:tr>
        <w:tc>
          <w:tcPr>
            <w:tcW w:type="dxa" w:w="1474"/>
          </w:tcPr>
          <w:p>
            <w:pPr>
              <w:spacing w:before="20" w:after="20" w:line="259" w:lineRule="auto"/>
              <w:ind w:firstLine="0"/>
              <w:jc w:val="left"/>
            </w:pPr>
            <w:r/>
            <w:r>
              <w:rPr>
                <w:rFonts w:ascii="Times New Roman" w:hAnsi="Times New Roman" w:eastAsia="宋体"/>
                <w:b w:val="0"/>
                <w:i w:val="0"/>
                <w:sz w:val="16"/>
              </w:rPr>
              <w:t>新基金队列</w:t>
              <w:br/>
            </w:r>
            <w:r>
              <w:rPr>
                <w:rFonts w:ascii="Times New Roman" w:hAnsi="Times New Roman" w:eastAsia="宋体"/>
                <w:b w:val="0"/>
                <w:i w:val="0"/>
                <w:sz w:val="16"/>
              </w:rPr>
              <w:t>(N=301, R²=0.4573)</w:t>
            </w:r>
          </w:p>
        </w:tc>
        <w:tc>
          <w:tcPr>
            <w:tcW w:type="dxa" w:w="1361"/>
          </w:tcPr>
          <w:p>
            <w:pPr>
              <w:spacing w:before="20" w:after="20" w:line="259" w:lineRule="auto"/>
              <w:ind w:firstLine="0"/>
              <w:jc w:val="center"/>
            </w:pPr>
            <w:r/>
            <w:r>
              <w:rPr>
                <w:rFonts w:ascii="Times New Roman" w:hAnsi="Times New Roman" w:eastAsia="宋体"/>
                <w:b w:val="0"/>
                <w:i w:val="0"/>
                <w:sz w:val="16"/>
              </w:rPr>
              <w:t>-0.0010</w:t>
              <w:br/>
            </w:r>
            <w:r>
              <w:rPr>
                <w:rFonts w:ascii="Times New Roman" w:hAnsi="Times New Roman" w:eastAsia="宋体"/>
                <w:b w:val="0"/>
                <w:i w:val="0"/>
                <w:sz w:val="16"/>
              </w:rPr>
              <w:t>(-0.85)</w:t>
            </w:r>
          </w:p>
        </w:tc>
        <w:tc>
          <w:tcPr>
            <w:tcW w:type="dxa" w:w="1247"/>
          </w:tcPr>
          <w:p>
            <w:pPr>
              <w:spacing w:before="20" w:after="20" w:line="259" w:lineRule="auto"/>
              <w:ind w:firstLine="0"/>
              <w:jc w:val="center"/>
            </w:pPr>
            <w:r/>
            <w:r>
              <w:rPr>
                <w:rFonts w:ascii="Times New Roman" w:hAnsi="Times New Roman" w:eastAsia="宋体"/>
                <w:b w:val="0"/>
                <w:i w:val="0"/>
                <w:sz w:val="16"/>
              </w:rPr>
              <w:t>+0.0077</w:t>
              <w:br/>
            </w:r>
            <w:r>
              <w:rPr>
                <w:rFonts w:ascii="Times New Roman" w:hAnsi="Times New Roman" w:eastAsia="宋体"/>
                <w:b w:val="0"/>
                <w:i w:val="0"/>
                <w:sz w:val="16"/>
              </w:rPr>
              <w:t>(+3.14)***</w:t>
            </w:r>
          </w:p>
        </w:tc>
        <w:tc>
          <w:tcPr>
            <w:tcW w:type="dxa" w:w="1361"/>
          </w:tcPr>
          <w:p>
            <w:pPr>
              <w:spacing w:before="20" w:after="20" w:line="259" w:lineRule="auto"/>
              <w:ind w:firstLine="0"/>
              <w:jc w:val="center"/>
            </w:pPr>
            <w:r/>
            <w:r>
              <w:rPr>
                <w:rFonts w:ascii="Times New Roman" w:hAnsi="Times New Roman" w:eastAsia="宋体"/>
                <w:b w:val="0"/>
                <w:i w:val="0"/>
                <w:sz w:val="16"/>
              </w:rPr>
              <w:t>+0.0042</w:t>
              <w:br/>
            </w:r>
            <w:r>
              <w:rPr>
                <w:rFonts w:ascii="Times New Roman" w:hAnsi="Times New Roman" w:eastAsia="宋体"/>
                <w:b w:val="0"/>
                <w:i w:val="0"/>
                <w:sz w:val="16"/>
              </w:rPr>
              <w:t>(+3.02)***</w:t>
            </w:r>
          </w:p>
        </w:tc>
        <w:tc>
          <w:tcPr>
            <w:tcW w:type="dxa" w:w="1361"/>
          </w:tcPr>
          <w:p>
            <w:pPr>
              <w:spacing w:before="20" w:after="20" w:line="259" w:lineRule="auto"/>
              <w:ind w:firstLine="0"/>
              <w:jc w:val="center"/>
            </w:pPr>
            <w:r/>
            <w:r>
              <w:rPr>
                <w:rFonts w:ascii="Times New Roman" w:hAnsi="Times New Roman" w:eastAsia="宋体"/>
                <w:b w:val="0"/>
                <w:i w:val="0"/>
                <w:sz w:val="16"/>
              </w:rPr>
              <w:t>+0.0099</w:t>
              <w:br/>
            </w:r>
            <w:r>
              <w:rPr>
                <w:rFonts w:ascii="Times New Roman" w:hAnsi="Times New Roman" w:eastAsia="宋体"/>
                <w:b w:val="0"/>
                <w:i w:val="0"/>
                <w:sz w:val="16"/>
              </w:rPr>
              <w:t>(+3.82)***</w:t>
            </w:r>
          </w:p>
        </w:tc>
        <w:tc>
          <w:tcPr>
            <w:tcW w:type="dxa" w:w="1361"/>
          </w:tcPr>
          <w:p>
            <w:pPr>
              <w:spacing w:before="20" w:after="20" w:line="259" w:lineRule="auto"/>
              <w:ind w:firstLine="0"/>
              <w:jc w:val="center"/>
            </w:pPr>
            <w:r/>
            <w:r>
              <w:rPr>
                <w:rFonts w:ascii="Times New Roman" w:hAnsi="Times New Roman" w:eastAsia="宋体"/>
                <w:b w:val="0"/>
                <w:i w:val="0"/>
                <w:sz w:val="16"/>
              </w:rPr>
              <w:t>+0.0123</w:t>
              <w:br/>
            </w:r>
            <w:r>
              <w:rPr>
                <w:rFonts w:ascii="Times New Roman" w:hAnsi="Times New Roman" w:eastAsia="宋体"/>
                <w:b w:val="0"/>
                <w:i w:val="0"/>
                <w:sz w:val="16"/>
              </w:rPr>
              <w:t>(+4.41)***</w:t>
            </w:r>
          </w:p>
        </w:tc>
        <w:tc>
          <w:tcPr>
            <w:tcW w:type="dxa" w:w="1361"/>
          </w:tcPr>
          <w:p>
            <w:pPr>
              <w:spacing w:before="20" w:after="20" w:line="259" w:lineRule="auto"/>
              <w:ind w:firstLine="0"/>
              <w:jc w:val="center"/>
            </w:pPr>
            <w:r/>
            <w:r>
              <w:rPr>
                <w:rFonts w:ascii="Times New Roman" w:hAnsi="Times New Roman" w:eastAsia="宋体"/>
                <w:b w:val="0"/>
                <w:i w:val="0"/>
                <w:sz w:val="16"/>
              </w:rPr>
              <w:t>+0.0011</w:t>
              <w:br/>
            </w:r>
            <w:r>
              <w:rPr>
                <w:rFonts w:ascii="Times New Roman" w:hAnsi="Times New Roman" w:eastAsia="宋体"/>
                <w:b w:val="0"/>
                <w:i w:val="0"/>
                <w:sz w:val="16"/>
              </w:rPr>
              <w:t>(+0.77)</w:t>
            </w:r>
          </w:p>
        </w:tc>
      </w:tr>
    </w:tbl>
    <w:p>
      <w:pPr>
        <w:spacing w:before="60" w:after="200"/>
      </w:pPr>
      <w:r>
        <w:rPr>
          <w:rFonts w:ascii="Times New Roman" w:hAnsi="Times New Roman" w:eastAsia="宋体"/>
          <w:b w:val="0"/>
          <w:i w:val="0"/>
          <w:sz w:val="17"/>
        </w:rPr>
        <w:t>注：括号内为 t 值，***、**、* 分别表示 1%、5%、10% 水平显著；口径与表 6 的联立模型完全一致（HC1 稳健标准误）。</w:t>
      </w:r>
    </w:p>
    <w:p>
      <w:pPr>
        <w:spacing w:after="120" w:line="312" w:lineRule="auto"/>
        <w:ind w:firstLine="420"/>
      </w:pPr>
      <w:r>
        <w:rPr>
          <w:rFonts w:ascii="Times New Roman" w:hAnsi="Times New Roman" w:eastAsia="宋体"/>
          <w:b w:val="0"/>
          <w:i w:val="0"/>
          <w:sz w:val="21"/>
        </w:rPr>
        <w:t>两点解读。其一，</w:t>
      </w:r>
      <w:r>
        <w:rPr>
          <w:rFonts w:ascii="Times New Roman" w:hAnsi="Times New Roman" w:eastAsia="宋体"/>
          <w:b/>
          <w:i w:val="0"/>
          <w:sz w:val="21"/>
        </w:rPr>
        <w:t>核心结论不由新基金队列驱动</w:t>
      </w:r>
      <w:r>
        <w:rPr>
          <w:rFonts w:ascii="Times New Roman" w:hAnsi="Times New Roman" w:eastAsia="宋体"/>
          <w:b w:val="0"/>
          <w:i w:val="0"/>
          <w:sz w:val="21"/>
        </w:rPr>
        <w:t>：新基金队列（N=301）几乎完整复刻全样本结论——认知、配置选择、风险应对、风险转化四维全部显著为正，基本面优势与交易执行不显著，R² 与全样本几乎相同。其二，</w:t>
      </w:r>
      <w:r>
        <w:rPr>
          <w:rFonts w:ascii="Times New Roman" w:hAnsi="Times New Roman" w:eastAsia="宋体"/>
          <w:b/>
          <w:i w:val="0"/>
          <w:sz w:val="21"/>
        </w:rPr>
        <w:t>老基金队列须谨慎解读</w:t>
      </w:r>
      <w:r>
        <w:rPr>
          <w:rFonts w:ascii="Times New Roman" w:hAnsi="Times New Roman" w:eastAsia="宋体"/>
          <w:b w:val="0"/>
          <w:i w:val="0"/>
          <w:sz w:val="21"/>
        </w:rPr>
        <w:t>：该队列仅 61 只（样本期起点早于 2020 年的存续基金，本身即幸存者），小样本功效有限；认知（t=+2.72）与风险转化（t=+8.89）保持显著，配置选择转为负且不显著、风险应对失去显著性——这与老基金调仓频率天然下降、配置结构趋于稳定的行为特征一致，不宜解读为维度失效。综合两个队列，本文的核心结论（认知与风险转化是最稳定的行为业绩来源）在 2020 年前后均成立。</w:t>
      </w:r>
    </w:p>
    <w:sectPr w:rsidR="00FC693F" w:rsidRPr="0006063C" w:rsidSect="00034616">
      <w:footerReference w:type="default" r:id="rId9"/>
      <w:pgSz w:w="12240" w:h="15840"/>
      <w:pgMar w:top="1361"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