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1F497D"/>
          <w:sz w:val="40"/>
        </w:rPr>
        <w:t>Computational Models of Tumour Cell Evolution</w:t>
      </w:r>
    </w:p>
    <w:p>
      <w:pPr>
        <w:spacing w:after="120"/>
        <w:jc w:val="center"/>
      </w:pPr>
      <w:r>
        <w:rPr>
          <w:rFonts w:ascii="Calibri" w:hAnsi="Calibri"/>
          <w:i/>
          <w:color w:val="2E74B5"/>
          <w:sz w:val="26"/>
        </w:rPr>
        <w:t>Chapter Proposal — Multidisciplinary Knowledge Transfer in Computational Oncology</w:t>
      </w:r>
    </w:p>
    <w:p>
      <w:pPr>
        <w:spacing w:before="120"/>
        <w:jc w:val="center"/>
      </w:pPr>
      <w:r>
        <w:rPr>
          <w:rFonts w:ascii="Calibri" w:hAnsi="Calibri"/>
          <w:color w:val="595959"/>
          <w:sz w:val="20"/>
        </w:rPr>
        <w:t>April 2026  ·  Working draft for internal review</w:t>
      </w:r>
    </w:p>
    <w:p/>
    <w:p>
      <w:pPr>
        <w:spacing w:before="200" w:after="200"/>
        <w:pBdr>
          <w:bottom w:val="single" w:sz="6" w:space="1" w:color="2E74B5"/>
        </w:pBdr>
      </w:pPr>
    </w:p>
    <w:p>
      <w:r>
        <w:br w:type="page"/>
      </w:r>
    </w:p>
    <w:p>
      <w:pPr>
        <w:pStyle w:val="Heading1"/>
      </w:pPr>
      <w:r>
        <w:t>1. Purpose and Scope</w:t>
      </w:r>
    </w:p>
    <w:p>
      <w:pPr>
        <w:spacing w:before="0" w:after="160"/>
        <w:jc w:val="both"/>
      </w:pPr>
      <w:r>
        <w:rPr>
          <w:b w:val="0"/>
          <w:i w:val="0"/>
        </w:rPr>
        <w:t>This document presents the proposal for a chapter — or a set of closely related chapters — on computational modelling of tumour cell evolution. The chapter is intended for an audience of biologists, mathematicians, and software engineers, and is designed to be readable and useful to all three groups simultaneously. It describes work that has already been carried out, positions that work within a broader research programme, and identifies the immediate next steps required to extend the framework towards systems capable of representing genuinely complex biology.</w:t>
      </w:r>
    </w:p>
    <w:p>
      <w:pPr>
        <w:spacing w:before="0" w:after="160"/>
        <w:jc w:val="both"/>
      </w:pPr>
      <w:r>
        <w:rPr>
          <w:b w:val="0"/>
          <w:i w:val="0"/>
        </w:rPr>
        <w:t>The chapter is not primarily a collection of simulation results. Its central argument is that the development of rigorous computational models in oncology requires disciplinary transfer in three directions at once: biologists must be able to read and validate the models; mathematicians must be able to verify that the formal properties of the underlying processes are preserved in implementation; and engineers must be able to extend the models without breaking the scientific integrity of the system. The three models presented here were built with this requirement as a design constraint, not as an afterthought.</w:t>
      </w:r>
    </w:p>
    <w:p>
      <w:pPr>
        <w:spacing w:before="0" w:after="160"/>
        <w:jc w:val="both"/>
      </w:pPr>
      <w:r>
        <w:rPr>
          <w:b w:val="0"/>
          <w:i w:val="0"/>
        </w:rPr>
        <w:t>This work constitutes the initial research line of a longer programme. Its value lies in the knowledge infrastructure it establishes — a shared vocabulary, a set of abstract interfaces, and a validated software foundation — rather than in any individual simulation result. Each model is a step in a deliberate progression towards systems that represent spatially heterogeneous, multi-scale tumour dynamics.</w:t>
      </w:r>
    </w:p>
    <w:p>
      <w:pPr>
        <w:pStyle w:val="Heading1"/>
      </w:pPr>
      <w:r>
        <w:t>2. The Knowledge Transfer Framework</w:t>
      </w:r>
    </w:p>
    <w:p>
      <w:pPr>
        <w:spacing w:before="0" w:after="160"/>
        <w:jc w:val="both"/>
      </w:pPr>
      <w:r>
        <w:rPr>
          <w:b w:val="0"/>
          <w:i w:val="0"/>
        </w:rPr>
        <w:t>The computational modelling of oncogenesis has traditionally been pursued within disciplinary silos. Engineers build tools that biologists cannot inspect or extend. Mathematicians formalise models that engineers cannot implement without losing rigour. The result is a reproducibility problem that is structural, not incidental: it is built into the way these disciplines interact.</w:t>
      </w:r>
    </w:p>
    <w:p>
      <w:pPr>
        <w:spacing w:before="0" w:after="160"/>
        <w:jc w:val="both"/>
      </w:pPr>
      <w:r>
        <w:rPr>
          <w:b w:val="0"/>
          <w:i w:val="0"/>
        </w:rPr>
        <w:t>This chapter addresses that problem through a concrete proposal: software architecture is not a technical detail of a computational model — it is a scientific decision. The choice of how to structure the code determines whether the model is testable, reproducible, and extensible. It determines whether a biologist can trace a simulation behaviour back to a biological assumption, and whether a mathematician can verify that a formal operator is correctly implemented. These are not engineering concerns. They are scientific validity concerns.</w:t>
      </w:r>
    </w:p>
    <w:p>
      <w:pPr>
        <w:spacing w:before="0" w:after="160"/>
        <w:jc w:val="both"/>
      </w:pPr>
      <w:r>
        <w:rPr>
          <w:b w:val="0"/>
          <w:i w:val="0"/>
        </w:rPr>
        <w:t>The three models in this chapter instantiate three directions of disciplinary transfer:</w:t>
      </w:r>
    </w:p>
    <w:p>
      <w:pPr>
        <w:pStyle w:val="ListBullet"/>
        <w:spacing w:after="60"/>
      </w:pPr>
      <w:r>
        <w:t>Biology to engineering. The domain concepts of each model — clone, genomic instability, apoptotic evasion, selection pressure — are not just described in the documentation. They are the names of the software components. The language of the domain is the language of the code. A biologist reading the source can identify where their assumptions live and what it would take to change them.</w:t>
      </w:r>
    </w:p>
    <w:p>
      <w:pPr>
        <w:pStyle w:val="ListBullet"/>
        <w:spacing w:after="60"/>
      </w:pPr>
      <w:r>
        <w:t>Mathematics to engineering. The formal operators of each model — the Moran selection probability, the Gillespie waiting time, the τ-leap firing count — are translated directly into abstract interfaces. The software does not approximate the mathematics: it implements it as an executable specification.</w:t>
      </w:r>
    </w:p>
    <w:p>
      <w:pPr>
        <w:pStyle w:val="ListBullet"/>
        <w:spacing w:after="60"/>
      </w:pPr>
      <w:r>
        <w:t>Engineering to science. The unit test suites play the role of computational controls: boundary conditions that must always hold, boundary cases that must always fail. Deterministic reproducibility via configurable random seeds mirrors experimental repeatability. The separation of domain logic from infrastructure ensures that a change in output format cannot accidentally alter the simulation results.</w:t>
      </w:r>
    </w:p>
    <w:p>
      <w:pPr>
        <w:spacing w:before="0" w:after="240"/>
        <w:jc w:val="both"/>
      </w:pPr>
      <w:r>
        <w:rPr>
          <w:b w:val="0"/>
          <w:i w:val="0"/>
        </w:rPr>
        <w:t>This three-directional transfer is the methodological contribution of the chapter. The simulation results are evidence that the framework works; they are not the framework itself.</w:t>
      </w:r>
    </w:p>
    <w:p>
      <w:pPr>
        <w:pStyle w:val="Heading1"/>
      </w:pPr>
      <w:r>
        <w:t>3. The Three Models: A Structured Progression</w:t>
      </w:r>
    </w:p>
    <w:p>
      <w:pPr>
        <w:spacing w:before="0" w:after="160"/>
        <w:jc w:val="both"/>
      </w:pPr>
      <w:r>
        <w:rPr>
          <w:b w:val="0"/>
          <w:i w:val="0"/>
        </w:rPr>
        <w:t>The three models are presented as a spectrum with increasing biological complexity and increasing mathematical formalism, while the engineering contribution shifts from being the primary contribution (in cellSim) to being the enabling infrastructure (in Gillespie). Table 1 summarises the key dimensions of this progression, including the two planned models that define the next research phase.</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497D"/>
          </w:tcPr>
          <w:p>
            <w:r>
              <w:rPr>
                <w:b/>
                <w:color w:val="FFFFFF"/>
                <w:sz w:val="18"/>
              </w:rPr>
              <w:t>Dimension</w:t>
            </w:r>
          </w:p>
        </w:tc>
        <w:tc>
          <w:tcPr>
            <w:tcW w:type="dxa" w:w="1520"/>
            <w:shd w:val="clear" w:color="auto" w:fill="1F497D"/>
          </w:tcPr>
          <w:p>
            <w:r>
              <w:rPr>
                <w:b/>
                <w:color w:val="FFFFFF"/>
                <w:sz w:val="18"/>
              </w:rPr>
              <w:t>cellSim</w:t>
            </w:r>
          </w:p>
        </w:tc>
        <w:tc>
          <w:tcPr>
            <w:tcW w:type="dxa" w:w="1520"/>
            <w:shd w:val="clear" w:color="auto" w:fill="1F497D"/>
          </w:tcPr>
          <w:p>
            <w:r>
              <w:rPr>
                <w:b/>
                <w:color w:val="FFFFFF"/>
                <w:sz w:val="18"/>
              </w:rPr>
              <w:t>Moran Process</w:t>
            </w:r>
          </w:p>
        </w:tc>
        <w:tc>
          <w:tcPr>
            <w:tcW w:type="dxa" w:w="1520"/>
            <w:shd w:val="clear" w:color="auto" w:fill="1F497D"/>
          </w:tcPr>
          <w:p>
            <w:r>
              <w:rPr>
                <w:b/>
                <w:color w:val="FFFFFF"/>
                <w:sz w:val="18"/>
              </w:rPr>
              <w:t>Gillespie</w:t>
            </w:r>
          </w:p>
        </w:tc>
        <w:tc>
          <w:tcPr>
            <w:tcW w:type="dxa" w:w="1520"/>
            <w:shd w:val="clear" w:color="auto" w:fill="1F497D"/>
          </w:tcPr>
          <w:p>
            <w:r>
              <w:rPr>
                <w:b/>
                <w:color w:val="FFFFFF"/>
                <w:sz w:val="18"/>
              </w:rPr>
              <w:t>Binomial τ-leap</w:t>
            </w:r>
          </w:p>
        </w:tc>
        <w:tc>
          <w:tcPr>
            <w:tcW w:type="dxa" w:w="1520"/>
            <w:shd w:val="clear" w:color="auto" w:fill="1F497D"/>
          </w:tcPr>
          <w:p>
            <w:r>
              <w:rPr>
                <w:b/>
                <w:color w:val="FFFFFF"/>
                <w:sz w:val="18"/>
              </w:rPr>
              <w:t>Spatial τ-leap</w:t>
            </w:r>
          </w:p>
        </w:tc>
      </w:tr>
      <w:tr>
        <w:tc>
          <w:tcPr>
            <w:tcW w:type="dxa" w:w="1520"/>
          </w:tcPr>
          <w:p>
            <w:pPr>
              <w:spacing w:before="40" w:after="40"/>
            </w:pPr>
            <w:r>
              <w:rPr>
                <w:b/>
                <w:sz w:val="18"/>
              </w:rPr>
              <w:t>Time</w:t>
            </w:r>
          </w:p>
        </w:tc>
        <w:tc>
          <w:tcPr>
            <w:tcW w:type="dxa" w:w="1520"/>
          </w:tcPr>
          <w:p>
            <w:pPr>
              <w:spacing w:before="40" w:after="40"/>
            </w:pPr>
            <w:r>
              <w:rPr>
                <w:sz w:val="18"/>
              </w:rPr>
              <w:t>Discrete (years)</w:t>
            </w:r>
          </w:p>
        </w:tc>
        <w:tc>
          <w:tcPr>
            <w:tcW w:type="dxa" w:w="1520"/>
          </w:tcPr>
          <w:p>
            <w:pPr>
              <w:spacing w:before="40" w:after="40"/>
            </w:pPr>
            <w:r>
              <w:rPr>
                <w:sz w:val="18"/>
              </w:rPr>
              <w:t>Discrete (steps)</w:t>
            </w:r>
          </w:p>
        </w:tc>
        <w:tc>
          <w:tcPr>
            <w:tcW w:type="dxa" w:w="1520"/>
          </w:tcPr>
          <w:p>
            <w:pPr>
              <w:spacing w:before="40" w:after="40"/>
            </w:pPr>
            <w:r>
              <w:rPr>
                <w:sz w:val="18"/>
              </w:rPr>
              <w:t>Continuous</w:t>
            </w:r>
          </w:p>
        </w:tc>
        <w:tc>
          <w:tcPr>
            <w:tcW w:type="dxa" w:w="1520"/>
          </w:tcPr>
          <w:p>
            <w:pPr>
              <w:spacing w:before="40" w:after="40"/>
            </w:pPr>
            <w:r>
              <w:rPr>
                <w:sz w:val="18"/>
              </w:rPr>
              <w:t>Continuous</w:t>
            </w:r>
          </w:p>
        </w:tc>
        <w:tc>
          <w:tcPr>
            <w:tcW w:type="dxa" w:w="1520"/>
          </w:tcPr>
          <w:p>
            <w:pPr>
              <w:spacing w:before="40" w:after="40"/>
            </w:pPr>
            <w:r>
              <w:rPr>
                <w:sz w:val="18"/>
              </w:rPr>
              <w:t>Continuous</w:t>
            </w:r>
          </w:p>
        </w:tc>
      </w:tr>
      <w:tr>
        <w:tc>
          <w:tcPr>
            <w:tcW w:type="dxa" w:w="1520"/>
            <w:shd w:val="clear" w:color="auto" w:fill="DEEAF1"/>
          </w:tcPr>
          <w:p>
            <w:pPr>
              <w:spacing w:before="40" w:after="40"/>
            </w:pPr>
            <w:r>
              <w:rPr>
                <w:b/>
                <w:sz w:val="18"/>
              </w:rPr>
              <w:t>Population</w:t>
            </w:r>
          </w:p>
        </w:tc>
        <w:tc>
          <w:tcPr>
            <w:tcW w:type="dxa" w:w="1520"/>
            <w:shd w:val="clear" w:color="auto" w:fill="DEEAF1"/>
          </w:tcPr>
          <w:p>
            <w:pPr>
              <w:spacing w:before="40" w:after="40"/>
            </w:pPr>
            <w:r>
              <w:rPr>
                <w:sz w:val="18"/>
              </w:rPr>
              <w:t>Variable (agents)</w:t>
            </w:r>
          </w:p>
        </w:tc>
        <w:tc>
          <w:tcPr>
            <w:tcW w:type="dxa" w:w="1520"/>
            <w:shd w:val="clear" w:color="auto" w:fill="DEEAF1"/>
          </w:tcPr>
          <w:p>
            <w:pPr>
              <w:spacing w:before="40" w:after="40"/>
            </w:pPr>
            <w:r>
              <w:rPr>
                <w:sz w:val="18"/>
              </w:rPr>
              <w:t>Fixed (N const.)</w:t>
            </w:r>
          </w:p>
        </w:tc>
        <w:tc>
          <w:tcPr>
            <w:tcW w:type="dxa" w:w="1520"/>
            <w:shd w:val="clear" w:color="auto" w:fill="DEEAF1"/>
          </w:tcPr>
          <w:p>
            <w:pPr>
              <w:spacing w:before="40" w:after="40"/>
            </w:pPr>
            <w:r>
              <w:rPr>
                <w:sz w:val="18"/>
              </w:rPr>
              <w:t>Variable (clones)</w:t>
            </w:r>
          </w:p>
        </w:tc>
        <w:tc>
          <w:tcPr>
            <w:tcW w:type="dxa" w:w="1520"/>
            <w:shd w:val="clear" w:color="auto" w:fill="DEEAF1"/>
          </w:tcPr>
          <w:p>
            <w:pPr>
              <w:spacing w:before="40" w:after="40"/>
            </w:pPr>
            <w:r>
              <w:rPr>
                <w:sz w:val="18"/>
              </w:rPr>
              <w:t>Variable (N large)</w:t>
            </w:r>
          </w:p>
        </w:tc>
        <w:tc>
          <w:tcPr>
            <w:tcW w:type="dxa" w:w="1520"/>
            <w:shd w:val="clear" w:color="auto" w:fill="DEEAF1"/>
          </w:tcPr>
          <w:p>
            <w:pPr>
              <w:spacing w:before="40" w:after="40"/>
            </w:pPr>
            <w:r>
              <w:rPr>
                <w:sz w:val="18"/>
              </w:rPr>
              <w:t>Variable</w:t>
            </w:r>
          </w:p>
        </w:tc>
      </w:tr>
      <w:tr>
        <w:tc>
          <w:tcPr>
            <w:tcW w:type="dxa" w:w="1520"/>
          </w:tcPr>
          <w:p>
            <w:pPr>
              <w:spacing w:before="40" w:after="40"/>
            </w:pPr>
            <w:r>
              <w:rPr>
                <w:b/>
                <w:sz w:val="18"/>
              </w:rPr>
              <w:t>Space</w:t>
            </w:r>
          </w:p>
        </w:tc>
        <w:tc>
          <w:tcPr>
            <w:tcW w:type="dxa" w:w="1520"/>
          </w:tcPr>
          <w:p>
            <w:pPr>
              <w:spacing w:before="40" w:after="40"/>
            </w:pPr>
            <w:r>
              <w:rPr>
                <w:sz w:val="18"/>
              </w:rPr>
              <w:t>Tissue, no geometry</w:t>
            </w:r>
          </w:p>
        </w:tc>
        <w:tc>
          <w:tcPr>
            <w:tcW w:type="dxa" w:w="1520"/>
          </w:tcPr>
          <w:p>
            <w:pPr>
              <w:spacing w:before="40" w:after="40"/>
            </w:pPr>
            <w:r>
              <w:rPr>
                <w:sz w:val="18"/>
              </w:rPr>
              <w:t>Well-mixed</w:t>
            </w:r>
          </w:p>
        </w:tc>
        <w:tc>
          <w:tcPr>
            <w:tcW w:type="dxa" w:w="1520"/>
          </w:tcPr>
          <w:p>
            <w:pPr>
              <w:spacing w:before="40" w:after="40"/>
            </w:pPr>
            <w:r>
              <w:rPr>
                <w:sz w:val="18"/>
              </w:rPr>
              <w:t>Well-mixed</w:t>
            </w:r>
          </w:p>
        </w:tc>
        <w:tc>
          <w:tcPr>
            <w:tcW w:type="dxa" w:w="1520"/>
          </w:tcPr>
          <w:p>
            <w:pPr>
              <w:spacing w:before="40" w:after="40"/>
            </w:pPr>
            <w:r>
              <w:rPr>
                <w:sz w:val="18"/>
              </w:rPr>
              <w:t>Well-mixed</w:t>
            </w:r>
          </w:p>
        </w:tc>
        <w:tc>
          <w:tcPr>
            <w:tcW w:type="dxa" w:w="1520"/>
          </w:tcPr>
          <w:p>
            <w:pPr>
              <w:spacing w:before="40" w:after="40"/>
            </w:pPr>
            <w:r>
              <w:rPr>
                <w:sz w:val="18"/>
              </w:rPr>
              <w:t>Compartments</w:t>
            </w:r>
          </w:p>
        </w:tc>
      </w:tr>
      <w:tr>
        <w:tc>
          <w:tcPr>
            <w:tcW w:type="dxa" w:w="1520"/>
            <w:shd w:val="clear" w:color="auto" w:fill="DEEAF1"/>
          </w:tcPr>
          <w:p>
            <w:pPr>
              <w:spacing w:before="40" w:after="40"/>
            </w:pPr>
            <w:r>
              <w:rPr>
                <w:b/>
                <w:sz w:val="18"/>
              </w:rPr>
              <w:t>SE pattern</w:t>
            </w:r>
          </w:p>
        </w:tc>
        <w:tc>
          <w:tcPr>
            <w:tcW w:type="dxa" w:w="1520"/>
            <w:shd w:val="clear" w:color="auto" w:fill="DEEAF1"/>
          </w:tcPr>
          <w:p>
            <w:pPr>
              <w:spacing w:before="40" w:after="40"/>
            </w:pPr>
            <w:r>
              <w:rPr>
                <w:sz w:val="18"/>
              </w:rPr>
              <w:t>Clean Architecture</w:t>
            </w:r>
          </w:p>
        </w:tc>
        <w:tc>
          <w:tcPr>
            <w:tcW w:type="dxa" w:w="1520"/>
            <w:shd w:val="clear" w:color="auto" w:fill="DEEAF1"/>
          </w:tcPr>
          <w:p>
            <w:pPr>
              <w:spacing w:before="40" w:after="40"/>
            </w:pPr>
            <w:r>
              <w:rPr>
                <w:sz w:val="18"/>
              </w:rPr>
              <w:t>Ports &amp; Adapters</w:t>
            </w:r>
          </w:p>
        </w:tc>
        <w:tc>
          <w:tcPr>
            <w:tcW w:type="dxa" w:w="1520"/>
            <w:shd w:val="clear" w:color="auto" w:fill="DEEAF1"/>
          </w:tcPr>
          <w:p>
            <w:pPr>
              <w:spacing w:before="40" w:after="40"/>
            </w:pPr>
            <w:r>
              <w:rPr>
                <w:sz w:val="18"/>
              </w:rPr>
              <w:t>Hexagonal + DDD</w:t>
            </w:r>
          </w:p>
        </w:tc>
        <w:tc>
          <w:tcPr>
            <w:tcW w:type="dxa" w:w="1520"/>
            <w:shd w:val="clear" w:color="auto" w:fill="DEEAF1"/>
          </w:tcPr>
          <w:p>
            <w:pPr>
              <w:spacing w:before="40" w:after="40"/>
            </w:pPr>
            <w:r>
              <w:rPr>
                <w:sz w:val="18"/>
              </w:rPr>
              <w:t>Strategy port</w:t>
            </w:r>
          </w:p>
        </w:tc>
        <w:tc>
          <w:tcPr>
            <w:tcW w:type="dxa" w:w="1520"/>
            <w:shd w:val="clear" w:color="auto" w:fill="DEEAF1"/>
          </w:tcPr>
          <w:p>
            <w:pPr>
              <w:spacing w:before="40" w:after="40"/>
            </w:pPr>
            <w:r>
              <w:rPr>
                <w:sz w:val="18"/>
              </w:rPr>
              <w:t>Multi-aggregate</w:t>
            </w:r>
          </w:p>
        </w:tc>
      </w:tr>
      <w:tr>
        <w:tc>
          <w:tcPr>
            <w:tcW w:type="dxa" w:w="1520"/>
          </w:tcPr>
          <w:p>
            <w:pPr>
              <w:spacing w:before="40" w:after="40"/>
            </w:pPr>
            <w:r>
              <w:rPr>
                <w:b/>
                <w:sz w:val="18"/>
              </w:rPr>
              <w:t>Main contribution</w:t>
            </w:r>
          </w:p>
        </w:tc>
        <w:tc>
          <w:tcPr>
            <w:tcW w:type="dxa" w:w="1520"/>
          </w:tcPr>
          <w:p>
            <w:pPr>
              <w:spacing w:before="40" w:after="40"/>
            </w:pPr>
            <w:r>
              <w:rPr>
                <w:sz w:val="18"/>
              </w:rPr>
              <w:t>Software engineering</w:t>
            </w:r>
          </w:p>
        </w:tc>
        <w:tc>
          <w:tcPr>
            <w:tcW w:type="dxa" w:w="1520"/>
          </w:tcPr>
          <w:p>
            <w:pPr>
              <w:spacing w:before="40" w:after="40"/>
            </w:pPr>
            <w:r>
              <w:rPr>
                <w:sz w:val="18"/>
              </w:rPr>
              <w:t>Mathematics</w:t>
            </w:r>
          </w:p>
        </w:tc>
        <w:tc>
          <w:tcPr>
            <w:tcW w:type="dxa" w:w="1520"/>
          </w:tcPr>
          <w:p>
            <w:pPr>
              <w:spacing w:before="40" w:after="40"/>
            </w:pPr>
            <w:r>
              <w:rPr>
                <w:sz w:val="18"/>
              </w:rPr>
              <w:t>Cancer biology</w:t>
            </w:r>
          </w:p>
        </w:tc>
        <w:tc>
          <w:tcPr>
            <w:tcW w:type="dxa" w:w="1520"/>
          </w:tcPr>
          <w:p>
            <w:pPr>
              <w:spacing w:before="40" w:after="40"/>
            </w:pPr>
            <w:r>
              <w:rPr>
                <w:sz w:val="18"/>
              </w:rPr>
              <w:t>Scalability</w:t>
            </w:r>
          </w:p>
        </w:tc>
        <w:tc>
          <w:tcPr>
            <w:tcW w:type="dxa" w:w="1520"/>
          </w:tcPr>
          <w:p>
            <w:pPr>
              <w:spacing w:before="40" w:after="40"/>
            </w:pPr>
            <w:r>
              <w:rPr>
                <w:sz w:val="18"/>
              </w:rPr>
              <w:t>Spatial realism</w:t>
            </w:r>
          </w:p>
        </w:tc>
      </w:tr>
      <w:tr>
        <w:tc>
          <w:tcPr>
            <w:tcW w:type="dxa" w:w="1520"/>
            <w:shd w:val="clear" w:color="auto" w:fill="DEEAF1"/>
          </w:tcPr>
          <w:p>
            <w:pPr>
              <w:spacing w:before="40" w:after="40"/>
            </w:pPr>
            <w:r>
              <w:rPr>
                <w:b/>
                <w:sz w:val="18"/>
              </w:rPr>
              <w:t>Status</w:t>
            </w:r>
          </w:p>
        </w:tc>
        <w:tc>
          <w:tcPr>
            <w:tcW w:type="dxa" w:w="1520"/>
            <w:shd w:val="clear" w:color="auto" w:fill="DEEAF1"/>
          </w:tcPr>
          <w:p>
            <w:pPr>
              <w:spacing w:before="40" w:after="40"/>
            </w:pPr>
            <w:r>
              <w:rPr>
                <w:sz w:val="18"/>
              </w:rPr>
              <w:t>Implemented ✓</w:t>
            </w:r>
          </w:p>
        </w:tc>
        <w:tc>
          <w:tcPr>
            <w:tcW w:type="dxa" w:w="1520"/>
            <w:shd w:val="clear" w:color="auto" w:fill="DEEAF1"/>
          </w:tcPr>
          <w:p>
            <w:pPr>
              <w:spacing w:before="40" w:after="40"/>
            </w:pPr>
            <w:r>
              <w:rPr>
                <w:sz w:val="18"/>
              </w:rPr>
              <w:t>Implemented ✓</w:t>
            </w:r>
          </w:p>
        </w:tc>
        <w:tc>
          <w:tcPr>
            <w:tcW w:type="dxa" w:w="1520"/>
            <w:shd w:val="clear" w:color="auto" w:fill="DEEAF1"/>
          </w:tcPr>
          <w:p>
            <w:pPr>
              <w:spacing w:before="40" w:after="40"/>
            </w:pPr>
            <w:r>
              <w:rPr>
                <w:sz w:val="18"/>
              </w:rPr>
              <w:t>Implemented ✓</w:t>
            </w:r>
          </w:p>
        </w:tc>
        <w:tc>
          <w:tcPr>
            <w:tcW w:type="dxa" w:w="1520"/>
            <w:shd w:val="clear" w:color="auto" w:fill="DEEAF1"/>
          </w:tcPr>
          <w:p>
            <w:pPr>
              <w:spacing w:before="40" w:after="40"/>
            </w:pPr>
            <w:r>
              <w:rPr>
                <w:sz w:val="18"/>
              </w:rPr>
              <w:t>Roadmap →</w:t>
            </w:r>
          </w:p>
        </w:tc>
        <w:tc>
          <w:tcPr>
            <w:tcW w:type="dxa" w:w="1520"/>
            <w:shd w:val="clear" w:color="auto" w:fill="DEEAF1"/>
          </w:tcPr>
          <w:p>
            <w:pPr>
              <w:spacing w:before="40" w:after="40"/>
            </w:pPr>
            <w:r>
              <w:rPr>
                <w:sz w:val="18"/>
              </w:rPr>
              <w:t>Roadmap →</w:t>
            </w:r>
          </w:p>
        </w:tc>
      </w:tr>
    </w:tbl>
    <w:p>
      <w:pPr>
        <w:spacing w:before="80" w:after="280"/>
      </w:pPr>
      <w:r>
        <w:rPr>
          <w:i/>
          <w:sz w:val="18"/>
        </w:rPr>
        <w:t>Table 1. The five computational models as a structured progression. The first three are fully implemented and validated. The last two define the next research phase.</w:t>
      </w:r>
    </w:p>
    <w:p>
      <w:pPr>
        <w:pStyle w:val="Heading2"/>
      </w:pPr>
      <w:r>
        <w:t>3.1  cellSim: Agent-Based Oncogenesis</w:t>
      </w:r>
    </w:p>
    <w:p>
      <w:pPr>
        <w:spacing w:before="0" w:after="160"/>
        <w:jc w:val="both"/>
      </w:pPr>
      <w:r>
        <w:rPr>
          <w:b w:val="0"/>
          <w:i w:val="0"/>
        </w:rPr>
        <w:t>cellSim is an agent-based simulator of cell evolution implemented in C++17. Each cell is modelled as an autonomous agent characterised by two tumour-suppressor genes — BRCA1 and TP53 — and two continuous instability accumulators: D1, representing accumulated genomic damage, and D2, representing apoptotic evasion capacity. Cells progress through six discrete life stages governed by probabilistic mutation rules and threshold-based transitions. The target biological context is a germline BRCA1 heterozygous carrier population (Hereditary Breast and Ovarian Cancer, HBOC).</w:t>
      </w:r>
    </w:p>
    <w:p>
      <w:pPr>
        <w:spacing w:before="0" w:after="160"/>
        <w:jc w:val="both"/>
      </w:pPr>
      <w:r>
        <w:rPr>
          <w:b w:val="0"/>
          <w:i w:val="0"/>
        </w:rPr>
        <w:t>The primary disciplinary contribution of cellSim is architectural. The simulator follows Clean Architecture principles — separating domain logic, application orchestration, and infrastructure concerns into independent layers — with 53 passing unit tests and fully deterministic output via configurable random seeds. A Big Bang mode reproduces the explosive neoplastic expansion described by Sottoriva et al. (2015), validated across 14 parametric scenarios.</w:t>
      </w:r>
    </w:p>
    <w:p>
      <w:pPr>
        <w:spacing w:before="0" w:after="160"/>
        <w:jc w:val="both"/>
      </w:pPr>
      <w:r>
        <w:rPr>
          <w:b w:val="0"/>
          <w:i w:val="0"/>
        </w:rPr>
        <w:t>Key validated results include: BRCA1-/- under intact TP53 causes complete cell extinction (Scenario 03); elevated TP53 mutation rate drives 98% neoplastic transformation (Scenario 04); and balanced parameters reproduce an epidemiologically plausible neoplastic fraction of 4.7% (Scenario 09). Big Bang mode produces a 34× higher neoplastic cell count at year 30 compared to the balanced configuration, with 100% immortality among neoplastic cells.</w:t>
      </w:r>
    </w:p>
    <w:p>
      <w:pPr>
        <w:spacing w:before="0" w:after="160"/>
        <w:jc w:val="both"/>
      </w:pPr>
      <w:r>
        <w:rPr>
          <w:b w:val="0"/>
          <w:i w:val="0"/>
        </w:rPr>
        <w:t>The current 14 scenarios were defined primarily for architectural validation — to confirm that boundary conditions are correctly reproduced. A second generation of scenarios, grounded in specific biological hypotheses, remains to be defined jointly by the biology and engineering teams. The decisions required include: which germline backgrounds to use as starting conditions, which tissue types are appropriate for the HBOC context, what population sizes and simulation durations correspond to clinically relevant windows, and what output formats are needed for downstream statistical analysis by the biology team.</w:t>
      </w:r>
    </w:p>
    <w:p>
      <w:pPr>
        <w:spacing w:before="120" w:after="240"/>
        <w:ind w:left="576" w:right="576"/>
        <w:pBdr>
          <w:left w:val="single" w:sz="6" w:space="12" w:color="2E74B5"/>
        </w:pBdr>
      </w:pPr>
      <w:r>
        <w:rPr>
          <w:i/>
          <w:color w:val="333333"/>
          <w:sz w:val="20"/>
        </w:rPr>
        <w:t>Working note (cellSim): A use-case definition session is needed before the scenario library can be extended beyond its validation role. Suggested format: a joint workshop with 3–5 specific biological hypotheses mapped to concrete simulation parameters and expected output metrics. The biology team should lead hypothesis selection; the engineering team should assess parametric feasibility.</w:t>
      </w:r>
    </w:p>
    <w:p>
      <w:pPr>
        <w:pStyle w:val="Heading2"/>
      </w:pPr>
      <w:r>
        <w:t>3.2  The Moran Process: Stochastic Selection in Fixed-Size Populations</w:t>
      </w:r>
    </w:p>
    <w:p>
      <w:pPr>
        <w:spacing w:before="0" w:after="160"/>
        <w:jc w:val="both"/>
      </w:pPr>
      <w:r>
        <w:rPr>
          <w:b w:val="0"/>
          <w:i w:val="0"/>
        </w:rPr>
        <w:t>The Moran process (Moran, 1958) is a discrete-time stochastic model of evolution in a population of fixed size N. At each step, one individual is selected to reproduce with probability proportional to relative fitness, and one individual is simultaneously removed. This formulation captures the competition between genetic drift and directional selection in a neutral or fitness-biased environment, and has a well-developed theory of fixation probabilities and expected fixation times.</w:t>
      </w:r>
    </w:p>
    <w:p>
      <w:pPr>
        <w:spacing w:before="0" w:after="160"/>
        <w:jc w:val="both"/>
      </w:pPr>
      <w:r>
        <w:rPr>
          <w:b w:val="0"/>
          <w:i w:val="0"/>
        </w:rPr>
        <w:t>The primary disciplinary contribution of the Moran implementation is mathematical. The two formal operators of the process — selection and mutation — are implemented as abstract software interfaces (EvolutionEngineInterface, MutationEngineInterface). Two concrete implementations are provided: a deterministic engine and a Bernoulli stochastic engine, both operating through the same interface. This is the Strategy Pattern as direct expression of mathematical operator interchangeability. The implementation carries 32 passing unit tests.</w:t>
      </w:r>
    </w:p>
    <w:p>
      <w:pPr>
        <w:spacing w:before="0" w:after="160"/>
        <w:jc w:val="both"/>
      </w:pPr>
      <w:r>
        <w:rPr>
          <w:b w:val="0"/>
          <w:i w:val="0"/>
        </w:rPr>
        <w:t>Biologically, the Moran process functions as the mathematical null hypothesis of tissue homeostasis: it is appropriate for contexts with strict carrying capacity constraints, such as intestinal crypts or haematopoietic niches, and as a baseline model for neutral evolution. Its fundamental limitation for tumour modelling is the fixed-size constraint: tumours are characterised by unrestricted growth, which this model cannot represent. The transition to the Gillespie framework in the next section is therefore mathematically and biologically motivated.</w:t>
      </w:r>
    </w:p>
    <w:p>
      <w:pPr>
        <w:pStyle w:val="Heading2"/>
      </w:pPr>
      <w:r>
        <w:t>3.3  The Gillespie Algorithm: Continuous-Time Stochastic Tumour Dynamics</w:t>
      </w:r>
    </w:p>
    <w:p>
      <w:pPr>
        <w:spacing w:before="0" w:after="160"/>
        <w:jc w:val="both"/>
      </w:pPr>
      <w:r>
        <w:rPr>
          <w:b w:val="0"/>
          <w:i w:val="0"/>
        </w:rPr>
        <w:t>The Gillespie algorithm (Gillespie, 1977) is the exact stochastic simulation method for continuous-time Markov processes. In each step, the waiting time to the next event is sampled from an exponential distribution parametrised by the total event rate, and the event type is selected by weighted random sampling. Population size varies freely, capturing the defining biological feature of tumour growth: unrestricted clonal proliferation.</w:t>
      </w:r>
    </w:p>
    <w:p>
      <w:pPr>
        <w:spacing w:before="0" w:after="160"/>
        <w:jc w:val="both"/>
      </w:pPr>
      <w:r>
        <w:rPr>
          <w:b w:val="0"/>
          <w:i w:val="0"/>
        </w:rPr>
        <w:t>The implementation models a multi-clone tumour population in which each clone carries independent birth, death, and mutation rates. Clonal fitness gains accumulate multiplicatively upon mutation. Genomic instability increases continuously within each clone, modulating mutation rate over time. A logistic crowding strategy models the microenvironmental carrying capacity, with two interchangeable variants exposed as an abstract port — allowing the microenvironmental model to be replaced without modifying the core simulation logic. The implementation passes 88 unit tests.</w:t>
      </w:r>
    </w:p>
    <w:p>
      <w:pPr>
        <w:spacing w:before="0" w:after="160"/>
        <w:jc w:val="both"/>
      </w:pPr>
      <w:r>
        <w:rPr>
          <w:b w:val="0"/>
          <w:i w:val="0"/>
        </w:rPr>
        <w:t>The software architecture follows Hexagonal (Ports and Adapters) design with Domain-Driven Design principles. Domain value objects — Event, SimulationConfig — are declared immutable, reflecting the biological fact that a past simulation event cannot be revised and that configuration parameters must not change during a run. Infrastructure concerns (CSV output, command-line interface) are fully separated from the domain layer. This separation is not a style preference: it is what allows the biological model to be inspected and modified by a biologist without touching the persistence layer.</w:t>
      </w:r>
    </w:p>
    <w:p>
      <w:pPr>
        <w:spacing w:before="0" w:after="160"/>
        <w:jc w:val="both"/>
      </w:pPr>
      <w:r>
        <w:rPr>
          <w:b w:val="0"/>
          <w:i w:val="0"/>
        </w:rPr>
        <w:t>The scenario space of the Gillespie simulator has not yet been systematically explored. The parameter surface is rich — birth, death, and mutation rates per clone; fitness gain per mutation; instability dynamics; crowding strategy — but no canonical set of biologically motivated scenarios has been defined. A parameter calibration exercise is needed, benchmarked against published estimates for specific tumour types, and ideally shared with the cellSim scenario library to enable direct cross-model comparison.</w:t>
      </w:r>
    </w:p>
    <w:p>
      <w:pPr>
        <w:spacing w:before="120" w:after="240"/>
        <w:ind w:left="576" w:right="576"/>
        <w:pBdr>
          <w:left w:val="single" w:sz="6" w:space="12" w:color="2E74B5"/>
        </w:pBdr>
      </w:pPr>
      <w:r>
        <w:rPr>
          <w:i/>
          <w:color w:val="333333"/>
          <w:sz w:val="20"/>
        </w:rPr>
        <w:t>Working note (Gillespie): The mathematics team should lead the definition of the canonical scenario set, with input from the biology team on biologically plausible parameter ranges. A starting point would be to calibrate the neutral evolution baseline (fitness_gain=0, nu0 low) against published clonal dynamics from longitudinal sequencing studies, then introduce selective sweeps and instability dynamics progressively.</w:t>
      </w:r>
    </w:p>
    <w:p>
      <w:pPr>
        <w:pStyle w:val="Heading1"/>
      </w:pPr>
      <w:r>
        <w:t>4. Research Roadmap: The Next Two Steps</w:t>
      </w:r>
    </w:p>
    <w:p>
      <w:pPr>
        <w:spacing w:before="0" w:after="160"/>
        <w:jc w:val="both"/>
      </w:pPr>
      <w:r>
        <w:rPr>
          <w:b w:val="0"/>
          <w:i w:val="0"/>
        </w:rPr>
        <w:t>The three implemented models define a validated foundation. Two additional models are planned as the next research phase, each extending the framework along a specific axis of biological and computational complexity. Both are natural continuations of the progression established in this chapter, and both have clear architectural entry points in the existing codebase.</w:t>
      </w:r>
    </w:p>
    <w:p>
      <w:pPr>
        <w:pStyle w:val="Heading2"/>
      </w:pPr>
      <w:r>
        <w:t>4.1  Binomial τ-leap: Computational Scalability</w:t>
      </w:r>
    </w:p>
    <w:p>
      <w:pPr>
        <w:spacing w:before="0" w:after="160"/>
        <w:jc w:val="both"/>
      </w:pPr>
      <w:r>
        <w:rPr>
          <w:b w:val="0"/>
          <w:i w:val="0"/>
        </w:rPr>
        <w:t>The exact Gillespie algorithm is computationally intractable for tumour populations exceeding approximately 10,000 cells, because each event is resolved individually. The τ-leap family of algorithms addresses this by advancing multiple events per time step Δτ. The binomial τ-leap variant (Tian &amp; Burrage, 2004; Chatterjee et al., 2005) uses binomial random variables to count event firings per step. Unlike the original Poisson τ-leap, this guarantees that population counts never become negative — a biologically mandatory constraint that the Poisson variant does not enforce.</w:t>
      </w:r>
    </w:p>
    <w:p>
      <w:pPr>
        <w:spacing w:before="0" w:after="160"/>
        <w:jc w:val="both"/>
      </w:pPr>
      <w:r>
        <w:rPr>
          <w:b w:val="0"/>
          <w:i w:val="0"/>
        </w:rPr>
        <w:t>From the engineering perspective, this step requires introducing an interchangeable advancement strategy — ExactGillespie vs. BinomialTauLeap — as a new output port in the hexagonal architecture. The domain layer (Clone, Event, RateMatrix) remains unchanged. This is the architecture paying for itself: the investment in separation of concerns made in the Gillespie implementation directly enables this extension.</w:t>
      </w:r>
    </w:p>
    <w:p>
      <w:pPr>
        <w:spacing w:before="0" w:after="240"/>
        <w:jc w:val="both"/>
      </w:pPr>
      <w:r>
        <w:rPr>
          <w:b w:val="0"/>
          <w:i/>
        </w:rPr>
        <w:t>Reference: Tian T, Burrage K. Binomial leap methods for simulating stochastic chemical kinetics. Journal of Chemical Physics 121(21), 2004.</w:t>
      </w:r>
    </w:p>
    <w:p>
      <w:pPr>
        <w:pStyle w:val="Heading2"/>
      </w:pPr>
      <w:r>
        <w:t>4.2  Spatial Binomial τ-leap: Intratumoral Heterogeneity</w:t>
      </w:r>
    </w:p>
    <w:p>
      <w:pPr>
        <w:spacing w:before="0" w:after="160"/>
        <w:jc w:val="both"/>
      </w:pPr>
      <w:r>
        <w:rPr>
          <w:b w:val="0"/>
          <w:i w:val="0"/>
        </w:rPr>
        <w:t>All five models presented to this point are well-mixed: they assume that all cells interact globally, with no spatial structure. Solid tumours are spatially heterogeneous: oxygen gradients, physical pressure, and immune infiltration vary across the tumour mass, creating distinct microenvironments that drive differential clonal selection. This spatial heterogeneity is one of the principal mechanisms of therapeutic resistance and one of the defining features of intratumoral heterogeneity (ITH), which no well-mixed model can capture.</w:t>
      </w:r>
    </w:p>
    <w:p>
      <w:pPr>
        <w:spacing w:before="0" w:after="160"/>
        <w:jc w:val="both"/>
      </w:pPr>
      <w:r>
        <w:rPr>
          <w:b w:val="0"/>
          <w:i w:val="0"/>
        </w:rPr>
        <w:t>The spatial τ-leap (Drawert et al., 2010) partitions the tissue into compartments and adds diffusion and migration reactions between adjacent compartments. This introduces a new domain concept — a spatial compartment or tissue lattice — and requires the crowding strategy to become spatially explicit. Architecturally, this step represents the convergence of the two simulation paradigms in this chapter: the agent-based spatial structure of cellSim merges with the continuous-time stochastic rate formalism of the Gillespie models. It is the natural endpoint of the progression, and the point at which the system begins to represent genuinely complex biological dynamics.</w:t>
      </w:r>
    </w:p>
    <w:p>
      <w:pPr>
        <w:spacing w:before="0" w:after="240"/>
        <w:jc w:val="both"/>
      </w:pPr>
      <w:r>
        <w:rPr>
          <w:b w:val="0"/>
          <w:i/>
        </w:rPr>
        <w:t>Reference: Drawert B et al. URDME: a modular framework for stochastic simulation of reaction-transport processes in complex geometries. Journal of Chemical Physics 132(7), 2010.</w:t>
      </w:r>
    </w:p>
    <w:p>
      <w:pPr>
        <w:pStyle w:val="Heading1"/>
      </w:pPr>
      <w:r>
        <w:t>5. Notes for the Abstract</w:t>
      </w:r>
    </w:p>
    <w:p>
      <w:pPr>
        <w:spacing w:before="0" w:after="160"/>
        <w:jc w:val="both"/>
      </w:pPr>
      <w:r>
        <w:rPr>
          <w:b w:val="0"/>
          <w:i w:val="0"/>
        </w:rPr>
        <w:t>The abstract should open by framing the problem of disciplinary fragmentation in computational oncology, and then position this chapter as a concrete response to that problem. The three models should be introduced not as three separate contributions, but as a single structured framework that spans software engineering, applied mathematics, and cancer biology. The following framing is proposed as the anchor of the abstract:</w:t>
      </w:r>
    </w:p>
    <w:p>
      <w:pPr>
        <w:spacing w:before="0" w:after="200"/>
        <w:ind w:left="648" w:right="648"/>
        <w:jc w:val="both"/>
      </w:pPr>
      <w:r>
        <w:rPr>
          <w:b w:val="0"/>
          <w:i/>
        </w:rPr>
        <w:t>"We propose that software architecture constitutes a third disciplinary layer — alongside mathematics and biology — that determines the scientific validity, reproducibility, and extensibility of computational models in oncology. We present three implemented and validated models as a knowledge-transfer framework, and define two additional models as the next research phase towards systems capable of representing spatially heterogeneous tumour dynamics."</w:t>
      </w:r>
    </w:p>
    <w:p>
      <w:pPr>
        <w:spacing w:before="0" w:after="160"/>
        <w:jc w:val="both"/>
      </w:pPr>
      <w:r>
        <w:rPr>
          <w:b w:val="0"/>
          <w:i w:val="0"/>
        </w:rPr>
        <w:t>The abstract should address three audiences explicitly. For biologists: the models reproduce well-characterised oncological phenotypes and are configurable without modifying source code. For mathematicians: the formal operators are preserved as executable abstractions, and the progression from Moran to Gillespie to τ-leap is mathematically motivated. For engineers: the architectural patterns applied are standard, transferable, and documented through Architecture Decision Records (ADRs).</w:t>
      </w:r>
    </w:p>
    <w:p>
      <w:pPr>
        <w:spacing w:before="0" w:after="160"/>
        <w:jc w:val="both"/>
      </w:pPr>
      <w:r>
        <w:rPr>
          <w:b w:val="0"/>
          <w:i w:val="0"/>
        </w:rPr>
        <w:t>For the purposes of this grant application, the abstract should also make explicit that this is an initial research line with a concrete roadmap, not a closed deliverable. The completed models demonstrate feasibility and interdisciplinary integration; the two roadmap models constitute the deliverables for the next funded phase.</w:t>
      </w:r>
    </w:p>
    <w:p>
      <w:pPr>
        <w:spacing w:before="120" w:after="240"/>
        <w:ind w:left="576" w:right="576"/>
        <w:pBdr>
          <w:left w:val="single" w:sz="6" w:space="12" w:color="2E74B5"/>
        </w:pBdr>
      </w:pPr>
      <w:r>
        <w:rPr>
          <w:i/>
          <w:color w:val="333333"/>
          <w:sz w:val="20"/>
        </w:rPr>
        <w:t>Grant note: Key quantitative achievements to include in the abstract — three fully implemented simulators with 53, 32, and 88 passing unit tests respectively; 14 validated parametric scenarios in cellSim; open-source availability with CI-validated test suites and JSON-configurable scenarios; a draft manuscript in preparation for SoftwareX or PLOS Computational Biology.</w:t>
      </w:r>
    </w:p>
    <w:p>
      <w:pPr>
        <w:pStyle w:val="Heading1"/>
      </w:pPr>
      <w:r>
        <w:t>6. Key References</w:t>
      </w:r>
    </w:p>
    <w:p>
      <w:pPr>
        <w:pStyle w:val="ListBullet"/>
        <w:spacing w:after="60"/>
      </w:pPr>
      <w:r>
        <w:rPr>
          <w:sz w:val="20"/>
        </w:rPr>
        <w:t>Bozic I et al. Accumulation of driver and passenger mutations during tumor progression. PNAS 107(43), 2010.</w:t>
      </w:r>
    </w:p>
    <w:p>
      <w:pPr>
        <w:pStyle w:val="ListBullet"/>
        <w:spacing w:after="60"/>
      </w:pPr>
      <w:r>
        <w:rPr>
          <w:sz w:val="20"/>
        </w:rPr>
        <w:t>Chatterjee A et al. Binomial distribution based τ-leap accelerated stochastic simulation. Journal of Chemical Physics 122(2), 2005.</w:t>
      </w:r>
    </w:p>
    <w:p>
      <w:pPr>
        <w:pStyle w:val="ListBullet"/>
        <w:spacing w:after="60"/>
      </w:pPr>
      <w:r>
        <w:rPr>
          <w:sz w:val="20"/>
        </w:rPr>
        <w:t>Drawert B et al. URDME: a modular framework for stochastic simulation of reaction-transport processes in complex geometries. Journal of Chemical Physics 132(7), 2010.</w:t>
      </w:r>
    </w:p>
    <w:p>
      <w:pPr>
        <w:pStyle w:val="ListBullet"/>
        <w:spacing w:after="60"/>
      </w:pPr>
      <w:r>
        <w:rPr>
          <w:sz w:val="20"/>
        </w:rPr>
        <w:t>Gillespie DT. Exact stochastic simulation of coupled chemical reactions. Journal of Physical Chemistry 81(25), 1977.</w:t>
      </w:r>
    </w:p>
    <w:p>
      <w:pPr>
        <w:pStyle w:val="ListBullet"/>
        <w:spacing w:after="60"/>
      </w:pPr>
      <w:r>
        <w:rPr>
          <w:sz w:val="20"/>
        </w:rPr>
        <w:t>Hanahan D, Weinberg RA. Hallmarks of Cancer: The Next Generation. Cell 144(5), 2011.</w:t>
      </w:r>
    </w:p>
    <w:p>
      <w:pPr>
        <w:pStyle w:val="ListBullet"/>
        <w:spacing w:after="60"/>
      </w:pPr>
      <w:r>
        <w:rPr>
          <w:sz w:val="20"/>
        </w:rPr>
        <w:t>Martincorena I et al. High burden and pervasive positive selection of somatic mutations in normal human skin. Science 348(6237), 2015.</w:t>
      </w:r>
    </w:p>
    <w:p>
      <w:pPr>
        <w:pStyle w:val="ListBullet"/>
        <w:spacing w:after="60"/>
      </w:pPr>
      <w:r>
        <w:rPr>
          <w:sz w:val="20"/>
        </w:rPr>
        <w:t>Mitchell E et al. Clonal dynamics of haematopoiesis across the human lifespan. Nature 606, 2022.</w:t>
      </w:r>
    </w:p>
    <w:p>
      <w:pPr>
        <w:pStyle w:val="ListBullet"/>
        <w:spacing w:after="60"/>
      </w:pPr>
      <w:r>
        <w:rPr>
          <w:sz w:val="20"/>
        </w:rPr>
        <w:t>Moran PAP. Random processes in genetics. Mathematical Proceedings of the Cambridge Philosophical Society 54(1), 1958.</w:t>
      </w:r>
    </w:p>
    <w:p>
      <w:pPr>
        <w:pStyle w:val="ListBullet"/>
        <w:spacing w:after="60"/>
      </w:pPr>
      <w:r>
        <w:rPr>
          <w:sz w:val="20"/>
        </w:rPr>
        <w:t>Sottoriva A et al. A Big Bang model of human colorectal tumor growth. Nature Genetics 47, 2015.</w:t>
      </w:r>
    </w:p>
    <w:p>
      <w:pPr>
        <w:pStyle w:val="ListBullet"/>
        <w:spacing w:after="60"/>
      </w:pPr>
      <w:r>
        <w:rPr>
          <w:sz w:val="20"/>
        </w:rPr>
        <w:t>Tian T, Burrage K. Binomial leap methods for simulating stochastic chemical kinetics. Journal of Chemical Physics 121(21), 2004.</w:t>
      </w:r>
    </w:p>
    <w:p>
      <w:pPr>
        <w:pStyle w:val="ListBullet"/>
        <w:spacing w:after="60"/>
      </w:pPr>
      <w:r>
        <w:rPr>
          <w:sz w:val="20"/>
        </w:rPr>
        <w:t>Tomasetti C, Li L, Vogelstein B. Stem cell divisions, somatic mutations, cancer etiology, and cancer prevention. Science 355(6331), 2017.</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