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4"/>
        </w:rPr>
        <w:t>PAYGUARD-X: Autonomous AI Defense Lab for Next-Gen Payment Security</w:t>
      </w:r>
    </w:p>
    <w:p>
      <w:pPr>
        <w:spacing w:after="240"/>
      </w:pPr>
      <w:r>
        <w:rPr>
          <w:rFonts w:ascii="Calibri" w:hAnsi="Calibri"/>
          <w:i/>
          <w:color w:val="475569"/>
          <w:sz w:val="26"/>
        </w:rPr>
        <w:t>A Closed-Loop Co-Evolutionary AI Architecture for Synthetic Attack Generation, Stacking Ensemble Defense, and Adversarial Hardening in Live Payment Rails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40" w:type="dxa"/>
              <w:bottom w:w="140" w:type="dxa"/>
              <w:left w:w="150" w:type="dxa"/>
              <w:right w:w="150" w:type="dxa"/>
            </w:tcMar>
          </w:tcPr>
          <w:p>
            <w:pPr>
              <w:jc w:val="center"/>
            </w:pPr>
            <w:r>
              <w:rPr>
                <w:sz w:val="17"/>
              </w:rPr>
              <w:t>AUTHOR: AI Payment Security Lab</w:t>
            </w:r>
          </w:p>
        </w:tc>
        <w:tc>
          <w:tcPr>
            <w:tcW w:type="dxa" w:w="3168"/>
            <w:shd w:fill="1E293B"/>
            <w:tcMar>
              <w:top w:w="140" w:type="dxa"/>
              <w:bottom w:w="140" w:type="dxa"/>
              <w:left w:w="150" w:type="dxa"/>
              <w:right w:w="150" w:type="dxa"/>
            </w:tcMar>
          </w:tcPr>
          <w:p>
            <w:pPr>
              <w:jc w:val="center"/>
            </w:pPr>
            <w:r>
              <w:rPr>
                <w:sz w:val="17"/>
              </w:rPr>
              <w:t>TARGET: Mastercard Innovation Challenge</w:t>
            </w:r>
          </w:p>
        </w:tc>
        <w:tc>
          <w:tcPr>
            <w:tcW w:type="dxa" w:w="3024"/>
            <w:shd w:fill="1E293B"/>
            <w:tcMar>
              <w:top w:w="140" w:type="dxa"/>
              <w:bottom w:w="140" w:type="dxa"/>
              <w:left w:w="150" w:type="dxa"/>
              <w:right w:w="150" w:type="dxa"/>
            </w:tcMar>
          </w:tcPr>
          <w:p>
            <w:pPr>
              <w:jc w:val="center"/>
            </w:pPr>
            <w:r>
              <w:rPr>
                <w:sz w:val="17"/>
              </w:rPr>
              <w:t>DATE: August 2026</w:t>
            </w:r>
          </w:p>
        </w:tc>
      </w:tr>
    </w:tbl>
    <w:p>
      <w:pPr>
        <w:spacing w:after="240"/>
      </w:pPr>
    </w:p>
    <w:p>
      <w:pPr>
        <w:pStyle w:val="Heading1"/>
      </w:pPr>
      <w:r>
        <w:rPr>
          <w:rFonts w:ascii="Arial" w:hAnsi="Arial"/>
          <w:color w:val="0F172A"/>
          <w:sz w:val="32"/>
        </w:rPr>
        <w:t>Executive Summary</w:t>
      </w:r>
    </w:p>
    <w:p>
      <w:r>
        <w:rPr>
          <w:rFonts w:ascii="Calibri" w:hAnsi="Calibri"/>
          <w:sz w:val="21"/>
        </w:rPr>
        <w:t>Modern payment ecosystems face an existential threat: Generative AI has democratized weaponized financial fraud. Adversaries now orchestrate synthetic identity rings, deepfake voice-authorized wire transfers, and high-cadence account takeovers that dynamically mimic legitimate human behavioral cadences. Traditional static rule engines and fixed supervised models suffer from a critical structural flaw: they only learn after financial losses have occurred.</w:t>
      </w:r>
    </w:p>
    <w:p>
      <w:r>
        <w:rPr>
          <w:rFonts w:ascii="Calibri" w:hAnsi="Calibri"/>
          <w:sz w:val="21"/>
        </w:rPr>
        <w:t>PAYGUARD-X solves this fundamental paradigm limitation through an autonomous, closed-loop AI defense laboratory. The system proactively discovers novel attack vectors, generates continuous statistical synthetic attack telemetry (validated via Wasserstein distance and Jensen-Shannon divergence), evaluates incoming payments through a multi-model stacking meta-classifier (combining XGBoost, Random Forest, and Isolation Forest), attributes defense blindspots, and executes iterative Red vs Blue adversarial co-evolution in a safe sandbox—ensuring continuous model adaptation before attacks hit live institutional payment rails.</w:t>
      </w:r>
    </w:p>
    <w:tbl>
      <w:tblPr>
        <w:tblW w:type="auto" w:w="0"/>
        <w:jc w:val="center"/>
        <w:tblLayout w:type="fixed"/>
        <w:tblLook w:firstColumn="1" w:firstRow="1" w:lastColumn="0" w:lastRow="0" w:noHBand="0" w:noVBand="1" w:val="04A0"/>
      </w:tblPr>
      <w:tblGrid>
        <w:gridCol w:w="9360"/>
      </w:tblGrid>
      <w:tr>
        <w:tc>
          <w:tcPr>
            <w:tcW w:type="dxa" w:w="9360"/>
            <w:shd w:fill="F0F9FF"/>
            <w:tcBorders>
              <w:top w:val="none"/>
              <w:left w:val="single" w:sz="36" w:space="0" w:color="0284C7"/>
              <w:bottom w:val="none"/>
              <w:right w:val="none"/>
            </w:tcBorders>
          </w:tcPr>
          <w:p>
            <w:pPr>
              <w:spacing w:before="80" w:after="40"/>
            </w:pPr>
            <w:r>
              <w:rPr>
                <w:rFonts w:ascii="Arial" w:hAnsi="Arial"/>
                <w:b/>
                <w:color w:val="0284C7"/>
                <w:sz w:val="20"/>
              </w:rPr>
              <w:t>📌 CORE VALUE PROPOSITION</w:t>
              <w:br/>
            </w:r>
            <w:r>
              <w:rPr>
                <w:rFonts w:ascii="Calibri" w:hAnsi="Calibri"/>
                <w:i/>
                <w:color w:val="1E293B"/>
                <w:sz w:val="20"/>
              </w:rPr>
              <w:t>PAYGUARD-X achieves an autonomous closed-loop cycle: (1) Identify 40+ GenAI vectors -&gt; (2) Generate high-fidelity synthetic telemetry -&gt; (3) Defend via Multi-Model Stacking Arbiter (98.4% ROC-AUC) -&gt; (4) Attribute false-negative blindspots -&gt; (5) Harden via Red vs Blue Co-Evolution (+12.4% Recall gain).</w:t>
            </w:r>
          </w:p>
        </w:tc>
      </w:tr>
    </w:tbl>
    <w:p/>
    <w:p>
      <w:pPr>
        <w:pStyle w:val="Heading1"/>
      </w:pPr>
      <w:r>
        <w:rPr>
          <w:rFonts w:ascii="Arial" w:hAnsi="Arial"/>
          <w:color w:val="0F172A"/>
          <w:sz w:val="30"/>
        </w:rPr>
        <w:t>1. Novel Fraud Attacks Identified (Attack Taxonomy)</w:t>
      </w:r>
    </w:p>
    <w:p>
      <w:r>
        <w:rPr>
          <w:rFonts w:ascii="Calibri" w:hAnsi="Calibri"/>
        </w:rPr>
        <w:t>To establish proactive resilience against modern fraud vectors, PAYGUARD-X introduces an exhaustive threat taxonomy cataloging 40+ pre-configured novel attack scenarios categorized across 10 core GenAI threat families. Each scenario defines specific evasion mechanics, target payment rails, and anomalous telemetry signatures: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0F172A"/>
            <w:tcMar>
              <w:top w:w="140" w:type="dxa"/>
              <w:bottom w:w="140" w:type="dxa"/>
              <w:left w:w="150" w:type="dxa"/>
              <w:right w:w="150" w:type="dxa"/>
            </w:tcMar>
          </w:tcPr>
          <w:p>
            <w:pPr>
              <w:jc w:val="center"/>
            </w:pPr>
            <w:r>
              <w:t>Threat Family</w:t>
            </w:r>
          </w:p>
        </w:tc>
        <w:tc>
          <w:tcPr>
            <w:tcW w:type="dxa" w:w="2592"/>
            <w:shd w:fill="0F172A"/>
            <w:tcMar>
              <w:top w:w="140" w:type="dxa"/>
              <w:bottom w:w="140" w:type="dxa"/>
              <w:left w:w="150" w:type="dxa"/>
              <w:right w:w="150" w:type="dxa"/>
            </w:tcMar>
          </w:tcPr>
          <w:p>
            <w:pPr>
              <w:jc w:val="center"/>
            </w:pPr>
            <w:r>
              <w:t>Key Attack Vectors</w:t>
            </w:r>
          </w:p>
        </w:tc>
        <w:tc>
          <w:tcPr>
            <w:tcW w:type="dxa" w:w="2592"/>
            <w:shd w:fill="0F172A"/>
            <w:tcMar>
              <w:top w:w="140" w:type="dxa"/>
              <w:bottom w:w="140" w:type="dxa"/>
              <w:left w:w="150" w:type="dxa"/>
              <w:right w:w="150" w:type="dxa"/>
            </w:tcMar>
          </w:tcPr>
          <w:p>
            <w:pPr>
              <w:jc w:val="center"/>
            </w:pPr>
            <w:r>
              <w:t>Evasion &amp; Stealth Mechanics</w:t>
            </w:r>
          </w:p>
        </w:tc>
        <w:tc>
          <w:tcPr>
            <w:tcW w:type="dxa" w:w="2160"/>
            <w:shd w:fill="0F172A"/>
            <w:tcMar>
              <w:top w:w="140" w:type="dxa"/>
              <w:bottom w:w="140" w:type="dxa"/>
              <w:left w:w="150" w:type="dxa"/>
              <w:right w:w="150" w:type="dxa"/>
            </w:tcMar>
          </w:tcPr>
          <w:p>
            <w:pPr>
              <w:jc w:val="center"/>
            </w:pPr>
            <w:r>
              <w:t>Target Rails</w:t>
            </w:r>
          </w:p>
        </w:tc>
      </w:tr>
      <w:tr>
        <w:tc>
          <w:tcPr>
            <w:tcW w:type="dxa" w:w="2016"/>
            <w:shd w:fill="F8FAFC"/>
            <w:tcMar>
              <w:top w:w="100" w:type="dxa"/>
              <w:bottom w:w="100" w:type="dxa"/>
              <w:left w:w="150" w:type="dxa"/>
              <w:right w:w="150" w:type="dxa"/>
            </w:tcMar>
          </w:tcPr>
          <w:p>
            <w:r>
              <w:rPr>
                <w:sz w:val="17"/>
              </w:rPr>
              <w:t>1. Social Engineering</w:t>
            </w:r>
          </w:p>
        </w:tc>
        <w:tc>
          <w:tcPr>
            <w:tcW w:type="dxa" w:w="2592"/>
            <w:shd w:fill="F8FAFC"/>
            <w:tcMar>
              <w:top w:w="100" w:type="dxa"/>
              <w:bottom w:w="100" w:type="dxa"/>
              <w:left w:w="150" w:type="dxa"/>
              <w:right w:w="150" w:type="dxa"/>
            </w:tcMar>
          </w:tcPr>
          <w:p>
            <w:r>
              <w:rPr>
                <w:sz w:val="17"/>
              </w:rPr>
              <w:t>AI LLM Phishing, Dynamic Invoice Spoofing, Executive Spear Smishing, QR Phishing (Quishing)</w:t>
            </w:r>
          </w:p>
        </w:tc>
        <w:tc>
          <w:tcPr>
            <w:tcW w:type="dxa" w:w="2592"/>
            <w:shd w:fill="F8FAFC"/>
            <w:tcMar>
              <w:top w:w="100" w:type="dxa"/>
              <w:bottom w:w="100" w:type="dxa"/>
              <w:left w:w="150" w:type="dxa"/>
              <w:right w:w="150" w:type="dxa"/>
            </w:tcMar>
          </w:tcPr>
          <w:p>
            <w:r>
              <w:rPr>
                <w:sz w:val="17"/>
              </w:rPr>
              <w:t>Contextual generative LLM tailoring, urgency timing injection, vendor domain typosquatting</w:t>
            </w:r>
          </w:p>
        </w:tc>
        <w:tc>
          <w:tcPr>
            <w:tcW w:type="dxa" w:w="2160"/>
            <w:shd w:fill="F8FAFC"/>
            <w:tcMar>
              <w:top w:w="100" w:type="dxa"/>
              <w:bottom w:w="100" w:type="dxa"/>
              <w:left w:w="150" w:type="dxa"/>
              <w:right w:w="150" w:type="dxa"/>
            </w:tcMar>
          </w:tcPr>
          <w:p>
            <w:r>
              <w:rPr>
                <w:sz w:val="17"/>
              </w:rPr>
              <w:t>Web Gateway, Email / Wire, P2P</w:t>
            </w:r>
          </w:p>
        </w:tc>
      </w:tr>
      <w:tr>
        <w:tc>
          <w:tcPr>
            <w:tcW w:type="dxa" w:w="2016"/>
            <w:shd w:fill="FFFFFF"/>
            <w:tcMar>
              <w:top w:w="100" w:type="dxa"/>
              <w:bottom w:w="100" w:type="dxa"/>
              <w:left w:w="150" w:type="dxa"/>
              <w:right w:w="150" w:type="dxa"/>
            </w:tcMar>
          </w:tcPr>
          <w:p>
            <w:r>
              <w:rPr>
                <w:sz w:val="17"/>
              </w:rPr>
              <w:t>2. Voice &amp; Deepfakes</w:t>
            </w:r>
          </w:p>
        </w:tc>
        <w:tc>
          <w:tcPr>
            <w:tcW w:type="dxa" w:w="2592"/>
            <w:shd w:fill="FFFFFF"/>
            <w:tcMar>
              <w:top w:w="100" w:type="dxa"/>
              <w:bottom w:w="100" w:type="dxa"/>
              <w:left w:w="150" w:type="dxa"/>
              <w:right w:w="150" w:type="dxa"/>
            </w:tcMar>
          </w:tcPr>
          <w:p>
            <w:r>
              <w:rPr>
                <w:sz w:val="17"/>
              </w:rPr>
              <w:t>Executive Voice Clone Wire, Conversational Voice Biometric Bypass, Real-Time OTP Intercept</w:t>
            </w:r>
          </w:p>
        </w:tc>
        <w:tc>
          <w:tcPr>
            <w:tcW w:type="dxa" w:w="2592"/>
            <w:shd w:fill="FFFFFF"/>
            <w:tcMar>
              <w:top w:w="100" w:type="dxa"/>
              <w:bottom w:w="100" w:type="dxa"/>
              <w:left w:w="150" w:type="dxa"/>
              <w:right w:w="150" w:type="dxa"/>
            </w:tcMar>
          </w:tcPr>
          <w:p>
            <w:r>
              <w:rPr>
                <w:sz w:val="17"/>
              </w:rPr>
              <w:t>Neural vocoder audio synthesis, dynamic pitch/cadence modulation, low-latency audio stream</w:t>
            </w:r>
          </w:p>
        </w:tc>
        <w:tc>
          <w:tcPr>
            <w:tcW w:type="dxa" w:w="2160"/>
            <w:shd w:fill="FFFFFF"/>
            <w:tcMar>
              <w:top w:w="100" w:type="dxa"/>
              <w:bottom w:w="100" w:type="dxa"/>
              <w:left w:w="150" w:type="dxa"/>
              <w:right w:w="150" w:type="dxa"/>
            </w:tcMar>
          </w:tcPr>
          <w:p>
            <w:r>
              <w:rPr>
                <w:sz w:val="17"/>
              </w:rPr>
              <w:t>Wire Transfer, Instant RTP, IVR Telephony</w:t>
            </w:r>
          </w:p>
        </w:tc>
      </w:tr>
      <w:tr>
        <w:tc>
          <w:tcPr>
            <w:tcW w:type="dxa" w:w="2016"/>
            <w:shd w:fill="F8FAFC"/>
            <w:tcMar>
              <w:top w:w="100" w:type="dxa"/>
              <w:bottom w:w="100" w:type="dxa"/>
              <w:left w:w="150" w:type="dxa"/>
              <w:right w:w="150" w:type="dxa"/>
            </w:tcMar>
          </w:tcPr>
          <w:p>
            <w:r>
              <w:rPr>
                <w:sz w:val="17"/>
              </w:rPr>
              <w:t>3. Account Takeover (ATO)</w:t>
            </w:r>
          </w:p>
        </w:tc>
        <w:tc>
          <w:tcPr>
            <w:tcW w:type="dxa" w:w="2592"/>
            <w:shd w:fill="F8FAFC"/>
            <w:tcMar>
              <w:top w:w="100" w:type="dxa"/>
              <w:bottom w:w="100" w:type="dxa"/>
              <w:left w:w="150" w:type="dxa"/>
              <w:right w:w="150" w:type="dxa"/>
            </w:tcMar>
          </w:tcPr>
          <w:p>
            <w:r>
              <w:rPr>
                <w:sz w:val="17"/>
              </w:rPr>
              <w:t>Session Cookie Replay, Behavioral Cadence Mimicry, Device Fingerprint Spoof, Automated SIM Swap</w:t>
            </w:r>
          </w:p>
        </w:tc>
        <w:tc>
          <w:tcPr>
            <w:tcW w:type="dxa" w:w="2592"/>
            <w:shd w:fill="F8FAFC"/>
            <w:tcMar>
              <w:top w:w="100" w:type="dxa"/>
              <w:bottom w:w="100" w:type="dxa"/>
              <w:left w:w="150" w:type="dxa"/>
              <w:right w:w="150" w:type="dxa"/>
            </w:tcMar>
          </w:tcPr>
          <w:p>
            <w:r>
              <w:rPr>
                <w:sz w:val="17"/>
              </w:rPr>
              <w:t>Headless browser canvas spoofing, mouse acceleration emulation, inter-session timing dispersion</w:t>
            </w:r>
          </w:p>
        </w:tc>
        <w:tc>
          <w:tcPr>
            <w:tcW w:type="dxa" w:w="2160"/>
            <w:shd w:fill="F8FAFC"/>
            <w:tcMar>
              <w:top w:w="100" w:type="dxa"/>
              <w:bottom w:w="100" w:type="dxa"/>
              <w:left w:w="150" w:type="dxa"/>
              <w:right w:w="150" w:type="dxa"/>
            </w:tcMar>
          </w:tcPr>
          <w:p>
            <w:r>
              <w:rPr>
                <w:sz w:val="17"/>
              </w:rPr>
              <w:t>Card-Not-Present (CNP), Web Gateway, Mobile App</w:t>
            </w:r>
          </w:p>
        </w:tc>
      </w:tr>
      <w:tr>
        <w:tc>
          <w:tcPr>
            <w:tcW w:type="dxa" w:w="2016"/>
            <w:shd w:fill="FFFFFF"/>
            <w:tcMar>
              <w:top w:w="100" w:type="dxa"/>
              <w:bottom w:w="100" w:type="dxa"/>
              <w:left w:w="150" w:type="dxa"/>
              <w:right w:w="150" w:type="dxa"/>
            </w:tcMar>
          </w:tcPr>
          <w:p>
            <w:r>
              <w:rPr>
                <w:sz w:val="17"/>
              </w:rPr>
              <w:t>4. Synthetic Identity (SIF)</w:t>
            </w:r>
          </w:p>
        </w:tc>
        <w:tc>
          <w:tcPr>
            <w:tcW w:type="dxa" w:w="2592"/>
            <w:shd w:fill="FFFFFF"/>
            <w:tcMar>
              <w:top w:w="100" w:type="dxa"/>
              <w:bottom w:w="100" w:type="dxa"/>
              <w:left w:w="150" w:type="dxa"/>
              <w:right w:w="150" w:type="dxa"/>
            </w:tcMar>
          </w:tcPr>
          <w:p>
            <w:r>
              <w:rPr>
                <w:sz w:val="17"/>
              </w:rPr>
              <w:t>Frankenstein Credit Profiles, AI Face Synthesis KYC Bypass, Dormant Mule Aging, CPN Profile Rings</w:t>
            </w:r>
          </w:p>
        </w:tc>
        <w:tc>
          <w:tcPr>
            <w:tcW w:type="dxa" w:w="2592"/>
            <w:shd w:fill="FFFFFF"/>
            <w:tcMar>
              <w:top w:w="100" w:type="dxa"/>
              <w:bottom w:w="100" w:type="dxa"/>
              <w:left w:w="150" w:type="dxa"/>
              <w:right w:w="150" w:type="dxa"/>
            </w:tcMar>
          </w:tcPr>
          <w:p>
            <w:r>
              <w:rPr>
                <w:sz w:val="17"/>
              </w:rPr>
              <w:t>Valid SSN + fabricated demographic blending, GAN-generated photorealistic IDs, 180-day seasoning</w:t>
            </w:r>
          </w:p>
        </w:tc>
        <w:tc>
          <w:tcPr>
            <w:tcW w:type="dxa" w:w="2160"/>
            <w:shd w:fill="FFFFFF"/>
            <w:tcMar>
              <w:top w:w="100" w:type="dxa"/>
              <w:bottom w:w="100" w:type="dxa"/>
              <w:left w:w="150" w:type="dxa"/>
              <w:right w:w="150" w:type="dxa"/>
            </w:tcMar>
          </w:tcPr>
          <w:p>
            <w:r>
              <w:rPr>
                <w:sz w:val="17"/>
              </w:rPr>
              <w:t>Credit Issuance, P2P, Digital Wallets</w:t>
            </w:r>
          </w:p>
        </w:tc>
      </w:tr>
      <w:tr>
        <w:tc>
          <w:tcPr>
            <w:tcW w:type="dxa" w:w="2016"/>
            <w:shd w:fill="F8FAFC"/>
            <w:tcMar>
              <w:top w:w="100" w:type="dxa"/>
              <w:bottom w:w="100" w:type="dxa"/>
              <w:left w:w="150" w:type="dxa"/>
              <w:right w:w="150" w:type="dxa"/>
            </w:tcMar>
          </w:tcPr>
          <w:p>
            <w:r>
              <w:rPr>
                <w:sz w:val="17"/>
              </w:rPr>
              <w:t>5. Transaction Manipulation</w:t>
            </w:r>
          </w:p>
        </w:tc>
        <w:tc>
          <w:tcPr>
            <w:tcW w:type="dxa" w:w="2592"/>
            <w:shd w:fill="F8FAFC"/>
            <w:tcMar>
              <w:top w:w="100" w:type="dxa"/>
              <w:bottom w:w="100" w:type="dxa"/>
              <w:left w:w="150" w:type="dxa"/>
              <w:right w:w="150" w:type="dxa"/>
            </w:tcMar>
          </w:tcPr>
          <w:p>
            <w:r>
              <w:rPr>
                <w:sz w:val="17"/>
              </w:rPr>
              <w:t>Micro-Probing Card Testing, Structuring / Smurfing, Refund Injection Exploits, Arbitrage Skew</w:t>
            </w:r>
          </w:p>
        </w:tc>
        <w:tc>
          <w:tcPr>
            <w:tcW w:type="dxa" w:w="2592"/>
            <w:shd w:fill="F8FAFC"/>
            <w:tcMar>
              <w:top w:w="100" w:type="dxa"/>
              <w:bottom w:w="100" w:type="dxa"/>
              <w:left w:w="150" w:type="dxa"/>
              <w:right w:w="150" w:type="dxa"/>
            </w:tcMar>
          </w:tcPr>
          <w:p>
            <w:r>
              <w:rPr>
                <w:sz w:val="17"/>
              </w:rPr>
              <w:t>Parametric amount smoothing below $50 AML limits, rapid velocity bursts across merchants</w:t>
            </w:r>
          </w:p>
        </w:tc>
        <w:tc>
          <w:tcPr>
            <w:tcW w:type="dxa" w:w="2160"/>
            <w:shd w:fill="F8FAFC"/>
            <w:tcMar>
              <w:top w:w="100" w:type="dxa"/>
              <w:bottom w:w="100" w:type="dxa"/>
              <w:left w:w="150" w:type="dxa"/>
              <w:right w:w="150" w:type="dxa"/>
            </w:tcMar>
          </w:tcPr>
          <w:p>
            <w:r>
              <w:rPr>
                <w:sz w:val="17"/>
              </w:rPr>
              <w:t>E-Commerce CNP, POS Gateway, Cross-Border</w:t>
            </w:r>
          </w:p>
        </w:tc>
      </w:tr>
      <w:tr>
        <w:tc>
          <w:tcPr>
            <w:tcW w:type="dxa" w:w="2016"/>
            <w:shd w:fill="FFFFFF"/>
            <w:tcMar>
              <w:top w:w="100" w:type="dxa"/>
              <w:bottom w:w="100" w:type="dxa"/>
              <w:left w:w="150" w:type="dxa"/>
              <w:right w:w="150" w:type="dxa"/>
            </w:tcMar>
          </w:tcPr>
          <w:p>
            <w:r>
              <w:rPr>
                <w:sz w:val="17"/>
              </w:rPr>
              <w:t>6. Digital &amp; Instant Rails</w:t>
            </w:r>
          </w:p>
        </w:tc>
        <w:tc>
          <w:tcPr>
            <w:tcW w:type="dxa" w:w="2592"/>
            <w:shd w:fill="FFFFFF"/>
            <w:tcMar>
              <w:top w:w="100" w:type="dxa"/>
              <w:bottom w:w="100" w:type="dxa"/>
              <w:left w:w="150" w:type="dxa"/>
              <w:right w:w="150" w:type="dxa"/>
            </w:tcMar>
          </w:tcPr>
          <w:p>
            <w:r>
              <w:rPr>
                <w:sz w:val="17"/>
              </w:rPr>
              <w:t>FedNow / RTP Fast-Drain, QR Merchant Tampering, Payment Rail Hopping, Chargeback Extortion</w:t>
            </w:r>
          </w:p>
        </w:tc>
        <w:tc>
          <w:tcPr>
            <w:tcW w:type="dxa" w:w="2592"/>
            <w:shd w:fill="FFFFFF"/>
            <w:tcMar>
              <w:top w:w="100" w:type="dxa"/>
              <w:bottom w:w="100" w:type="dxa"/>
              <w:left w:w="150" w:type="dxa"/>
              <w:right w:w="150" w:type="dxa"/>
            </w:tcMar>
          </w:tcPr>
          <w:p>
            <w:r>
              <w:rPr>
                <w:sz w:val="17"/>
              </w:rPr>
              <w:t>Sub-second multi-account settlement, irrevocable credit transfer abuse, QR payload swap</w:t>
            </w:r>
          </w:p>
        </w:tc>
        <w:tc>
          <w:tcPr>
            <w:tcW w:type="dxa" w:w="2160"/>
            <w:shd w:fill="FFFFFF"/>
            <w:tcMar>
              <w:top w:w="100" w:type="dxa"/>
              <w:bottom w:w="100" w:type="dxa"/>
              <w:left w:w="150" w:type="dxa"/>
              <w:right w:w="150" w:type="dxa"/>
            </w:tcMar>
          </w:tcPr>
          <w:p>
            <w:r>
              <w:rPr>
                <w:sz w:val="17"/>
              </w:rPr>
              <w:t>RTP, FedNow, UPI, Fast ACH</w:t>
            </w:r>
          </w:p>
        </w:tc>
      </w:tr>
      <w:tr>
        <w:tc>
          <w:tcPr>
            <w:tcW w:type="dxa" w:w="2016"/>
            <w:shd w:fill="F8FAFC"/>
            <w:tcMar>
              <w:top w:w="100" w:type="dxa"/>
              <w:bottom w:w="100" w:type="dxa"/>
              <w:left w:w="150" w:type="dxa"/>
              <w:right w:w="150" w:type="dxa"/>
            </w:tcMar>
          </w:tcPr>
          <w:p>
            <w:r>
              <w:rPr>
                <w:sz w:val="17"/>
              </w:rPr>
              <w:t>7. Automated Botnets</w:t>
            </w:r>
          </w:p>
        </w:tc>
        <w:tc>
          <w:tcPr>
            <w:tcW w:type="dxa" w:w="2592"/>
            <w:shd w:fill="F8FAFC"/>
            <w:tcMar>
              <w:top w:w="100" w:type="dxa"/>
              <w:bottom w:w="100" w:type="dxa"/>
              <w:left w:w="150" w:type="dxa"/>
              <w:right w:w="150" w:type="dxa"/>
            </w:tcMar>
          </w:tcPr>
          <w:p>
            <w:r>
              <w:rPr>
                <w:sz w:val="17"/>
              </w:rPr>
              <w:t>Distributed Headless Botnets, CAPTCHA Solver AI, Token Spraying, Gateway Brute-Force</w:t>
            </w:r>
          </w:p>
        </w:tc>
        <w:tc>
          <w:tcPr>
            <w:tcW w:type="dxa" w:w="2592"/>
            <w:shd w:fill="F8FAFC"/>
            <w:tcMar>
              <w:top w:w="100" w:type="dxa"/>
              <w:bottom w:w="100" w:type="dxa"/>
              <w:left w:w="150" w:type="dxa"/>
              <w:right w:w="150" w:type="dxa"/>
            </w:tcMar>
          </w:tcPr>
          <w:p>
            <w:r>
              <w:rPr>
                <w:sz w:val="17"/>
              </w:rPr>
              <w:t>Residential proxy IP rotation, randomized HTTP header jitter, stealth browser fingerprinting</w:t>
            </w:r>
          </w:p>
        </w:tc>
        <w:tc>
          <w:tcPr>
            <w:tcW w:type="dxa" w:w="2160"/>
            <w:shd w:fill="F8FAFC"/>
            <w:tcMar>
              <w:top w:w="100" w:type="dxa"/>
              <w:bottom w:w="100" w:type="dxa"/>
              <w:left w:w="150" w:type="dxa"/>
              <w:right w:w="150" w:type="dxa"/>
            </w:tcMar>
          </w:tcPr>
          <w:p>
            <w:r>
              <w:rPr>
                <w:sz w:val="17"/>
              </w:rPr>
              <w:t>API Gateways, Mobile SDKs, Web Checkout</w:t>
            </w:r>
          </w:p>
        </w:tc>
      </w:tr>
      <w:tr>
        <w:tc>
          <w:tcPr>
            <w:tcW w:type="dxa" w:w="2016"/>
            <w:shd w:fill="FFFFFF"/>
            <w:tcMar>
              <w:top w:w="100" w:type="dxa"/>
              <w:bottom w:w="100" w:type="dxa"/>
              <w:left w:w="150" w:type="dxa"/>
              <w:right w:w="150" w:type="dxa"/>
            </w:tcMar>
          </w:tcPr>
          <w:p>
            <w:r>
              <w:rPr>
                <w:sz w:val="17"/>
              </w:rPr>
              <w:t>8. Network Mule Rings</w:t>
            </w:r>
          </w:p>
        </w:tc>
        <w:tc>
          <w:tcPr>
            <w:tcW w:type="dxa" w:w="2592"/>
            <w:shd w:fill="FFFFFF"/>
            <w:tcMar>
              <w:top w:w="100" w:type="dxa"/>
              <w:bottom w:w="100" w:type="dxa"/>
              <w:left w:w="150" w:type="dxa"/>
              <w:right w:w="150" w:type="dxa"/>
            </w:tcMar>
          </w:tcPr>
          <w:p>
            <w:r>
              <w:rPr>
                <w:sz w:val="17"/>
              </w:rPr>
              <w:t>Graph Mule Dispersion, Rapid Pass-Through Laundering, Circular Layering Ring, Cash-Out Funnel</w:t>
            </w:r>
          </w:p>
        </w:tc>
        <w:tc>
          <w:tcPr>
            <w:tcW w:type="dxa" w:w="2592"/>
            <w:shd w:fill="FFFFFF"/>
            <w:tcMar>
              <w:top w:w="100" w:type="dxa"/>
              <w:bottom w:w="100" w:type="dxa"/>
              <w:left w:w="150" w:type="dxa"/>
              <w:right w:w="150" w:type="dxa"/>
            </w:tcMar>
          </w:tcPr>
          <w:p>
            <w:r>
              <w:rPr>
                <w:sz w:val="17"/>
              </w:rPr>
              <w:t>Multi-hop graph fan-out, micro-deposit dispersal, inter-bank hop delay optimization</w:t>
            </w:r>
          </w:p>
        </w:tc>
        <w:tc>
          <w:tcPr>
            <w:tcW w:type="dxa" w:w="2160"/>
            <w:shd w:fill="FFFFFF"/>
            <w:tcMar>
              <w:top w:w="100" w:type="dxa"/>
              <w:bottom w:w="100" w:type="dxa"/>
              <w:left w:w="150" w:type="dxa"/>
              <w:right w:w="150" w:type="dxa"/>
            </w:tcMar>
          </w:tcPr>
          <w:p>
            <w:r>
              <w:rPr>
                <w:sz w:val="17"/>
              </w:rPr>
              <w:t>P2P, Wire, Commercial Banking</w:t>
            </w:r>
          </w:p>
        </w:tc>
      </w:tr>
      <w:tr>
        <w:tc>
          <w:tcPr>
            <w:tcW w:type="dxa" w:w="2016"/>
            <w:shd w:fill="F8FAFC"/>
            <w:tcMar>
              <w:top w:w="100" w:type="dxa"/>
              <w:bottom w:w="100" w:type="dxa"/>
              <w:left w:w="150" w:type="dxa"/>
              <w:right w:w="150" w:type="dxa"/>
            </w:tcMar>
          </w:tcPr>
          <w:p>
            <w:r>
              <w:rPr>
                <w:sz w:val="17"/>
              </w:rPr>
              <w:t>9. Cross-Channel Infiltration</w:t>
            </w:r>
          </w:p>
        </w:tc>
        <w:tc>
          <w:tcPr>
            <w:tcW w:type="dxa" w:w="2592"/>
            <w:shd w:fill="F8FAFC"/>
            <w:tcMar>
              <w:top w:w="100" w:type="dxa"/>
              <w:bottom w:w="100" w:type="dxa"/>
              <w:left w:w="150" w:type="dxa"/>
              <w:right w:w="150" w:type="dxa"/>
            </w:tcMar>
          </w:tcPr>
          <w:p>
            <w:r>
              <w:rPr>
                <w:sz w:val="17"/>
              </w:rPr>
              <w:t>Web-to-Mobile Escalation, IVR-to-Online Piggyback, ATM Deposit Kiting to RTP, POS Cloned Hybrid</w:t>
            </w:r>
          </w:p>
        </w:tc>
        <w:tc>
          <w:tcPr>
            <w:tcW w:type="dxa" w:w="2592"/>
            <w:shd w:fill="F8FAFC"/>
            <w:tcMar>
              <w:top w:w="100" w:type="dxa"/>
              <w:bottom w:w="100" w:type="dxa"/>
              <w:left w:w="150" w:type="dxa"/>
              <w:right w:w="150" w:type="dxa"/>
            </w:tcMar>
          </w:tcPr>
          <w:p>
            <w:r>
              <w:rPr>
                <w:sz w:val="17"/>
              </w:rPr>
              <w:t>Session token synchronization across channels, omnichannel authentication desync</w:t>
            </w:r>
          </w:p>
        </w:tc>
        <w:tc>
          <w:tcPr>
            <w:tcW w:type="dxa" w:w="2160"/>
            <w:shd w:fill="F8FAFC"/>
            <w:tcMar>
              <w:top w:w="100" w:type="dxa"/>
              <w:bottom w:w="100" w:type="dxa"/>
              <w:left w:w="150" w:type="dxa"/>
              <w:right w:w="150" w:type="dxa"/>
            </w:tcMar>
          </w:tcPr>
          <w:p>
            <w:r>
              <w:rPr>
                <w:sz w:val="17"/>
              </w:rPr>
              <w:t>Omnichannel (ATM, Web, POS, Mobile)</w:t>
            </w:r>
          </w:p>
        </w:tc>
      </w:tr>
      <w:tr>
        <w:tc>
          <w:tcPr>
            <w:tcW w:type="dxa" w:w="2016"/>
            <w:shd w:fill="FFFFFF"/>
            <w:tcMar>
              <w:top w:w="100" w:type="dxa"/>
              <w:bottom w:w="100" w:type="dxa"/>
              <w:left w:w="150" w:type="dxa"/>
              <w:right w:w="150" w:type="dxa"/>
            </w:tcMar>
          </w:tcPr>
          <w:p>
            <w:r>
              <w:rPr>
                <w:sz w:val="17"/>
              </w:rPr>
              <w:t>10. Emerging Multi-Vector</w:t>
            </w:r>
          </w:p>
        </w:tc>
        <w:tc>
          <w:tcPr>
            <w:tcW w:type="dxa" w:w="2592"/>
            <w:shd w:fill="FFFFFF"/>
            <w:tcMar>
              <w:top w:w="100" w:type="dxa"/>
              <w:bottom w:w="100" w:type="dxa"/>
              <w:left w:w="150" w:type="dxa"/>
              <w:right w:w="150" w:type="dxa"/>
            </w:tcMar>
          </w:tcPr>
          <w:p>
            <w:r>
              <w:rPr>
                <w:sz w:val="17"/>
              </w:rPr>
              <w:t>Multi-Modal KYC Spoofing, Dual-Channel Synchronized ATO, Zero-Day Boundary Probing</w:t>
            </w:r>
          </w:p>
        </w:tc>
        <w:tc>
          <w:tcPr>
            <w:tcW w:type="dxa" w:w="2592"/>
            <w:shd w:fill="FFFFFF"/>
            <w:tcMar>
              <w:top w:w="100" w:type="dxa"/>
              <w:bottom w:w="100" w:type="dxa"/>
              <w:left w:w="150" w:type="dxa"/>
              <w:right w:w="150" w:type="dxa"/>
            </w:tcMar>
          </w:tcPr>
          <w:p>
            <w:r>
              <w:rPr>
                <w:sz w:val="17"/>
              </w:rPr>
              <w:t>Chained adversarial perturbations, biometric injection + simultaneous network proxy routing</w:t>
            </w:r>
          </w:p>
        </w:tc>
        <w:tc>
          <w:tcPr>
            <w:tcW w:type="dxa" w:w="2160"/>
            <w:shd w:fill="FFFFFF"/>
            <w:tcMar>
              <w:top w:w="100" w:type="dxa"/>
              <w:bottom w:w="100" w:type="dxa"/>
              <w:left w:w="150" w:type="dxa"/>
              <w:right w:w="150" w:type="dxa"/>
            </w:tcMar>
          </w:tcPr>
          <w:p>
            <w:r>
              <w:rPr>
                <w:sz w:val="17"/>
              </w:rPr>
              <w:t>Global Core Banking, Card Networks</w:t>
            </w:r>
          </w:p>
        </w:tc>
      </w:tr>
    </w:tbl>
    <w:p>
      <w:pPr>
        <w:spacing w:after="160"/>
      </w:pPr>
    </w:p>
    <w:p>
      <w:pPr>
        <w:pStyle w:val="Heading1"/>
      </w:pPr>
      <w:r>
        <w:rPr>
          <w:rFonts w:ascii="Arial" w:hAnsi="Arial"/>
          <w:color w:val="0F172A"/>
          <w:sz w:val="30"/>
        </w:rPr>
        <w:t>2. High-Fidelity Attack Generation &amp; Simulation Engine</w:t>
      </w:r>
    </w:p>
    <w:p>
      <w:r>
        <w:rPr>
          <w:rFonts w:ascii="Calibri" w:hAnsi="Calibri"/>
        </w:rPr>
        <w:t>A critical flaw in historical fraud simulation tools is the generation of trivially separable synthetic data. When synthetic attacks have cartoonish, unrealistic parameters (e.g. $1,000,000 transactions at 3:00 AM from a 1-day-old account), machine learning models learn trivial decision boundaries that completely fail against real-world adversarial fraud. PAYGUARD-X solves this through a rigorous mathematical distribution framework enforcing Optimal Non-Separability.</w:t>
      </w:r>
    </w:p>
    <w:p>
      <w:pPr>
        <w:pStyle w:val="Heading2"/>
      </w:pPr>
      <w:r>
        <w:rPr>
          <w:rFonts w:ascii="Arial" w:hAnsi="Arial"/>
          <w:color w:val="1E293B"/>
          <w:sz w:val="24"/>
        </w:rPr>
        <w:t>Mathematical Formulation &amp; Parametric Probability Distributions</w:t>
      </w:r>
    </w:p>
    <w:p>
      <w:r>
        <w:rPr>
          <w:rFonts w:ascii="Calibri" w:hAnsi="Calibri"/>
        </w:rPr>
        <w:t>Transactions are modeled across 15 continuous and categorical telemetry dimensions using specialized continuous distributions:</w:t>
      </w:r>
    </w:p>
    <w:p>
      <w:pPr>
        <w:ind w:left="360"/>
      </w:pPr>
      <w:r>
        <w:rPr>
          <w:b/>
        </w:rPr>
        <w:t xml:space="preserve">• Transaction Amount ($X$): </w:t>
      </w:r>
      <w:r>
        <w:t>Modeled via Log-Normal distribution $X \sim \text{LogNormal}(\mu, \sigma^2)$, capturing realistic right-skewed spending behaviors.</w:t>
        <w:br/>
      </w:r>
      <w:r>
        <w:rPr>
          <w:b/>
        </w:rPr>
        <w:t xml:space="preserve">• Customer &amp; Device Tenure ($T$): </w:t>
      </w:r>
      <w:r>
        <w:t>Modeled via Gamma distribution $T \sim \text{Gamma}(k, \theta)$, accurately reflecting account aging curves.</w:t>
        <w:br/>
      </w:r>
      <w:r>
        <w:rPr>
          <w:b/>
        </w:rPr>
        <w:t xml:space="preserve">• Transaction Velocity ($V$): </w:t>
      </w:r>
      <w:r>
        <w:t>Modeled via Poisson process $V \sim \text{Poisson}(\lambda)$, generating burst and dormancy patterns.</w:t>
        <w:br/>
      </w:r>
      <w:r>
        <w:rPr>
          <w:b/>
        </w:rPr>
        <w:t xml:space="preserve">• Transaction Timing ($H$): </w:t>
      </w:r>
      <w:r>
        <w:t>Modeled via circular Von Mises distribution capturing diurnal payment cycles.</w:t>
        <w:br/>
      </w:r>
      <w:r>
        <w:rPr>
          <w:b/>
        </w:rPr>
        <w:t xml:space="preserve">• Behavioral Biometric Deviation ($D$): </w:t>
      </w:r>
      <w:r>
        <w:t>Parametric bounded scale $[0, 100]$ measuring device sensor jitter, keystroke cadence, and touch dynamics.</w:t>
      </w:r>
    </w:p>
    <w:p>
      <w:pPr>
        <w:pStyle w:val="Heading2"/>
      </w:pPr>
      <w:r>
        <w:rPr>
          <w:rFonts w:ascii="Arial" w:hAnsi="Arial"/>
          <w:color w:val="1E293B"/>
          <w:sz w:val="24"/>
        </w:rPr>
        <w:t>Statistical Fidelity Validation (Wasserstein &amp; Jensen-Shannon Metrics)</w:t>
      </w:r>
    </w:p>
    <w:p>
      <w:r>
        <w:rPr>
          <w:rFonts w:ascii="Calibri" w:hAnsi="Calibri"/>
        </w:rPr>
        <w:t>To objectively certify simulation quality, the engine calculates empirical distance metrics between legitimate and synthetic fraud distributions: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140" w:type="dxa"/>
              <w:bottom w:w="140" w:type="dxa"/>
              <w:left w:w="150" w:type="dxa"/>
              <w:right w:w="150" w:type="dxa"/>
            </w:tcMar>
          </w:tcPr>
          <w:p>
            <w:pPr>
              <w:jc w:val="center"/>
            </w:pPr>
            <w:r>
              <w:t>Fidelity Metric</w:t>
            </w:r>
          </w:p>
        </w:tc>
        <w:tc>
          <w:tcPr>
            <w:tcW w:type="dxa" w:w="2592"/>
            <w:shd w:fill="0F172A"/>
            <w:tcMar>
              <w:top w:w="140" w:type="dxa"/>
              <w:bottom w:w="140" w:type="dxa"/>
              <w:left w:w="150" w:type="dxa"/>
              <w:right w:w="150" w:type="dxa"/>
            </w:tcMar>
          </w:tcPr>
          <w:p>
            <w:pPr>
              <w:jc w:val="center"/>
            </w:pPr>
            <w:r>
              <w:t>Mathematical Definition</w:t>
            </w:r>
          </w:p>
        </w:tc>
        <w:tc>
          <w:tcPr>
            <w:tcW w:type="dxa" w:w="2592"/>
            <w:shd w:fill="0F172A"/>
            <w:tcMar>
              <w:top w:w="140" w:type="dxa"/>
              <w:bottom w:w="140" w:type="dxa"/>
              <w:left w:w="150" w:type="dxa"/>
              <w:right w:w="150" w:type="dxa"/>
            </w:tcMar>
          </w:tcPr>
          <w:p>
            <w:pPr>
              <w:jc w:val="center"/>
            </w:pPr>
            <w:r>
              <w:t>Empirical Measured Value</w:t>
            </w:r>
          </w:p>
        </w:tc>
        <w:tc>
          <w:tcPr>
            <w:tcW w:type="dxa" w:w="2016"/>
            <w:shd w:fill="0F172A"/>
            <w:tcMar>
              <w:top w:w="140" w:type="dxa"/>
              <w:bottom w:w="140" w:type="dxa"/>
              <w:left w:w="150" w:type="dxa"/>
              <w:right w:w="150" w:type="dxa"/>
            </w:tcMar>
          </w:tcPr>
          <w:p>
            <w:pPr>
              <w:jc w:val="center"/>
            </w:pPr>
            <w:r>
              <w:t>Fidelity Assessment</w:t>
            </w:r>
          </w:p>
        </w:tc>
      </w:tr>
      <w:tr>
        <w:tc>
          <w:tcPr>
            <w:tcW w:type="dxa" w:w="2160"/>
            <w:shd w:fill="F8FAFC"/>
            <w:tcMar>
              <w:top w:w="100" w:type="dxa"/>
              <w:bottom w:w="100" w:type="dxa"/>
              <w:left w:w="150" w:type="dxa"/>
              <w:right w:w="150" w:type="dxa"/>
            </w:tcMar>
          </w:tcPr>
          <w:p>
            <w:r>
              <w:rPr>
                <w:sz w:val="17"/>
              </w:rPr>
              <w:t>Wasserstein Distance (Earth Mover's Distance)</w:t>
            </w:r>
          </w:p>
        </w:tc>
        <w:tc>
          <w:tcPr>
            <w:tcW w:type="dxa" w:w="2592"/>
            <w:shd w:fill="F8FAFC"/>
            <w:tcMar>
              <w:top w:w="100" w:type="dxa"/>
              <w:bottom w:w="100" w:type="dxa"/>
              <w:left w:w="150" w:type="dxa"/>
              <w:right w:w="150" w:type="dxa"/>
            </w:tcMar>
          </w:tcPr>
          <w:p>
            <w:r>
              <w:rPr>
                <w:sz w:val="17"/>
              </w:rPr>
              <w:t>W_1(P, Q) = \int_{-\infty}^{\infty} |F_P(x) - F_Q(x)| dx</w:t>
            </w:r>
          </w:p>
        </w:tc>
        <w:tc>
          <w:tcPr>
            <w:tcW w:type="dxa" w:w="2592"/>
            <w:shd w:fill="F8FAFC"/>
            <w:tcMar>
              <w:top w:w="100" w:type="dxa"/>
              <w:bottom w:w="100" w:type="dxa"/>
              <w:left w:w="150" w:type="dxa"/>
              <w:right w:w="150" w:type="dxa"/>
            </w:tcMar>
          </w:tcPr>
          <w:p>
            <w:r>
              <w:rPr>
                <w:sz w:val="17"/>
              </w:rPr>
              <w:t>W_1(\text{Amount}) = 0.042\\</w:t>
              <w:br/>
              <w:t>W_1(\text{Tenure}) = 0.038</w:t>
            </w:r>
          </w:p>
        </w:tc>
        <w:tc>
          <w:tcPr>
            <w:tcW w:type="dxa" w:w="2016"/>
            <w:shd w:fill="F8FAFC"/>
            <w:tcMar>
              <w:top w:w="100" w:type="dxa"/>
              <w:bottom w:w="100" w:type="dxa"/>
              <w:left w:w="150" w:type="dxa"/>
              <w:right w:w="150" w:type="dxa"/>
            </w:tcMar>
          </w:tcPr>
          <w:p>
            <w:r>
              <w:rPr>
                <w:sz w:val="17"/>
              </w:rPr>
              <w:t>HIGH FIDELITY (Minimal distribution distortion)</w:t>
            </w:r>
          </w:p>
        </w:tc>
      </w:tr>
      <w:tr>
        <w:tc>
          <w:tcPr>
            <w:tcW w:type="dxa" w:w="2160"/>
            <w:shd w:fill="FFFFFF"/>
            <w:tcMar>
              <w:top w:w="100" w:type="dxa"/>
              <w:bottom w:w="100" w:type="dxa"/>
              <w:left w:w="150" w:type="dxa"/>
              <w:right w:w="150" w:type="dxa"/>
            </w:tcMar>
          </w:tcPr>
          <w:p>
            <w:r>
              <w:rPr>
                <w:sz w:val="17"/>
              </w:rPr>
              <w:t>Jensen-Shannon Divergence</w:t>
            </w:r>
          </w:p>
        </w:tc>
        <w:tc>
          <w:tcPr>
            <w:tcW w:type="dxa" w:w="2592"/>
            <w:shd w:fill="FFFFFF"/>
            <w:tcMar>
              <w:top w:w="100" w:type="dxa"/>
              <w:bottom w:w="100" w:type="dxa"/>
              <w:left w:w="150" w:type="dxa"/>
              <w:right w:w="150" w:type="dxa"/>
            </w:tcMar>
          </w:tcPr>
          <w:p>
            <w:r>
              <w:rPr>
                <w:sz w:val="17"/>
              </w:rPr>
              <w:t>D_{JS}(P \parallel Q) = \frac{1}{2} D_{KL}(P \parallel M) + \frac{1}{2} D_{KL}(Q \parallel M)</w:t>
            </w:r>
          </w:p>
        </w:tc>
        <w:tc>
          <w:tcPr>
            <w:tcW w:type="dxa" w:w="2592"/>
            <w:shd w:fill="FFFFFF"/>
            <w:tcMar>
              <w:top w:w="100" w:type="dxa"/>
              <w:bottom w:w="100" w:type="dxa"/>
              <w:left w:w="150" w:type="dxa"/>
              <w:right w:w="150" w:type="dxa"/>
            </w:tcMar>
          </w:tcPr>
          <w:p>
            <w:r>
              <w:rPr>
                <w:sz w:val="17"/>
              </w:rPr>
              <w:t>Average D_{JS} = 0.3184 (Target: [0.20, 0.45])</w:t>
            </w:r>
          </w:p>
        </w:tc>
        <w:tc>
          <w:tcPr>
            <w:tcW w:type="dxa" w:w="2016"/>
            <w:shd w:fill="FFFFFF"/>
            <w:tcMar>
              <w:top w:w="100" w:type="dxa"/>
              <w:bottom w:w="100" w:type="dxa"/>
              <w:left w:w="150" w:type="dxa"/>
              <w:right w:w="150" w:type="dxa"/>
            </w:tcMar>
          </w:tcPr>
          <w:p>
            <w:r>
              <w:rPr>
                <w:sz w:val="17"/>
              </w:rPr>
              <w:t>OPTIMAL NON-SEPARABILITY (Stealthy mimicry)</w:t>
            </w:r>
          </w:p>
        </w:tc>
      </w:tr>
      <w:tr>
        <w:tc>
          <w:tcPr>
            <w:tcW w:type="dxa" w:w="2160"/>
            <w:shd w:fill="F8FAFC"/>
            <w:tcMar>
              <w:top w:w="100" w:type="dxa"/>
              <w:bottom w:w="100" w:type="dxa"/>
              <w:left w:w="150" w:type="dxa"/>
              <w:right w:w="150" w:type="dxa"/>
            </w:tcMar>
          </w:tcPr>
          <w:p>
            <w:r>
              <w:rPr>
                <w:sz w:val="17"/>
              </w:rPr>
              <w:t>Composite Fidelity Score</w:t>
            </w:r>
          </w:p>
        </w:tc>
        <w:tc>
          <w:tcPr>
            <w:tcW w:type="dxa" w:w="2592"/>
            <w:shd w:fill="F8FAFC"/>
            <w:tcMar>
              <w:top w:w="100" w:type="dxa"/>
              <w:bottom w:w="100" w:type="dxa"/>
              <w:left w:w="150" w:type="dxa"/>
              <w:right w:w="150" w:type="dxa"/>
            </w:tcMar>
          </w:tcPr>
          <w:p>
            <w:r>
              <w:rPr>
                <w:sz w:val="17"/>
              </w:rPr>
              <w:t>F = 100 \times (1 - \text{Penalty}_{JS} - \text{Penalty}_W)</w:t>
            </w:r>
          </w:p>
        </w:tc>
        <w:tc>
          <w:tcPr>
            <w:tcW w:type="dxa" w:w="2592"/>
            <w:shd w:fill="F8FAFC"/>
            <w:tcMar>
              <w:top w:w="100" w:type="dxa"/>
              <w:bottom w:w="100" w:type="dxa"/>
              <w:left w:w="150" w:type="dxa"/>
              <w:right w:w="150" w:type="dxa"/>
            </w:tcMar>
          </w:tcPr>
          <w:p>
            <w:r>
              <w:rPr>
                <w:sz w:val="17"/>
              </w:rPr>
              <w:t>94.6% Certified Fidelity</w:t>
            </w:r>
          </w:p>
        </w:tc>
        <w:tc>
          <w:tcPr>
            <w:tcW w:type="dxa" w:w="2016"/>
            <w:shd w:fill="F8FAFC"/>
            <w:tcMar>
              <w:top w:w="100" w:type="dxa"/>
              <w:bottom w:w="100" w:type="dxa"/>
              <w:left w:w="150" w:type="dxa"/>
              <w:right w:w="150" w:type="dxa"/>
            </w:tcMar>
          </w:tcPr>
          <w:p>
            <w:r>
              <w:rPr>
                <w:sz w:val="17"/>
              </w:rPr>
              <w:t>INSTITUTIONAL GRADE BENCHMARK</w:t>
            </w:r>
          </w:p>
        </w:tc>
      </w:tr>
    </w:tbl>
    <w:p>
      <w:pPr>
        <w:spacing w:after="160"/>
      </w:pPr>
    </w:p>
    <w:p>
      <w:pPr>
        <w:pStyle w:val="Heading1"/>
      </w:pPr>
      <w:r>
        <w:rPr>
          <w:rFonts w:ascii="Arial" w:hAnsi="Arial"/>
          <w:color w:val="0F172A"/>
          <w:sz w:val="30"/>
        </w:rPr>
        <w:t>3. AI Multi-Model Detection, Mitigation &amp; Efficacy Results</w:t>
      </w:r>
    </w:p>
    <w:p>
      <w:r>
        <w:rPr>
          <w:rFonts w:ascii="Calibri" w:hAnsi="Calibri"/>
        </w:rPr>
        <w:t>PAYGUARD-X deploys a Stacking Meta-Classifier Ensemble architecture that leverages the complementary mathematical strengths of diverse machine learning algorithms, coupled with dynamic decision calibration and granular SHAP explainability.</w:t>
      </w:r>
    </w:p>
    <w:p>
      <w:pPr>
        <w:pStyle w:val="Heading2"/>
      </w:pPr>
      <w:r>
        <w:rPr>
          <w:rFonts w:ascii="Arial" w:hAnsi="Arial"/>
          <w:color w:val="1E293B"/>
          <w:sz w:val="24"/>
        </w:rPr>
        <w:t>Ensemble Architecture &amp; Model Roles</w:t>
      </w:r>
    </w:p>
    <w:p>
      <w:pPr>
        <w:ind w:left="360"/>
      </w:pPr>
      <w:r>
        <w:rPr>
          <w:b/>
        </w:rPr>
        <w:t xml:space="preserve">1. XGBoost Classifier (Weight: 50%): </w:t>
      </w:r>
      <w:r>
        <w:t>Non-linear gradient boosted trees optimized for deep interactions between telemetry features (e.g. velocity bursts combined with device changes).</w:t>
        <w:br/>
      </w:r>
      <w:r>
        <w:rPr>
          <w:b/>
        </w:rPr>
        <w:t xml:space="preserve">2. Random Forest Classifier (Weight: 35%): </w:t>
      </w:r>
      <w:r>
        <w:t>Bagged decision forest providing robust variance reduction and resilience against out-of-distribution adversarial feature noise.</w:t>
        <w:br/>
      </w:r>
      <w:r>
        <w:rPr>
          <w:b/>
        </w:rPr>
        <w:t xml:space="preserve">3. Isolation Forest (Weight: 15%): </w:t>
      </w:r>
      <w:r>
        <w:t>Unsupervised isolation tree algorithm scoring anomalies without relying on known labels, providing critical zero-day zero-shot threat detection.</w:t>
        <w:br/>
      </w:r>
      <w:r>
        <w:rPr>
          <w:b/>
        </w:rPr>
        <w:t xml:space="preserve">4. Calibrated Decision Arbiter: </w:t>
      </w:r>
      <w:r>
        <w:t>Synthesizes base model probabilities into a unified Risk Score [0, 100] and executes tiered mitigation policy: ALLOW (Score &lt; 40), STEP-UP REVIEW (40-75), BLOCK (Score &gt; 75).</w:t>
      </w:r>
    </w:p>
    <w:p>
      <w:pPr>
        <w:pStyle w:val="Heading2"/>
      </w:pPr>
      <w:r>
        <w:rPr>
          <w:rFonts w:ascii="Arial" w:hAnsi="Arial"/>
          <w:color w:val="1E293B"/>
          <w:sz w:val="24"/>
        </w:rPr>
        <w:t>Comparative Efficacy Benchmark Matrix (5 Model Architectures)</w:t>
      </w:r>
    </w:p>
    <w:p>
      <w:r>
        <w:rPr>
          <w:rFonts w:ascii="Calibri" w:hAnsi="Calibri"/>
        </w:rPr>
        <w:t>Rigorous empirical evaluation was conducted across 5 competitive machine learning model architectures on a standardized 3,000-sample test set:</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016"/>
            <w:shd w:fill="0F172A"/>
            <w:tcMar>
              <w:top w:w="140" w:type="dxa"/>
              <w:bottom w:w="140" w:type="dxa"/>
              <w:left w:w="150" w:type="dxa"/>
              <w:right w:w="150" w:type="dxa"/>
            </w:tcMar>
          </w:tcPr>
          <w:p>
            <w:pPr>
              <w:jc w:val="center"/>
            </w:pPr>
            <w:r>
              <w:t>Architecture</w:t>
            </w:r>
          </w:p>
        </w:tc>
        <w:tc>
          <w:tcPr>
            <w:tcW w:type="dxa" w:w="1008"/>
            <w:shd w:fill="0F172A"/>
            <w:tcMar>
              <w:top w:w="140" w:type="dxa"/>
              <w:bottom w:w="140" w:type="dxa"/>
              <w:left w:w="150" w:type="dxa"/>
              <w:right w:w="150" w:type="dxa"/>
            </w:tcMar>
          </w:tcPr>
          <w:p>
            <w:pPr>
              <w:jc w:val="center"/>
            </w:pPr>
            <w:r>
              <w:t>Accuracy</w:t>
            </w:r>
          </w:p>
        </w:tc>
        <w:tc>
          <w:tcPr>
            <w:tcW w:type="dxa" w:w="1008"/>
            <w:shd w:fill="0F172A"/>
            <w:tcMar>
              <w:top w:w="140" w:type="dxa"/>
              <w:bottom w:w="140" w:type="dxa"/>
              <w:left w:w="150" w:type="dxa"/>
              <w:right w:w="150" w:type="dxa"/>
            </w:tcMar>
          </w:tcPr>
          <w:p>
            <w:pPr>
              <w:jc w:val="center"/>
            </w:pPr>
            <w:r>
              <w:t>Precision</w:t>
            </w:r>
          </w:p>
        </w:tc>
        <w:tc>
          <w:tcPr>
            <w:tcW w:type="dxa" w:w="1008"/>
            <w:shd w:fill="0F172A"/>
            <w:tcMar>
              <w:top w:w="140" w:type="dxa"/>
              <w:bottom w:w="140" w:type="dxa"/>
              <w:left w:w="150" w:type="dxa"/>
              <w:right w:w="150" w:type="dxa"/>
            </w:tcMar>
          </w:tcPr>
          <w:p>
            <w:pPr>
              <w:jc w:val="center"/>
            </w:pPr>
            <w:r>
              <w:t>Recall</w:t>
            </w:r>
          </w:p>
        </w:tc>
        <w:tc>
          <w:tcPr>
            <w:tcW w:type="dxa" w:w="1008"/>
            <w:shd w:fill="0F172A"/>
            <w:tcMar>
              <w:top w:w="140" w:type="dxa"/>
              <w:bottom w:w="140" w:type="dxa"/>
              <w:left w:w="150" w:type="dxa"/>
              <w:right w:w="150" w:type="dxa"/>
            </w:tcMar>
          </w:tcPr>
          <w:p>
            <w:pPr>
              <w:jc w:val="center"/>
            </w:pPr>
            <w:r>
              <w:t>F1-Score</w:t>
            </w:r>
          </w:p>
        </w:tc>
        <w:tc>
          <w:tcPr>
            <w:tcW w:type="dxa" w:w="1152"/>
            <w:shd w:fill="0F172A"/>
            <w:tcMar>
              <w:top w:w="140" w:type="dxa"/>
              <w:bottom w:w="140" w:type="dxa"/>
              <w:left w:w="150" w:type="dxa"/>
              <w:right w:w="150" w:type="dxa"/>
            </w:tcMar>
          </w:tcPr>
          <w:p>
            <w:pPr>
              <w:jc w:val="center"/>
            </w:pPr>
            <w:r>
              <w:t>ROC-AUC</w:t>
            </w:r>
          </w:p>
        </w:tc>
        <w:tc>
          <w:tcPr>
            <w:tcW w:type="dxa" w:w="1152"/>
            <w:shd w:fill="0F172A"/>
            <w:tcMar>
              <w:top w:w="140" w:type="dxa"/>
              <w:bottom w:w="140" w:type="dxa"/>
              <w:left w:w="150" w:type="dxa"/>
              <w:right w:w="150" w:type="dxa"/>
            </w:tcMar>
          </w:tcPr>
          <w:p>
            <w:pPr>
              <w:jc w:val="center"/>
            </w:pPr>
            <w:r>
              <w:t>PR-AUC</w:t>
            </w:r>
          </w:p>
        </w:tc>
        <w:tc>
          <w:tcPr>
            <w:tcW w:type="dxa" w:w="1008"/>
            <w:shd w:fill="0F172A"/>
            <w:tcMar>
              <w:top w:w="140" w:type="dxa"/>
              <w:bottom w:w="140" w:type="dxa"/>
              <w:left w:w="150" w:type="dxa"/>
              <w:right w:w="150" w:type="dxa"/>
            </w:tcMar>
          </w:tcPr>
          <w:p>
            <w:pPr>
              <w:jc w:val="center"/>
            </w:pPr>
            <w:r>
              <w:t>FPR</w:t>
            </w:r>
          </w:p>
        </w:tc>
      </w:tr>
      <w:tr>
        <w:tc>
          <w:tcPr>
            <w:tcW w:type="dxa" w:w="2016"/>
            <w:shd w:fill="F8FAFC"/>
            <w:tcMar>
              <w:top w:w="100" w:type="dxa"/>
              <w:bottom w:w="100" w:type="dxa"/>
              <w:left w:w="150" w:type="dxa"/>
              <w:right w:w="150" w:type="dxa"/>
            </w:tcMar>
          </w:tcPr>
          <w:p>
            <w:r>
              <w:rPr>
                <w:sz w:val="17"/>
              </w:rPr>
              <w:t>Logistic Regression (Baseline)</w:t>
            </w:r>
          </w:p>
        </w:tc>
        <w:tc>
          <w:tcPr>
            <w:tcW w:type="dxa" w:w="1008"/>
            <w:shd w:fill="F8FAFC"/>
            <w:tcMar>
              <w:top w:w="100" w:type="dxa"/>
              <w:bottom w:w="100" w:type="dxa"/>
              <w:left w:w="150" w:type="dxa"/>
              <w:right w:w="150" w:type="dxa"/>
            </w:tcMar>
          </w:tcPr>
          <w:p>
            <w:r>
              <w:rPr>
                <w:sz w:val="17"/>
              </w:rPr>
              <w:t>86.4%</w:t>
            </w:r>
          </w:p>
        </w:tc>
        <w:tc>
          <w:tcPr>
            <w:tcW w:type="dxa" w:w="1008"/>
            <w:shd w:fill="F8FAFC"/>
            <w:tcMar>
              <w:top w:w="100" w:type="dxa"/>
              <w:bottom w:w="100" w:type="dxa"/>
              <w:left w:w="150" w:type="dxa"/>
              <w:right w:w="150" w:type="dxa"/>
            </w:tcMar>
          </w:tcPr>
          <w:p>
            <w:r>
              <w:rPr>
                <w:sz w:val="17"/>
              </w:rPr>
              <w:t>81.2%</w:t>
            </w:r>
          </w:p>
        </w:tc>
        <w:tc>
          <w:tcPr>
            <w:tcW w:type="dxa" w:w="1008"/>
            <w:shd w:fill="F8FAFC"/>
            <w:tcMar>
              <w:top w:w="100" w:type="dxa"/>
              <w:bottom w:w="100" w:type="dxa"/>
              <w:left w:w="150" w:type="dxa"/>
              <w:right w:w="150" w:type="dxa"/>
            </w:tcMar>
          </w:tcPr>
          <w:p>
            <w:r>
              <w:rPr>
                <w:sz w:val="17"/>
              </w:rPr>
              <w:t>74.5%</w:t>
            </w:r>
          </w:p>
        </w:tc>
        <w:tc>
          <w:tcPr>
            <w:tcW w:type="dxa" w:w="1008"/>
            <w:shd w:fill="F8FAFC"/>
            <w:tcMar>
              <w:top w:w="100" w:type="dxa"/>
              <w:bottom w:w="100" w:type="dxa"/>
              <w:left w:w="150" w:type="dxa"/>
              <w:right w:w="150" w:type="dxa"/>
            </w:tcMar>
          </w:tcPr>
          <w:p>
            <w:r>
              <w:rPr>
                <w:sz w:val="17"/>
              </w:rPr>
              <w:t>77.7%</w:t>
            </w:r>
          </w:p>
        </w:tc>
        <w:tc>
          <w:tcPr>
            <w:tcW w:type="dxa" w:w="1152"/>
            <w:shd w:fill="F8FAFC"/>
            <w:tcMar>
              <w:top w:w="100" w:type="dxa"/>
              <w:bottom w:w="100" w:type="dxa"/>
              <w:left w:w="150" w:type="dxa"/>
              <w:right w:w="150" w:type="dxa"/>
            </w:tcMar>
          </w:tcPr>
          <w:p>
            <w:r>
              <w:rPr>
                <w:sz w:val="17"/>
              </w:rPr>
              <w:t>0.8521</w:t>
            </w:r>
          </w:p>
        </w:tc>
        <w:tc>
          <w:tcPr>
            <w:tcW w:type="dxa" w:w="1152"/>
            <w:shd w:fill="F8FAFC"/>
            <w:tcMar>
              <w:top w:w="100" w:type="dxa"/>
              <w:bottom w:w="100" w:type="dxa"/>
              <w:left w:w="150" w:type="dxa"/>
              <w:right w:w="150" w:type="dxa"/>
            </w:tcMar>
          </w:tcPr>
          <w:p>
            <w:r>
              <w:rPr>
                <w:sz w:val="17"/>
              </w:rPr>
              <w:t>0.7810</w:t>
            </w:r>
          </w:p>
        </w:tc>
        <w:tc>
          <w:tcPr>
            <w:tcW w:type="dxa" w:w="1008"/>
            <w:shd w:fill="F8FAFC"/>
            <w:tcMar>
              <w:top w:w="100" w:type="dxa"/>
              <w:bottom w:w="100" w:type="dxa"/>
              <w:left w:w="150" w:type="dxa"/>
              <w:right w:w="150" w:type="dxa"/>
            </w:tcMar>
          </w:tcPr>
          <w:p>
            <w:r>
              <w:rPr>
                <w:sz w:val="17"/>
              </w:rPr>
              <w:t>4.20%</w:t>
            </w:r>
          </w:p>
        </w:tc>
      </w:tr>
      <w:tr>
        <w:tc>
          <w:tcPr>
            <w:tcW w:type="dxa" w:w="2016"/>
            <w:shd w:fill="FFFFFF"/>
            <w:tcMar>
              <w:top w:w="100" w:type="dxa"/>
              <w:bottom w:w="100" w:type="dxa"/>
              <w:left w:w="150" w:type="dxa"/>
              <w:right w:w="150" w:type="dxa"/>
            </w:tcMar>
          </w:tcPr>
          <w:p>
            <w:r>
              <w:rPr>
                <w:sz w:val="17"/>
              </w:rPr>
              <w:t>Isolation Forest (Unsupervised)</w:t>
            </w:r>
          </w:p>
        </w:tc>
        <w:tc>
          <w:tcPr>
            <w:tcW w:type="dxa" w:w="1008"/>
            <w:shd w:fill="FFFFFF"/>
            <w:tcMar>
              <w:top w:w="100" w:type="dxa"/>
              <w:bottom w:w="100" w:type="dxa"/>
              <w:left w:w="150" w:type="dxa"/>
              <w:right w:w="150" w:type="dxa"/>
            </w:tcMar>
          </w:tcPr>
          <w:p>
            <w:r>
              <w:rPr>
                <w:sz w:val="17"/>
              </w:rPr>
              <w:t>88.9%</w:t>
            </w:r>
          </w:p>
        </w:tc>
        <w:tc>
          <w:tcPr>
            <w:tcW w:type="dxa" w:w="1008"/>
            <w:shd w:fill="FFFFFF"/>
            <w:tcMar>
              <w:top w:w="100" w:type="dxa"/>
              <w:bottom w:w="100" w:type="dxa"/>
              <w:left w:w="150" w:type="dxa"/>
              <w:right w:w="150" w:type="dxa"/>
            </w:tcMar>
          </w:tcPr>
          <w:p>
            <w:r>
              <w:rPr>
                <w:sz w:val="17"/>
              </w:rPr>
              <w:t>83.5%</w:t>
            </w:r>
          </w:p>
        </w:tc>
        <w:tc>
          <w:tcPr>
            <w:tcW w:type="dxa" w:w="1008"/>
            <w:shd w:fill="FFFFFF"/>
            <w:tcMar>
              <w:top w:w="100" w:type="dxa"/>
              <w:bottom w:w="100" w:type="dxa"/>
              <w:left w:w="150" w:type="dxa"/>
              <w:right w:w="150" w:type="dxa"/>
            </w:tcMar>
          </w:tcPr>
          <w:p>
            <w:r>
              <w:rPr>
                <w:sz w:val="17"/>
              </w:rPr>
              <w:t>78.2%</w:t>
            </w:r>
          </w:p>
        </w:tc>
        <w:tc>
          <w:tcPr>
            <w:tcW w:type="dxa" w:w="1008"/>
            <w:shd w:fill="FFFFFF"/>
            <w:tcMar>
              <w:top w:w="100" w:type="dxa"/>
              <w:bottom w:w="100" w:type="dxa"/>
              <w:left w:w="150" w:type="dxa"/>
              <w:right w:w="150" w:type="dxa"/>
            </w:tcMar>
          </w:tcPr>
          <w:p>
            <w:r>
              <w:rPr>
                <w:sz w:val="17"/>
              </w:rPr>
              <w:t>80.8%</w:t>
            </w:r>
          </w:p>
        </w:tc>
        <w:tc>
          <w:tcPr>
            <w:tcW w:type="dxa" w:w="1152"/>
            <w:shd w:fill="FFFFFF"/>
            <w:tcMar>
              <w:top w:w="100" w:type="dxa"/>
              <w:bottom w:w="100" w:type="dxa"/>
              <w:left w:w="150" w:type="dxa"/>
              <w:right w:w="150" w:type="dxa"/>
            </w:tcMar>
          </w:tcPr>
          <w:p>
            <w:r>
              <w:rPr>
                <w:sz w:val="17"/>
              </w:rPr>
              <w:t>0.8845</w:t>
            </w:r>
          </w:p>
        </w:tc>
        <w:tc>
          <w:tcPr>
            <w:tcW w:type="dxa" w:w="1152"/>
            <w:shd w:fill="FFFFFF"/>
            <w:tcMar>
              <w:top w:w="100" w:type="dxa"/>
              <w:bottom w:w="100" w:type="dxa"/>
              <w:left w:w="150" w:type="dxa"/>
              <w:right w:w="150" w:type="dxa"/>
            </w:tcMar>
          </w:tcPr>
          <w:p>
            <w:r>
              <w:rPr>
                <w:sz w:val="17"/>
              </w:rPr>
              <w:t>0.8140</w:t>
            </w:r>
          </w:p>
        </w:tc>
        <w:tc>
          <w:tcPr>
            <w:tcW w:type="dxa" w:w="1008"/>
            <w:shd w:fill="FFFFFF"/>
            <w:tcMar>
              <w:top w:w="100" w:type="dxa"/>
              <w:bottom w:w="100" w:type="dxa"/>
              <w:left w:w="150" w:type="dxa"/>
              <w:right w:w="150" w:type="dxa"/>
            </w:tcMar>
          </w:tcPr>
          <w:p>
            <w:r>
              <w:rPr>
                <w:sz w:val="17"/>
              </w:rPr>
              <w:t>3.80%</w:t>
            </w:r>
          </w:p>
        </w:tc>
      </w:tr>
      <w:tr>
        <w:tc>
          <w:tcPr>
            <w:tcW w:type="dxa" w:w="2016"/>
            <w:shd w:fill="F8FAFC"/>
            <w:tcMar>
              <w:top w:w="100" w:type="dxa"/>
              <w:bottom w:w="100" w:type="dxa"/>
              <w:left w:w="150" w:type="dxa"/>
              <w:right w:w="150" w:type="dxa"/>
            </w:tcMar>
          </w:tcPr>
          <w:p>
            <w:r>
              <w:rPr>
                <w:sz w:val="17"/>
              </w:rPr>
              <w:t>Random Forest (Bagged Trees)</w:t>
            </w:r>
          </w:p>
        </w:tc>
        <w:tc>
          <w:tcPr>
            <w:tcW w:type="dxa" w:w="1008"/>
            <w:shd w:fill="F8FAFC"/>
            <w:tcMar>
              <w:top w:w="100" w:type="dxa"/>
              <w:bottom w:w="100" w:type="dxa"/>
              <w:left w:w="150" w:type="dxa"/>
              <w:right w:w="150" w:type="dxa"/>
            </w:tcMar>
          </w:tcPr>
          <w:p>
            <w:r>
              <w:rPr>
                <w:sz w:val="17"/>
              </w:rPr>
              <w:t>93.8%</w:t>
            </w:r>
          </w:p>
        </w:tc>
        <w:tc>
          <w:tcPr>
            <w:tcW w:type="dxa" w:w="1008"/>
            <w:shd w:fill="F8FAFC"/>
            <w:tcMar>
              <w:top w:w="100" w:type="dxa"/>
              <w:bottom w:w="100" w:type="dxa"/>
              <w:left w:w="150" w:type="dxa"/>
              <w:right w:w="150" w:type="dxa"/>
            </w:tcMar>
          </w:tcPr>
          <w:p>
            <w:r>
              <w:rPr>
                <w:sz w:val="17"/>
              </w:rPr>
              <w:t>91.4%</w:t>
            </w:r>
          </w:p>
        </w:tc>
        <w:tc>
          <w:tcPr>
            <w:tcW w:type="dxa" w:w="1008"/>
            <w:shd w:fill="F8FAFC"/>
            <w:tcMar>
              <w:top w:w="100" w:type="dxa"/>
              <w:bottom w:w="100" w:type="dxa"/>
              <w:left w:w="150" w:type="dxa"/>
              <w:right w:w="150" w:type="dxa"/>
            </w:tcMar>
          </w:tcPr>
          <w:p>
            <w:r>
              <w:rPr>
                <w:sz w:val="17"/>
              </w:rPr>
              <w:t>86.7%</w:t>
            </w:r>
          </w:p>
        </w:tc>
        <w:tc>
          <w:tcPr>
            <w:tcW w:type="dxa" w:w="1008"/>
            <w:shd w:fill="F8FAFC"/>
            <w:tcMar>
              <w:top w:w="100" w:type="dxa"/>
              <w:bottom w:w="100" w:type="dxa"/>
              <w:left w:w="150" w:type="dxa"/>
              <w:right w:w="150" w:type="dxa"/>
            </w:tcMar>
          </w:tcPr>
          <w:p>
            <w:r>
              <w:rPr>
                <w:sz w:val="17"/>
              </w:rPr>
              <w:t>89.0%</w:t>
            </w:r>
          </w:p>
        </w:tc>
        <w:tc>
          <w:tcPr>
            <w:tcW w:type="dxa" w:w="1152"/>
            <w:shd w:fill="F8FAFC"/>
            <w:tcMar>
              <w:top w:w="100" w:type="dxa"/>
              <w:bottom w:w="100" w:type="dxa"/>
              <w:left w:w="150" w:type="dxa"/>
              <w:right w:w="150" w:type="dxa"/>
            </w:tcMar>
          </w:tcPr>
          <w:p>
            <w:r>
              <w:rPr>
                <w:sz w:val="17"/>
              </w:rPr>
              <w:t>0.9412</w:t>
            </w:r>
          </w:p>
        </w:tc>
        <w:tc>
          <w:tcPr>
            <w:tcW w:type="dxa" w:w="1152"/>
            <w:shd w:fill="F8FAFC"/>
            <w:tcMar>
              <w:top w:w="100" w:type="dxa"/>
              <w:bottom w:w="100" w:type="dxa"/>
              <w:left w:w="150" w:type="dxa"/>
              <w:right w:w="150" w:type="dxa"/>
            </w:tcMar>
          </w:tcPr>
          <w:p>
            <w:r>
              <w:rPr>
                <w:sz w:val="17"/>
              </w:rPr>
              <w:t>0.8950</w:t>
            </w:r>
          </w:p>
        </w:tc>
        <w:tc>
          <w:tcPr>
            <w:tcW w:type="dxa" w:w="1008"/>
            <w:shd w:fill="F8FAFC"/>
            <w:tcMar>
              <w:top w:w="100" w:type="dxa"/>
              <w:bottom w:w="100" w:type="dxa"/>
              <w:left w:w="150" w:type="dxa"/>
              <w:right w:w="150" w:type="dxa"/>
            </w:tcMar>
          </w:tcPr>
          <w:p>
            <w:r>
              <w:rPr>
                <w:sz w:val="17"/>
              </w:rPr>
              <w:t>2.10%</w:t>
            </w:r>
          </w:p>
        </w:tc>
      </w:tr>
      <w:tr>
        <w:tc>
          <w:tcPr>
            <w:tcW w:type="dxa" w:w="2016"/>
            <w:shd w:fill="FFFFFF"/>
            <w:tcMar>
              <w:top w:w="100" w:type="dxa"/>
              <w:bottom w:w="100" w:type="dxa"/>
              <w:left w:w="150" w:type="dxa"/>
              <w:right w:w="150" w:type="dxa"/>
            </w:tcMar>
          </w:tcPr>
          <w:p>
            <w:r>
              <w:rPr>
                <w:sz w:val="17"/>
              </w:rPr>
              <w:t>XGBoost (Gradient Boosted)</w:t>
            </w:r>
          </w:p>
        </w:tc>
        <w:tc>
          <w:tcPr>
            <w:tcW w:type="dxa" w:w="1008"/>
            <w:shd w:fill="FFFFFF"/>
            <w:tcMar>
              <w:top w:w="100" w:type="dxa"/>
              <w:bottom w:w="100" w:type="dxa"/>
              <w:left w:w="150" w:type="dxa"/>
              <w:right w:w="150" w:type="dxa"/>
            </w:tcMar>
          </w:tcPr>
          <w:p>
            <w:r>
              <w:rPr>
                <w:sz w:val="17"/>
              </w:rPr>
              <w:t>96.2%</w:t>
            </w:r>
          </w:p>
        </w:tc>
        <w:tc>
          <w:tcPr>
            <w:tcW w:type="dxa" w:w="1008"/>
            <w:shd w:fill="FFFFFF"/>
            <w:tcMar>
              <w:top w:w="100" w:type="dxa"/>
              <w:bottom w:w="100" w:type="dxa"/>
              <w:left w:w="150" w:type="dxa"/>
              <w:right w:w="150" w:type="dxa"/>
            </w:tcMar>
          </w:tcPr>
          <w:p>
            <w:r>
              <w:rPr>
                <w:sz w:val="17"/>
              </w:rPr>
              <w:t>94.8%</w:t>
            </w:r>
          </w:p>
        </w:tc>
        <w:tc>
          <w:tcPr>
            <w:tcW w:type="dxa" w:w="1008"/>
            <w:shd w:fill="FFFFFF"/>
            <w:tcMar>
              <w:top w:w="100" w:type="dxa"/>
              <w:bottom w:w="100" w:type="dxa"/>
              <w:left w:w="150" w:type="dxa"/>
              <w:right w:w="150" w:type="dxa"/>
            </w:tcMar>
          </w:tcPr>
          <w:p>
            <w:r>
              <w:rPr>
                <w:sz w:val="17"/>
              </w:rPr>
              <w:t>91.3%</w:t>
            </w:r>
          </w:p>
        </w:tc>
        <w:tc>
          <w:tcPr>
            <w:tcW w:type="dxa" w:w="1008"/>
            <w:shd w:fill="FFFFFF"/>
            <w:tcMar>
              <w:top w:w="100" w:type="dxa"/>
              <w:bottom w:w="100" w:type="dxa"/>
              <w:left w:w="150" w:type="dxa"/>
              <w:right w:w="150" w:type="dxa"/>
            </w:tcMar>
          </w:tcPr>
          <w:p>
            <w:r>
              <w:rPr>
                <w:sz w:val="17"/>
              </w:rPr>
              <w:t>93.0%</w:t>
            </w:r>
          </w:p>
        </w:tc>
        <w:tc>
          <w:tcPr>
            <w:tcW w:type="dxa" w:w="1152"/>
            <w:shd w:fill="FFFFFF"/>
            <w:tcMar>
              <w:top w:w="100" w:type="dxa"/>
              <w:bottom w:w="100" w:type="dxa"/>
              <w:left w:w="150" w:type="dxa"/>
              <w:right w:w="150" w:type="dxa"/>
            </w:tcMar>
          </w:tcPr>
          <w:p>
            <w:r>
              <w:rPr>
                <w:sz w:val="17"/>
              </w:rPr>
              <w:t>0.9734</w:t>
            </w:r>
          </w:p>
        </w:tc>
        <w:tc>
          <w:tcPr>
            <w:tcW w:type="dxa" w:w="1152"/>
            <w:shd w:fill="FFFFFF"/>
            <w:tcMar>
              <w:top w:w="100" w:type="dxa"/>
              <w:bottom w:w="100" w:type="dxa"/>
              <w:left w:w="150" w:type="dxa"/>
              <w:right w:w="150" w:type="dxa"/>
            </w:tcMar>
          </w:tcPr>
          <w:p>
            <w:r>
              <w:rPr>
                <w:sz w:val="17"/>
              </w:rPr>
              <w:t>0.9420</w:t>
            </w:r>
          </w:p>
        </w:tc>
        <w:tc>
          <w:tcPr>
            <w:tcW w:type="dxa" w:w="1008"/>
            <w:shd w:fill="FFFFFF"/>
            <w:tcMar>
              <w:top w:w="100" w:type="dxa"/>
              <w:bottom w:w="100" w:type="dxa"/>
              <w:left w:w="150" w:type="dxa"/>
              <w:right w:w="150" w:type="dxa"/>
            </w:tcMar>
          </w:tcPr>
          <w:p>
            <w:r>
              <w:rPr>
                <w:sz w:val="17"/>
              </w:rPr>
              <w:t>1.40%</w:t>
            </w:r>
          </w:p>
        </w:tc>
      </w:tr>
      <w:tr>
        <w:tc>
          <w:tcPr>
            <w:tcW w:type="dxa" w:w="2016"/>
            <w:shd w:fill="F8FAFC"/>
            <w:tcMar>
              <w:top w:w="100" w:type="dxa"/>
              <w:bottom w:w="100" w:type="dxa"/>
              <w:left w:w="150" w:type="dxa"/>
              <w:right w:w="150" w:type="dxa"/>
            </w:tcMar>
            <w:shd w:fill="EFF6FF"/>
          </w:tcPr>
          <w:p>
            <w:r>
              <w:rPr>
                <w:b/>
                <w:sz w:val="17"/>
              </w:rPr>
              <w:t>PAYGUARD-X Stacking Ensemble</w:t>
            </w:r>
          </w:p>
        </w:tc>
        <w:tc>
          <w:tcPr>
            <w:tcW w:type="dxa" w:w="1008"/>
            <w:shd w:fill="F8FAFC"/>
            <w:tcMar>
              <w:top w:w="100" w:type="dxa"/>
              <w:bottom w:w="100" w:type="dxa"/>
              <w:left w:w="150" w:type="dxa"/>
              <w:right w:w="150" w:type="dxa"/>
            </w:tcMar>
            <w:shd w:fill="EFF6FF"/>
          </w:tcPr>
          <w:p>
            <w:r>
              <w:rPr>
                <w:b/>
                <w:sz w:val="17"/>
              </w:rPr>
              <w:t>98.1%</w:t>
            </w:r>
          </w:p>
        </w:tc>
        <w:tc>
          <w:tcPr>
            <w:tcW w:type="dxa" w:w="1008"/>
            <w:shd w:fill="F8FAFC"/>
            <w:tcMar>
              <w:top w:w="100" w:type="dxa"/>
              <w:bottom w:w="100" w:type="dxa"/>
              <w:left w:w="150" w:type="dxa"/>
              <w:right w:w="150" w:type="dxa"/>
            </w:tcMar>
            <w:shd w:fill="EFF6FF"/>
          </w:tcPr>
          <w:p>
            <w:r>
              <w:rPr>
                <w:b/>
                <w:sz w:val="17"/>
              </w:rPr>
              <w:t>97.2%</w:t>
            </w:r>
          </w:p>
        </w:tc>
        <w:tc>
          <w:tcPr>
            <w:tcW w:type="dxa" w:w="1008"/>
            <w:shd w:fill="F8FAFC"/>
            <w:tcMar>
              <w:top w:w="100" w:type="dxa"/>
              <w:bottom w:w="100" w:type="dxa"/>
              <w:left w:w="150" w:type="dxa"/>
              <w:right w:w="150" w:type="dxa"/>
            </w:tcMar>
            <w:shd w:fill="EFF6FF"/>
          </w:tcPr>
          <w:p>
            <w:r>
              <w:rPr>
                <w:b/>
                <w:sz w:val="17"/>
              </w:rPr>
              <w:t>95.6%</w:t>
            </w:r>
          </w:p>
        </w:tc>
        <w:tc>
          <w:tcPr>
            <w:tcW w:type="dxa" w:w="1008"/>
            <w:shd w:fill="F8FAFC"/>
            <w:tcMar>
              <w:top w:w="100" w:type="dxa"/>
              <w:bottom w:w="100" w:type="dxa"/>
              <w:left w:w="150" w:type="dxa"/>
              <w:right w:w="150" w:type="dxa"/>
            </w:tcMar>
            <w:shd w:fill="EFF6FF"/>
          </w:tcPr>
          <w:p>
            <w:r>
              <w:rPr>
                <w:b/>
                <w:sz w:val="17"/>
              </w:rPr>
              <w:t>96.4%</w:t>
            </w:r>
          </w:p>
        </w:tc>
        <w:tc>
          <w:tcPr>
            <w:tcW w:type="dxa" w:w="1152"/>
            <w:shd w:fill="F8FAFC"/>
            <w:tcMar>
              <w:top w:w="100" w:type="dxa"/>
              <w:bottom w:w="100" w:type="dxa"/>
              <w:left w:w="150" w:type="dxa"/>
              <w:right w:w="150" w:type="dxa"/>
            </w:tcMar>
            <w:shd w:fill="EFF6FF"/>
          </w:tcPr>
          <w:p>
            <w:r>
              <w:rPr>
                <w:b/>
                <w:sz w:val="17"/>
              </w:rPr>
              <w:t>0.9882</w:t>
            </w:r>
          </w:p>
        </w:tc>
        <w:tc>
          <w:tcPr>
            <w:tcW w:type="dxa" w:w="1152"/>
            <w:shd w:fill="F8FAFC"/>
            <w:tcMar>
              <w:top w:w="100" w:type="dxa"/>
              <w:bottom w:w="100" w:type="dxa"/>
              <w:left w:w="150" w:type="dxa"/>
              <w:right w:w="150" w:type="dxa"/>
            </w:tcMar>
            <w:shd w:fill="EFF6FF"/>
          </w:tcPr>
          <w:p>
            <w:r>
              <w:rPr>
                <w:b/>
                <w:sz w:val="17"/>
              </w:rPr>
              <w:t>0.9715</w:t>
            </w:r>
          </w:p>
        </w:tc>
        <w:tc>
          <w:tcPr>
            <w:tcW w:type="dxa" w:w="1008"/>
            <w:shd w:fill="F8FAFC"/>
            <w:tcMar>
              <w:top w:w="100" w:type="dxa"/>
              <w:bottom w:w="100" w:type="dxa"/>
              <w:left w:w="150" w:type="dxa"/>
              <w:right w:w="150" w:type="dxa"/>
            </w:tcMar>
            <w:shd w:fill="EFF6FF"/>
          </w:tcPr>
          <w:p>
            <w:r>
              <w:rPr>
                <w:b/>
                <w:sz w:val="17"/>
              </w:rPr>
              <w:t>0.65%</w:t>
            </w:r>
          </w:p>
        </w:tc>
      </w:tr>
    </w:tbl>
    <w:p>
      <w:pPr>
        <w:spacing w:after="160"/>
      </w:pPr>
    </w:p>
    <w:p>
      <w:pPr>
        <w:pStyle w:val="Heading2"/>
      </w:pPr>
      <w:r>
        <w:rPr>
          <w:rFonts w:ascii="Arial" w:hAnsi="Arial"/>
          <w:color w:val="1E293B"/>
          <w:sz w:val="24"/>
        </w:rPr>
        <w:t>Adversarial Co-Evolution &amp; Hardening (Red vs Blue Arena Results)</w:t>
      </w:r>
    </w:p>
    <w:p>
      <w:r>
        <w:rPr>
          <w:rFonts w:ascii="Calibri" w:hAnsi="Calibri"/>
        </w:rPr>
        <w:t>To prevent defensive stagnation, PAYGUARD-X implements an automated Red vs Blue adversarial co-evolution arena. The Red Team mutator extracts false negatives (missed fraud) from the Blue Team defense and applies safe parametric mutations (amount smoothing, velocity dispersion, timing jitter) to probe decision boundary weaknesses. The Blue Team automatically retrains on mutated evasion vectors between rounds: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fill="0F172A"/>
            <w:tcMar>
              <w:top w:w="140" w:type="dxa"/>
              <w:bottom w:w="140" w:type="dxa"/>
              <w:left w:w="150" w:type="dxa"/>
              <w:right w:w="150" w:type="dxa"/>
            </w:tcMar>
          </w:tcPr>
          <w:p>
            <w:pPr>
              <w:jc w:val="center"/>
            </w:pPr>
            <w:r>
              <w:t>Round</w:t>
            </w:r>
          </w:p>
        </w:tc>
        <w:tc>
          <w:tcPr>
            <w:tcW w:type="dxa" w:w="1584"/>
            <w:shd w:fill="0F172A"/>
            <w:tcMar>
              <w:top w:w="140" w:type="dxa"/>
              <w:bottom w:w="140" w:type="dxa"/>
              <w:left w:w="150" w:type="dxa"/>
              <w:right w:w="150" w:type="dxa"/>
            </w:tcMar>
          </w:tcPr>
          <w:p>
            <w:pPr>
              <w:jc w:val="center"/>
            </w:pPr>
            <w:r>
              <w:t>Difficulty</w:t>
            </w:r>
          </w:p>
        </w:tc>
        <w:tc>
          <w:tcPr>
            <w:tcW w:type="dxa" w:w="1584"/>
            <w:shd w:fill="0F172A"/>
            <w:tcMar>
              <w:top w:w="140" w:type="dxa"/>
              <w:bottom w:w="140" w:type="dxa"/>
              <w:left w:w="150" w:type="dxa"/>
              <w:right w:w="150" w:type="dxa"/>
            </w:tcMar>
          </w:tcPr>
          <w:p>
            <w:pPr>
              <w:jc w:val="center"/>
            </w:pPr>
            <w:r>
              <w:t>Missed Attacks</w:t>
            </w:r>
          </w:p>
        </w:tc>
        <w:tc>
          <w:tcPr>
            <w:tcW w:type="dxa" w:w="1440"/>
            <w:shd w:fill="0F172A"/>
            <w:tcMar>
              <w:top w:w="140" w:type="dxa"/>
              <w:bottom w:w="140" w:type="dxa"/>
              <w:left w:w="150" w:type="dxa"/>
              <w:right w:w="150" w:type="dxa"/>
            </w:tcMar>
          </w:tcPr>
          <w:p>
            <w:pPr>
              <w:jc w:val="center"/>
            </w:pPr>
            <w:r>
              <w:t>Mutated Evasions</w:t>
            </w:r>
          </w:p>
        </w:tc>
        <w:tc>
          <w:tcPr>
            <w:tcW w:type="dxa" w:w="1584"/>
            <w:shd w:fill="0F172A"/>
            <w:tcMar>
              <w:top w:w="140" w:type="dxa"/>
              <w:bottom w:w="140" w:type="dxa"/>
              <w:left w:w="150" w:type="dxa"/>
              <w:right w:w="150" w:type="dxa"/>
            </w:tcMar>
          </w:tcPr>
          <w:p>
            <w:pPr>
              <w:jc w:val="center"/>
            </w:pPr>
            <w:r>
              <w:t>Recall (%)</w:t>
            </w:r>
          </w:p>
        </w:tc>
        <w:tc>
          <w:tcPr>
            <w:tcW w:type="dxa" w:w="1728"/>
            <w:shd w:fill="0F172A"/>
            <w:tcMar>
              <w:top w:w="140" w:type="dxa"/>
              <w:bottom w:w="140" w:type="dxa"/>
              <w:left w:w="150" w:type="dxa"/>
              <w:right w:w="150" w:type="dxa"/>
            </w:tcMar>
          </w:tcPr>
          <w:p>
            <w:pPr>
              <w:jc w:val="center"/>
            </w:pPr>
            <w:r>
              <w:t>Evasion Vector</w:t>
            </w:r>
          </w:p>
        </w:tc>
      </w:tr>
      <w:tr>
        <w:tc>
          <w:tcPr>
            <w:tcW w:type="dxa" w:w="1440"/>
            <w:shd w:fill="F8FAFC"/>
            <w:tcMar>
              <w:top w:w="100" w:type="dxa"/>
              <w:bottom w:w="100" w:type="dxa"/>
              <w:left w:w="150" w:type="dxa"/>
              <w:right w:w="150" w:type="dxa"/>
            </w:tcMar>
          </w:tcPr>
          <w:p>
            <w:r>
              <w:rPr>
                <w:sz w:val="17"/>
              </w:rPr>
              <w:t>Round 01</w:t>
            </w:r>
          </w:p>
        </w:tc>
        <w:tc>
          <w:tcPr>
            <w:tcW w:type="dxa" w:w="1584"/>
            <w:shd w:fill="F8FAFC"/>
            <w:tcMar>
              <w:top w:w="100" w:type="dxa"/>
              <w:bottom w:w="100" w:type="dxa"/>
              <w:left w:w="150" w:type="dxa"/>
              <w:right w:w="150" w:type="dxa"/>
            </w:tcMar>
          </w:tcPr>
          <w:p>
            <w:r>
              <w:rPr>
                <w:sz w:val="17"/>
              </w:rPr>
              <w:t>1.00x</w:t>
            </w:r>
          </w:p>
        </w:tc>
        <w:tc>
          <w:tcPr>
            <w:tcW w:type="dxa" w:w="1584"/>
            <w:shd w:fill="F8FAFC"/>
            <w:tcMar>
              <w:top w:w="100" w:type="dxa"/>
              <w:bottom w:w="100" w:type="dxa"/>
              <w:left w:w="150" w:type="dxa"/>
              <w:right w:w="150" w:type="dxa"/>
            </w:tcMar>
          </w:tcPr>
          <w:p>
            <w:r>
              <w:rPr>
                <w:sz w:val="17"/>
              </w:rPr>
              <w:t>48 TX</w:t>
            </w:r>
          </w:p>
        </w:tc>
        <w:tc>
          <w:tcPr>
            <w:tcW w:type="dxa" w:w="1440"/>
            <w:shd w:fill="F8FAFC"/>
            <w:tcMar>
              <w:top w:w="100" w:type="dxa"/>
              <w:bottom w:w="100" w:type="dxa"/>
              <w:left w:w="150" w:type="dxa"/>
              <w:right w:w="150" w:type="dxa"/>
            </w:tcMar>
          </w:tcPr>
          <w:p>
            <w:r>
              <w:rPr>
                <w:sz w:val="17"/>
              </w:rPr>
              <w:t>48 Variants</w:t>
            </w:r>
          </w:p>
        </w:tc>
        <w:tc>
          <w:tcPr>
            <w:tcW w:type="dxa" w:w="1584"/>
            <w:shd w:fill="F8FAFC"/>
            <w:tcMar>
              <w:top w:w="100" w:type="dxa"/>
              <w:bottom w:w="100" w:type="dxa"/>
              <w:left w:w="150" w:type="dxa"/>
              <w:right w:w="150" w:type="dxa"/>
            </w:tcMar>
          </w:tcPr>
          <w:p>
            <w:r>
              <w:rPr>
                <w:sz w:val="17"/>
              </w:rPr>
              <w:t>84.2%</w:t>
            </w:r>
          </w:p>
        </w:tc>
        <w:tc>
          <w:tcPr>
            <w:tcW w:type="dxa" w:w="1728"/>
            <w:shd w:fill="F8FAFC"/>
            <w:tcMar>
              <w:top w:w="100" w:type="dxa"/>
              <w:bottom w:w="100" w:type="dxa"/>
              <w:left w:w="150" w:type="dxa"/>
              <w:right w:w="150" w:type="dxa"/>
            </w:tcMar>
          </w:tcPr>
          <w:p>
            <w:r>
              <w:rPr>
                <w:sz w:val="17"/>
              </w:rPr>
              <w:t>Amount Distribution Mimicry</w:t>
            </w:r>
          </w:p>
        </w:tc>
      </w:tr>
      <w:tr>
        <w:tc>
          <w:tcPr>
            <w:tcW w:type="dxa" w:w="1440"/>
            <w:shd w:fill="FFFFFF"/>
            <w:tcMar>
              <w:top w:w="100" w:type="dxa"/>
              <w:bottom w:w="100" w:type="dxa"/>
              <w:left w:w="150" w:type="dxa"/>
              <w:right w:w="150" w:type="dxa"/>
            </w:tcMar>
          </w:tcPr>
          <w:p>
            <w:r>
              <w:rPr>
                <w:sz w:val="17"/>
              </w:rPr>
              <w:t>Round 02</w:t>
            </w:r>
          </w:p>
        </w:tc>
        <w:tc>
          <w:tcPr>
            <w:tcW w:type="dxa" w:w="1584"/>
            <w:shd w:fill="FFFFFF"/>
            <w:tcMar>
              <w:top w:w="100" w:type="dxa"/>
              <w:bottom w:w="100" w:type="dxa"/>
              <w:left w:w="150" w:type="dxa"/>
              <w:right w:w="150" w:type="dxa"/>
            </w:tcMar>
          </w:tcPr>
          <w:p>
            <w:r>
              <w:rPr>
                <w:sz w:val="17"/>
              </w:rPr>
              <w:t>1.25x</w:t>
            </w:r>
          </w:p>
        </w:tc>
        <w:tc>
          <w:tcPr>
            <w:tcW w:type="dxa" w:w="1584"/>
            <w:shd w:fill="FFFFFF"/>
            <w:tcMar>
              <w:top w:w="100" w:type="dxa"/>
              <w:bottom w:w="100" w:type="dxa"/>
              <w:left w:w="150" w:type="dxa"/>
              <w:right w:w="150" w:type="dxa"/>
            </w:tcMar>
          </w:tcPr>
          <w:p>
            <w:r>
              <w:rPr>
                <w:sz w:val="17"/>
              </w:rPr>
              <w:t>24 TX</w:t>
            </w:r>
          </w:p>
        </w:tc>
        <w:tc>
          <w:tcPr>
            <w:tcW w:type="dxa" w:w="1440"/>
            <w:shd w:fill="FFFFFF"/>
            <w:tcMar>
              <w:top w:w="100" w:type="dxa"/>
              <w:bottom w:w="100" w:type="dxa"/>
              <w:left w:w="150" w:type="dxa"/>
              <w:right w:w="150" w:type="dxa"/>
            </w:tcMar>
          </w:tcPr>
          <w:p>
            <w:r>
              <w:rPr>
                <w:sz w:val="17"/>
              </w:rPr>
              <w:t>24 Variants</w:t>
            </w:r>
          </w:p>
        </w:tc>
        <w:tc>
          <w:tcPr>
            <w:tcW w:type="dxa" w:w="1584"/>
            <w:shd w:fill="FFFFFF"/>
            <w:tcMar>
              <w:top w:w="100" w:type="dxa"/>
              <w:bottom w:w="100" w:type="dxa"/>
              <w:left w:w="150" w:type="dxa"/>
              <w:right w:w="150" w:type="dxa"/>
            </w:tcMar>
          </w:tcPr>
          <w:p>
            <w:r>
              <w:rPr>
                <w:sz w:val="17"/>
              </w:rPr>
              <w:t>91.8%</w:t>
            </w:r>
          </w:p>
        </w:tc>
        <w:tc>
          <w:tcPr>
            <w:tcW w:type="dxa" w:w="1728"/>
            <w:shd w:fill="FFFFFF"/>
            <w:tcMar>
              <w:top w:w="100" w:type="dxa"/>
              <w:bottom w:w="100" w:type="dxa"/>
              <w:left w:w="150" w:type="dxa"/>
              <w:right w:w="150" w:type="dxa"/>
            </w:tcMar>
          </w:tcPr>
          <w:p>
            <w:r>
              <w:rPr>
                <w:sz w:val="17"/>
              </w:rPr>
              <w:t>Velocity Dispersion Jitter</w:t>
            </w:r>
          </w:p>
        </w:tc>
      </w:tr>
      <w:tr>
        <w:tc>
          <w:tcPr>
            <w:tcW w:type="dxa" w:w="1440"/>
            <w:shd w:fill="F8FAFC"/>
            <w:tcMar>
              <w:top w:w="100" w:type="dxa"/>
              <w:bottom w:w="100" w:type="dxa"/>
              <w:left w:w="150" w:type="dxa"/>
              <w:right w:w="150" w:type="dxa"/>
            </w:tcMar>
          </w:tcPr>
          <w:p>
            <w:r>
              <w:rPr>
                <w:sz w:val="17"/>
              </w:rPr>
              <w:t>Round 03</w:t>
            </w:r>
          </w:p>
        </w:tc>
        <w:tc>
          <w:tcPr>
            <w:tcW w:type="dxa" w:w="1584"/>
            <w:shd w:fill="F8FAFC"/>
            <w:tcMar>
              <w:top w:w="100" w:type="dxa"/>
              <w:bottom w:w="100" w:type="dxa"/>
              <w:left w:w="150" w:type="dxa"/>
              <w:right w:w="150" w:type="dxa"/>
            </w:tcMar>
          </w:tcPr>
          <w:p>
            <w:r>
              <w:rPr>
                <w:sz w:val="17"/>
              </w:rPr>
              <w:t>1.50x</w:t>
            </w:r>
          </w:p>
        </w:tc>
        <w:tc>
          <w:tcPr>
            <w:tcW w:type="dxa" w:w="1584"/>
            <w:shd w:fill="F8FAFC"/>
            <w:tcMar>
              <w:top w:w="100" w:type="dxa"/>
              <w:bottom w:w="100" w:type="dxa"/>
              <w:left w:w="150" w:type="dxa"/>
              <w:right w:w="150" w:type="dxa"/>
            </w:tcMar>
          </w:tcPr>
          <w:p>
            <w:r>
              <w:rPr>
                <w:sz w:val="17"/>
              </w:rPr>
              <w:t>9 TX</w:t>
            </w:r>
          </w:p>
        </w:tc>
        <w:tc>
          <w:tcPr>
            <w:tcW w:type="dxa" w:w="1440"/>
            <w:shd w:fill="F8FAFC"/>
            <w:tcMar>
              <w:top w:w="100" w:type="dxa"/>
              <w:bottom w:w="100" w:type="dxa"/>
              <w:left w:w="150" w:type="dxa"/>
              <w:right w:w="150" w:type="dxa"/>
            </w:tcMar>
          </w:tcPr>
          <w:p>
            <w:r>
              <w:rPr>
                <w:sz w:val="17"/>
              </w:rPr>
              <w:t>9 Variants</w:t>
            </w:r>
          </w:p>
        </w:tc>
        <w:tc>
          <w:tcPr>
            <w:tcW w:type="dxa" w:w="1584"/>
            <w:shd w:fill="F8FAFC"/>
            <w:tcMar>
              <w:top w:w="100" w:type="dxa"/>
              <w:bottom w:w="100" w:type="dxa"/>
              <w:left w:w="150" w:type="dxa"/>
              <w:right w:w="150" w:type="dxa"/>
            </w:tcMar>
          </w:tcPr>
          <w:p>
            <w:r>
              <w:rPr>
                <w:sz w:val="17"/>
              </w:rPr>
              <w:t>96.6%</w:t>
            </w:r>
          </w:p>
        </w:tc>
        <w:tc>
          <w:tcPr>
            <w:tcW w:type="dxa" w:w="1728"/>
            <w:shd w:fill="F8FAFC"/>
            <w:tcMar>
              <w:top w:w="100" w:type="dxa"/>
              <w:bottom w:w="100" w:type="dxa"/>
              <w:left w:w="150" w:type="dxa"/>
              <w:right w:w="150" w:type="dxa"/>
            </w:tcMar>
          </w:tcPr>
          <w:p>
            <w:r>
              <w:rPr>
                <w:sz w:val="17"/>
              </w:rPr>
              <w:t>Biometric Noise Perturbation</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9FF"/>
            <w:tcBorders>
              <w:top w:val="none"/>
              <w:left w:val="single" w:sz="36" w:space="0" w:color="0284C7"/>
              <w:bottom w:val="none"/>
              <w:right w:val="none"/>
            </w:tcBorders>
          </w:tcPr>
          <w:p>
            <w:pPr>
              <w:spacing w:before="80" w:after="40"/>
            </w:pPr>
            <w:r>
              <w:rPr>
                <w:rFonts w:ascii="Arial" w:hAnsi="Arial"/>
                <w:b/>
                <w:color w:val="0284C7"/>
                <w:sz w:val="20"/>
              </w:rPr>
              <w:t>📌 CO-EVOLUTION HARDFENING VERDICT</w:t>
              <w:br/>
            </w:r>
            <w:r>
              <w:rPr>
                <w:rFonts w:ascii="Calibri" w:hAnsi="Calibri"/>
                <w:i/>
                <w:color w:val="1E293B"/>
                <w:sz w:val="20"/>
              </w:rPr>
              <w:t>Through 3 rounds of adversarial co-evolution, Blue Team recall improved from 84.2% to 96.6% (+12.4% net recall gain) while maintaining precision at 97.2% and keeping false positive rates below 0.70%.</w:t>
            </w:r>
          </w:p>
        </w:tc>
      </w:tr>
    </w:tbl>
    <w:p/>
    <w:p>
      <w:pPr>
        <w:pStyle w:val="Heading1"/>
      </w:pPr>
      <w:r>
        <w:rPr>
          <w:rFonts w:ascii="Arial" w:hAnsi="Arial"/>
          <w:color w:val="0F172A"/>
          <w:sz w:val="30"/>
        </w:rPr>
        <w:t>4. Real-World Feasibility in Live Payment Environments</w:t>
      </w:r>
    </w:p>
    <w:p>
      <w:r>
        <w:rPr>
          <w:rFonts w:ascii="Calibri" w:hAnsi="Calibri"/>
        </w:rPr>
        <w:t>Deploying AI models in production financial environments requires meeting stringent institutional requirements: sub-50ms latency SLAs, seamless integration with global payment rails (EMV 3DS, ISO 20022, RTP), explainable decision governance, and strict zero-PII regulatory compliance.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40" w:type="dxa"/>
              <w:bottom w:w="140" w:type="dxa"/>
              <w:left w:w="150" w:type="dxa"/>
              <w:right w:w="150" w:type="dxa"/>
            </w:tcMar>
          </w:tcPr>
          <w:p>
            <w:pPr>
              <w:jc w:val="center"/>
            </w:pPr>
            <w:r>
              <w:t>Institutional Dimension</w:t>
            </w:r>
          </w:p>
        </w:tc>
        <w:tc>
          <w:tcPr>
            <w:tcW w:type="dxa" w:w="3888"/>
            <w:shd w:fill="0F172A"/>
            <w:tcMar>
              <w:top w:w="140" w:type="dxa"/>
              <w:bottom w:w="140" w:type="dxa"/>
              <w:left w:w="150" w:type="dxa"/>
              <w:right w:w="150" w:type="dxa"/>
            </w:tcMar>
          </w:tcPr>
          <w:p>
            <w:pPr>
              <w:jc w:val="center"/>
            </w:pPr>
            <w:r>
              <w:t>PAYGUARD-X Production Implementation</w:t>
            </w:r>
          </w:p>
        </w:tc>
        <w:tc>
          <w:tcPr>
            <w:tcW w:type="dxa" w:w="2880"/>
            <w:shd w:fill="0F172A"/>
            <w:tcMar>
              <w:top w:w="140" w:type="dxa"/>
              <w:bottom w:w="140" w:type="dxa"/>
              <w:left w:w="150" w:type="dxa"/>
              <w:right w:w="150" w:type="dxa"/>
            </w:tcMar>
          </w:tcPr>
          <w:p>
            <w:pPr>
              <w:jc w:val="center"/>
            </w:pPr>
            <w:r>
              <w:t>Compliance &amp; Benchmark</w:t>
            </w:r>
          </w:p>
        </w:tc>
      </w:tr>
      <w:tr>
        <w:tc>
          <w:tcPr>
            <w:tcW w:type="dxa" w:w="2592"/>
            <w:shd w:fill="F8FAFC"/>
            <w:tcMar>
              <w:top w:w="100" w:type="dxa"/>
              <w:bottom w:w="100" w:type="dxa"/>
              <w:left w:w="150" w:type="dxa"/>
              <w:right w:w="150" w:type="dxa"/>
            </w:tcMar>
          </w:tcPr>
          <w:p>
            <w:r>
              <w:rPr>
                <w:sz w:val="17"/>
              </w:rPr>
              <w:t>Sub-15ms Latency SLA</w:t>
            </w:r>
          </w:p>
        </w:tc>
        <w:tc>
          <w:tcPr>
            <w:tcW w:type="dxa" w:w="3888"/>
            <w:shd w:fill="F8FAFC"/>
            <w:tcMar>
              <w:top w:w="100" w:type="dxa"/>
              <w:bottom w:w="100" w:type="dxa"/>
              <w:left w:w="150" w:type="dxa"/>
              <w:right w:w="150" w:type="dxa"/>
            </w:tcMar>
          </w:tcPr>
          <w:p>
            <w:r>
              <w:rPr>
                <w:sz w:val="17"/>
              </w:rPr>
              <w:t>Optimized Cython / C-compiled XGBoost inference and vector feature transforms execute in P50 = 4.2ms, P99 = 11.8ms.</w:t>
            </w:r>
          </w:p>
        </w:tc>
        <w:tc>
          <w:tcPr>
            <w:tcW w:type="dxa" w:w="2880"/>
            <w:shd w:fill="F8FAFC"/>
            <w:tcMar>
              <w:top w:w="100" w:type="dxa"/>
              <w:bottom w:w="100" w:type="dxa"/>
              <w:left w:w="150" w:type="dxa"/>
              <w:right w:w="150" w:type="dxa"/>
            </w:tcMar>
          </w:tcPr>
          <w:p>
            <w:r>
              <w:rPr>
                <w:sz w:val="17"/>
              </w:rPr>
              <w:t>Mastercard / Visa &lt; 50ms authorization window certified</w:t>
            </w:r>
          </w:p>
        </w:tc>
      </w:tr>
      <w:tr>
        <w:tc>
          <w:tcPr>
            <w:tcW w:type="dxa" w:w="2592"/>
            <w:shd w:fill="FFFFFF"/>
            <w:tcMar>
              <w:top w:w="100" w:type="dxa"/>
              <w:bottom w:w="100" w:type="dxa"/>
              <w:left w:w="150" w:type="dxa"/>
              <w:right w:w="150" w:type="dxa"/>
            </w:tcMar>
          </w:tcPr>
          <w:p>
            <w:r>
              <w:rPr>
                <w:sz w:val="17"/>
              </w:rPr>
              <w:t>EMV 3DS 2.3 Integration</w:t>
            </w:r>
          </w:p>
        </w:tc>
        <w:tc>
          <w:tcPr>
            <w:tcW w:type="dxa" w:w="3888"/>
            <w:shd w:fill="FFFFFF"/>
            <w:tcMar>
              <w:top w:w="100" w:type="dxa"/>
              <w:bottom w:w="100" w:type="dxa"/>
              <w:left w:w="150" w:type="dxa"/>
              <w:right w:w="150" w:type="dxa"/>
            </w:tcMar>
          </w:tcPr>
          <w:p>
            <w:r>
              <w:rPr>
                <w:sz w:val="17"/>
              </w:rPr>
              <w:t>Real-time risk scores feed directly into EMV 3DS Risk-Based Authentication (RBA) engines for seamless frictionless flow vs step-up challenge.</w:t>
            </w:r>
          </w:p>
        </w:tc>
        <w:tc>
          <w:tcPr>
            <w:tcW w:type="dxa" w:w="2880"/>
            <w:shd w:fill="FFFFFF"/>
            <w:tcMar>
              <w:top w:w="100" w:type="dxa"/>
              <w:bottom w:w="100" w:type="dxa"/>
              <w:left w:w="150" w:type="dxa"/>
              <w:right w:w="150" w:type="dxa"/>
            </w:tcMar>
          </w:tcPr>
          <w:p>
            <w:r>
              <w:rPr>
                <w:sz w:val="17"/>
              </w:rPr>
              <w:t>EMVCo 3DS Specification Compliant</w:t>
            </w:r>
          </w:p>
        </w:tc>
      </w:tr>
      <w:tr>
        <w:tc>
          <w:tcPr>
            <w:tcW w:type="dxa" w:w="2592"/>
            <w:shd w:fill="F8FAFC"/>
            <w:tcMar>
              <w:top w:w="100" w:type="dxa"/>
              <w:bottom w:w="100" w:type="dxa"/>
              <w:left w:w="150" w:type="dxa"/>
              <w:right w:w="150" w:type="dxa"/>
            </w:tcMar>
          </w:tcPr>
          <w:p>
            <w:r>
              <w:rPr>
                <w:sz w:val="17"/>
              </w:rPr>
              <w:t>ISO 20022 Schema Mapping</w:t>
            </w:r>
          </w:p>
        </w:tc>
        <w:tc>
          <w:tcPr>
            <w:tcW w:type="dxa" w:w="3888"/>
            <w:shd w:fill="F8FAFC"/>
            <w:tcMar>
              <w:top w:w="100" w:type="dxa"/>
              <w:bottom w:w="100" w:type="dxa"/>
              <w:left w:w="150" w:type="dxa"/>
              <w:right w:w="150" w:type="dxa"/>
            </w:tcMar>
          </w:tcPr>
          <w:p>
            <w:r>
              <w:rPr>
                <w:sz w:val="17"/>
              </w:rPr>
              <w:t>Native bidirectional ingestion for pacs.008 (Customer Credit Transfer), pain.001 (Credit Initiation), and camt.053 (Bank Statements).</w:t>
            </w:r>
          </w:p>
        </w:tc>
        <w:tc>
          <w:tcPr>
            <w:tcW w:type="dxa" w:w="2880"/>
            <w:shd w:fill="F8FAFC"/>
            <w:tcMar>
              <w:top w:w="100" w:type="dxa"/>
              <w:bottom w:w="100" w:type="dxa"/>
              <w:left w:w="150" w:type="dxa"/>
              <w:right w:w="150" w:type="dxa"/>
            </w:tcMar>
          </w:tcPr>
          <w:p>
            <w:r>
              <w:rPr>
                <w:sz w:val="17"/>
              </w:rPr>
              <w:t>SWIFT ISO 20022 Universal Standard</w:t>
            </w:r>
          </w:p>
        </w:tc>
      </w:tr>
      <w:tr>
        <w:tc>
          <w:tcPr>
            <w:tcW w:type="dxa" w:w="2592"/>
            <w:shd w:fill="FFFFFF"/>
            <w:tcMar>
              <w:top w:w="100" w:type="dxa"/>
              <w:bottom w:w="100" w:type="dxa"/>
              <w:left w:w="150" w:type="dxa"/>
              <w:right w:w="150" w:type="dxa"/>
            </w:tcMar>
          </w:tcPr>
          <w:p>
            <w:r>
              <w:rPr>
                <w:sz w:val="17"/>
              </w:rPr>
              <w:t>Zero-PII Data Privacy</w:t>
            </w:r>
          </w:p>
        </w:tc>
        <w:tc>
          <w:tcPr>
            <w:tcW w:type="dxa" w:w="3888"/>
            <w:shd w:fill="FFFFFF"/>
            <w:tcMar>
              <w:top w:w="100" w:type="dxa"/>
              <w:bottom w:w="100" w:type="dxa"/>
              <w:left w:w="150" w:type="dxa"/>
              <w:right w:w="150" w:type="dxa"/>
            </w:tcMar>
          </w:tcPr>
          <w:p>
            <w:r>
              <w:rPr>
                <w:sz w:val="17"/>
              </w:rPr>
              <w:t>Feature pipelines operate exclusively on anonymized hash representations, relative deltas, and statistical velocities. No cleartext PII stored.</w:t>
            </w:r>
          </w:p>
        </w:tc>
        <w:tc>
          <w:tcPr>
            <w:tcW w:type="dxa" w:w="2880"/>
            <w:shd w:fill="FFFFFF"/>
            <w:tcMar>
              <w:top w:w="100" w:type="dxa"/>
              <w:bottom w:w="100" w:type="dxa"/>
              <w:left w:w="150" w:type="dxa"/>
              <w:right w:w="150" w:type="dxa"/>
            </w:tcMar>
          </w:tcPr>
          <w:p>
            <w:r>
              <w:rPr>
                <w:sz w:val="17"/>
              </w:rPr>
              <w:t>PCI-DSS v4.0 &amp; GDPR Article 22 Compliant</w:t>
            </w:r>
          </w:p>
        </w:tc>
      </w:tr>
    </w:tbl>
    <w:p>
      <w:pPr>
        <w:spacing w:after="160"/>
      </w:pPr>
    </w:p>
    <w:p>
      <w:pPr>
        <w:pStyle w:val="Heading2"/>
      </w:pPr>
      <w:r>
        <w:rPr>
          <w:rFonts w:ascii="Arial" w:hAnsi="Arial"/>
          <w:color w:val="1E293B"/>
          <w:sz w:val="24"/>
        </w:rPr>
        <w:t>Operational SOC Experience &amp; Decision Explainability</w:t>
      </w:r>
    </w:p>
    <w:p>
      <w:r>
        <w:rPr>
          <w:rFonts w:ascii="Calibri" w:hAnsi="Calibri"/>
        </w:rPr>
        <w:t>In live Security Operations Centers (SOCs), black-box AI decisions create regulatory liabilities. PAYGUARD-X integrates real-time TreeSHAP feature attribution waterfalls, providing fraud analysts with exact mathematical point contributions per transaction signal (e.g. +38.2 pts from Behavioral Deviation, +22.4 pts from Burst Velocity). The interface includes an interactive Slide-Out Transaction Inspector (displaying raw ISO 8583/JSON payloads), a live payment rail Threat Ticker, and an institutional Cmd+K Command Palette for rapid incident triage.</w:t>
      </w:r>
    </w:p>
    <w:p>
      <w:pPr>
        <w:pStyle w:val="Heading1"/>
      </w:pPr>
      <w:r>
        <w:rPr>
          <w:rFonts w:ascii="Arial" w:hAnsi="Arial"/>
          <w:color w:val="0F172A"/>
          <w:sz w:val="30"/>
        </w:rPr>
        <w:t>5. Strategic Conclusion &amp; Technical Roadmap</w:t>
      </w:r>
    </w:p>
    <w:p>
      <w:r>
        <w:rPr>
          <w:rFonts w:ascii="Calibri" w:hAnsi="Calibri"/>
        </w:rPr>
        <w:t>PAYGUARD-X represents a major leap forward in AI payment defense: moving from reactive post-loss forensics to proactive, autonomous, closed-loop co-evolutionary defense. By uniting 40+ attack taxonomy vectors, mathematically certified synthetic simulation, multi-model stacking ensembles, and sub-12ms production feasibility, PAYGUARD-X delivers institutional-grade protection ready for immediate deployment across global payment networks.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