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6273F"/>
        <w:tblLayout w:type="fixed"/>
        <w:tblLook w:val="0000" w:firstRow="0" w:lastRow="0" w:firstColumn="0" w:lastColumn="0" w:noHBand="0" w:noVBand="0"/>
      </w:tblPr>
      <w:tblGrid>
        <w:gridCol w:w="10626"/>
      </w:tblGrid>
      <w:tr w:rsidR="00F63EDE" w14:paraId="29283D86" w14:textId="77777777" w:rsidTr="00F63EDE">
        <w:tc>
          <w:tcPr>
            <w:tcW w:w="10626" w:type="dxa"/>
            <w:shd w:val="clear" w:color="auto" w:fill="16273F"/>
            <w:tcMar>
              <w:top w:w="160" w:type="dxa"/>
              <w:left w:w="320" w:type="dxa"/>
              <w:bottom w:w="140" w:type="dxa"/>
              <w:right w:w="320" w:type="dxa"/>
            </w:tcMar>
          </w:tcPr>
          <w:p w14:paraId="74946AF0" w14:textId="77777777" w:rsidR="00F63EDE" w:rsidRDefault="00F63EDE">
            <w:pPr>
              <w:rPr>
                <w:rFonts w:ascii="Calibri" w:hAnsi="Calibri" w:cs="Calibri"/>
                <w:b/>
                <w:color w:val="FFFFFF"/>
                <w:sz w:val="40"/>
              </w:rPr>
            </w:pPr>
            <w:r>
              <w:rPr>
                <w:rFonts w:ascii="Calibri" w:hAnsi="Calibri" w:cs="Calibri"/>
                <w:b/>
                <w:color w:val="FFFFFF"/>
                <w:sz w:val="40"/>
              </w:rPr>
              <w:t>Master Tester Agent — Core Platform &amp; Traceability Dashboard</w:t>
            </w:r>
          </w:p>
          <w:p w14:paraId="0F917F6E" w14:textId="77777777" w:rsidR="00F63EDE" w:rsidRDefault="00F63EDE">
            <w:pPr>
              <w:rPr>
                <w:rFonts w:ascii="Calibri" w:hAnsi="Calibri" w:cs="Calibri"/>
                <w:color w:val="C7D5E6"/>
                <w:sz w:val="22"/>
              </w:rPr>
            </w:pPr>
            <w:r>
              <w:rPr>
                <w:rFonts w:ascii="Calibri" w:hAnsi="Calibri" w:cs="Calibri"/>
                <w:color w:val="C7D5E6"/>
                <w:sz w:val="22"/>
              </w:rPr>
              <w:t>One trusted signal for release readiness — across agents, APIs, and web apps, in one dashboard</w:t>
            </w:r>
          </w:p>
          <w:p w14:paraId="1B8DC76C" w14:textId="5BD251D6" w:rsidR="00F63EDE" w:rsidRPr="00F63EDE" w:rsidRDefault="00F63EDE">
            <w:pPr>
              <w:rPr>
                <w:rFonts w:ascii="Calibri" w:hAnsi="Calibri" w:cs="Calibri"/>
                <w:color w:val="9FB2C9"/>
                <w:sz w:val="18"/>
              </w:rPr>
            </w:pPr>
            <w:r>
              <w:rPr>
                <w:rFonts w:ascii="Calibri" w:hAnsi="Calibri" w:cs="Calibri"/>
                <w:color w:val="9FB2C9"/>
                <w:sz w:val="18"/>
              </w:rPr>
              <w:t>Priyansh Balwani — Quality Engineering        BRD-MTA-001 . v1.0 . 6 August 2026 . for sponsor review</w:t>
            </w:r>
          </w:p>
        </w:tc>
      </w:tr>
    </w:tbl>
    <w:p w14:paraId="18F1DC05" w14:textId="77777777" w:rsidR="00321285" w:rsidRDefault="00321285"/>
    <w:p w14:paraId="7430A7AF" w14:textId="77777777" w:rsidR="00F63EDE" w:rsidRDefault="00F63EDE">
      <w:pPr>
        <w:rPr>
          <w:sz w:val="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00"/>
        <w:gridCol w:w="5000"/>
      </w:tblGrid>
      <w:tr w:rsidR="00F63EDE" w14:paraId="14B4B190" w14:textId="77777777" w:rsidTr="00F63EDE">
        <w:tc>
          <w:tcPr>
            <w:tcW w:w="5000" w:type="dxa"/>
            <w:tcMar>
              <w:right w:w="200" w:type="dxa"/>
            </w:tcMar>
          </w:tcPr>
          <w:p w14:paraId="086D7124" w14:textId="77777777" w:rsidR="00F63EDE" w:rsidRDefault="00F63EDE">
            <w:pPr>
              <w:rPr>
                <w:b/>
                <w:caps/>
                <w:color w:val="2F6FB0"/>
              </w:rPr>
            </w:pPr>
            <w:r>
              <w:rPr>
                <w:b/>
                <w:caps/>
                <w:color w:val="2F6FB0"/>
              </w:rPr>
              <w:t>WHY</w:t>
            </w:r>
          </w:p>
          <w:p w14:paraId="19241936" w14:textId="5C93883E" w:rsidR="00F63EDE" w:rsidRPr="00F63EDE" w:rsidRDefault="00F63EDE">
            <w:pPr>
              <w:rPr>
                <w:color w:val="4A5566"/>
                <w:sz w:val="20"/>
              </w:rPr>
            </w:pPr>
            <w:r>
              <w:rPr>
                <w:color w:val="4A5566"/>
                <w:sz w:val="20"/>
              </w:rPr>
              <w:t>Teams ship AI agents, APIs, and web applications tested - if tested at all - by whoever built them, against whatever they personally thought to check. There is no shared record of whether a release actually meets its own requirements, no consistent edge-case or adversarial coverage, and no single place to see whether a solution is safe to ship.</w:t>
            </w:r>
          </w:p>
        </w:tc>
        <w:tc>
          <w:tcPr>
            <w:tcW w:w="5000" w:type="dxa"/>
            <w:tcMar>
              <w:left w:w="200" w:type="dxa"/>
            </w:tcMar>
          </w:tcPr>
          <w:p w14:paraId="74465BAC" w14:textId="77777777" w:rsidR="00F63EDE" w:rsidRDefault="00F63EDE">
            <w:pPr>
              <w:rPr>
                <w:b/>
                <w:caps/>
                <w:color w:val="2F6FB0"/>
              </w:rPr>
            </w:pPr>
            <w:r>
              <w:rPr>
                <w:b/>
                <w:caps/>
                <w:color w:val="2F6FB0"/>
              </w:rPr>
              <w:t>WHAT WE WILL DELIVER</w:t>
            </w:r>
          </w:p>
          <w:p w14:paraId="1DC0B173" w14:textId="77777777" w:rsidR="00F63EDE" w:rsidRDefault="00F63EDE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1. A solution registry &amp; requirement traceability engine. </w:t>
            </w:r>
            <w:r>
              <w:rPr>
                <w:color w:val="000000"/>
                <w:sz w:val="20"/>
              </w:rPr>
              <w:t>Every requirement in a BRD/TSD gets a test, and every test result maps back to it.</w:t>
            </w:r>
          </w:p>
          <w:p w14:paraId="7111F773" w14:textId="77777777" w:rsidR="00F63EDE" w:rsidRDefault="00F63EDE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2. An extensible adapter/evaluator framework. </w:t>
            </w:r>
            <w:r>
              <w:rPr>
                <w:color w:val="000000"/>
                <w:sz w:val="20"/>
              </w:rPr>
              <w:t>Web, API, and AI-agent solutions tested through one protocol, not three disconnected tools.</w:t>
            </w:r>
          </w:p>
          <w:p w14:paraId="52F955FF" w14:textId="77777777" w:rsidR="00F63EDE" w:rsidRDefault="00F63EDE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3. A compliance dashboard &amp; CI/CD gate. </w:t>
            </w:r>
            <w:r>
              <w:rPr>
                <w:color w:val="000000"/>
                <w:sz w:val="20"/>
              </w:rPr>
              <w:t>One release-readiness signal, consumed by humans and pipelines alike.</w:t>
            </w:r>
          </w:p>
          <w:p w14:paraId="18E7EE7B" w14:textId="4264F48C" w:rsidR="00F63EDE" w:rsidRPr="00F63EDE" w:rsidRDefault="00F63EDE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Every adapter feeds the same traceability store, so "is this release-ready" has one answer, not one per team.</w:t>
            </w:r>
          </w:p>
        </w:tc>
      </w:tr>
    </w:tbl>
    <w:p w14:paraId="072DF130" w14:textId="77777777" w:rsidR="00F63EDE" w:rsidRDefault="00F63EDE">
      <w:pPr>
        <w:rPr>
          <w:sz w:val="4"/>
        </w:rPr>
      </w:pPr>
    </w:p>
    <w:p w14:paraId="32AA2D2E" w14:textId="45941B4C" w:rsidR="00F63EDE" w:rsidRDefault="00F63EDE" w:rsidP="00F63EDE">
      <w:pPr>
        <w:spacing w:after="80"/>
        <w:rPr>
          <w:b/>
          <w:caps/>
          <w:color w:val="2F6FB0"/>
        </w:rPr>
      </w:pPr>
      <w:r>
        <w:rPr>
          <w:b/>
          <w:caps/>
          <w:color w:val="2F6FB0"/>
        </w:rPr>
        <w:t>WHAT LEADERSHIP GETS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25"/>
        <w:gridCol w:w="2125"/>
        <w:gridCol w:w="2125"/>
        <w:gridCol w:w="2125"/>
        <w:gridCol w:w="2126"/>
      </w:tblGrid>
      <w:tr w:rsidR="00F63EDE" w14:paraId="78F478DA" w14:textId="77777777" w:rsidTr="00F63EDE">
        <w:trPr>
          <w:trHeight w:val="240"/>
        </w:trPr>
        <w:tc>
          <w:tcPr>
            <w:tcW w:w="2125" w:type="dxa"/>
            <w:shd w:val="clear" w:color="auto" w:fill="EEF2F6"/>
            <w:tcMar>
              <w:top w:w="120" w:type="dxa"/>
              <w:left w:w="120" w:type="dxa"/>
              <w:bottom w:w="40" w:type="dxa"/>
              <w:right w:w="120" w:type="dxa"/>
            </w:tcMar>
          </w:tcPr>
          <w:p w14:paraId="4C1E5D94" w14:textId="77777777" w:rsidR="00F63EDE" w:rsidRDefault="00F63EDE" w:rsidP="00F63EDE">
            <w:pPr>
              <w:spacing w:after="80"/>
              <w:rPr>
                <w:b/>
                <w:color w:val="2F6FB0"/>
                <w:sz w:val="18"/>
              </w:rPr>
            </w:pPr>
            <w:r>
              <w:rPr>
                <w:b/>
                <w:color w:val="2F6FB0"/>
                <w:sz w:val="18"/>
              </w:rPr>
              <w:t>01</w:t>
            </w:r>
          </w:p>
          <w:p w14:paraId="29394DF0" w14:textId="43F8D4F3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Traceability at a glance</w:t>
            </w:r>
          </w:p>
        </w:tc>
        <w:tc>
          <w:tcPr>
            <w:tcW w:w="2125" w:type="dxa"/>
            <w:shd w:val="clear" w:color="auto" w:fill="EEF2F6"/>
            <w:tcMar>
              <w:top w:w="120" w:type="dxa"/>
              <w:left w:w="120" w:type="dxa"/>
              <w:bottom w:w="40" w:type="dxa"/>
              <w:right w:w="120" w:type="dxa"/>
            </w:tcMar>
          </w:tcPr>
          <w:p w14:paraId="23B5C5A5" w14:textId="77777777" w:rsidR="00F63EDE" w:rsidRDefault="00F63EDE" w:rsidP="00F63EDE">
            <w:pPr>
              <w:spacing w:after="80"/>
              <w:rPr>
                <w:b/>
                <w:color w:val="2F6FB0"/>
                <w:sz w:val="18"/>
              </w:rPr>
            </w:pPr>
            <w:r>
              <w:rPr>
                <w:b/>
                <w:color w:val="2F6FB0"/>
                <w:sz w:val="18"/>
              </w:rPr>
              <w:t>02</w:t>
            </w:r>
          </w:p>
          <w:p w14:paraId="166FC60F" w14:textId="0F6C1114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One platform, many types</w:t>
            </w:r>
          </w:p>
        </w:tc>
        <w:tc>
          <w:tcPr>
            <w:tcW w:w="2125" w:type="dxa"/>
            <w:shd w:val="clear" w:color="auto" w:fill="EEF2F6"/>
            <w:tcMar>
              <w:top w:w="120" w:type="dxa"/>
              <w:left w:w="120" w:type="dxa"/>
              <w:bottom w:w="40" w:type="dxa"/>
              <w:right w:w="120" w:type="dxa"/>
            </w:tcMar>
          </w:tcPr>
          <w:p w14:paraId="006E90D7" w14:textId="77777777" w:rsidR="00F63EDE" w:rsidRDefault="00F63EDE" w:rsidP="00F63EDE">
            <w:pPr>
              <w:spacing w:after="80"/>
              <w:rPr>
                <w:b/>
                <w:color w:val="2F6FB0"/>
                <w:sz w:val="18"/>
              </w:rPr>
            </w:pPr>
            <w:r>
              <w:rPr>
                <w:b/>
                <w:color w:val="2F6FB0"/>
                <w:sz w:val="18"/>
              </w:rPr>
              <w:t>03</w:t>
            </w:r>
          </w:p>
          <w:p w14:paraId="590DE711" w14:textId="2CB742ED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AI-specific safety checks</w:t>
            </w:r>
          </w:p>
        </w:tc>
        <w:tc>
          <w:tcPr>
            <w:tcW w:w="2125" w:type="dxa"/>
            <w:shd w:val="clear" w:color="auto" w:fill="EEF2F6"/>
            <w:tcMar>
              <w:top w:w="120" w:type="dxa"/>
              <w:left w:w="120" w:type="dxa"/>
              <w:bottom w:w="40" w:type="dxa"/>
              <w:right w:w="120" w:type="dxa"/>
            </w:tcMar>
          </w:tcPr>
          <w:p w14:paraId="38CFD6AF" w14:textId="77777777" w:rsidR="00F63EDE" w:rsidRDefault="00F63EDE" w:rsidP="00F63EDE">
            <w:pPr>
              <w:spacing w:after="80"/>
              <w:rPr>
                <w:b/>
                <w:color w:val="2F6FB0"/>
                <w:sz w:val="18"/>
              </w:rPr>
            </w:pPr>
            <w:r>
              <w:rPr>
                <w:b/>
                <w:color w:val="2F6FB0"/>
                <w:sz w:val="18"/>
              </w:rPr>
              <w:t>04</w:t>
            </w:r>
          </w:p>
          <w:p w14:paraId="05666B2B" w14:textId="186BCDF8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Confidence-scored verdicts</w:t>
            </w:r>
          </w:p>
        </w:tc>
        <w:tc>
          <w:tcPr>
            <w:tcW w:w="2126" w:type="dxa"/>
            <w:shd w:val="clear" w:color="auto" w:fill="EEF2F6"/>
            <w:tcMar>
              <w:top w:w="120" w:type="dxa"/>
              <w:left w:w="120" w:type="dxa"/>
              <w:bottom w:w="40" w:type="dxa"/>
              <w:right w:w="120" w:type="dxa"/>
            </w:tcMar>
          </w:tcPr>
          <w:p w14:paraId="12F81923" w14:textId="77777777" w:rsidR="00F63EDE" w:rsidRDefault="00F63EDE" w:rsidP="00F63EDE">
            <w:pPr>
              <w:spacing w:after="80"/>
              <w:rPr>
                <w:b/>
                <w:color w:val="2F6FB0"/>
                <w:sz w:val="18"/>
              </w:rPr>
            </w:pPr>
            <w:r>
              <w:rPr>
                <w:b/>
                <w:color w:val="2F6FB0"/>
                <w:sz w:val="18"/>
              </w:rPr>
              <w:t>05</w:t>
            </w:r>
          </w:p>
          <w:p w14:paraId="452A0AFE" w14:textId="52E91055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CI/CD release gate</w:t>
            </w:r>
          </w:p>
        </w:tc>
      </w:tr>
      <w:tr w:rsidR="00F63EDE" w14:paraId="0B6936C1" w14:textId="77777777" w:rsidTr="00F63EDE">
        <w:tc>
          <w:tcPr>
            <w:tcW w:w="2125" w:type="dxa"/>
            <w:shd w:val="clear" w:color="auto" w:fill="EEF2F6"/>
            <w:tcMar>
              <w:left w:w="120" w:type="dxa"/>
              <w:bottom w:w="160" w:type="dxa"/>
              <w:right w:w="120" w:type="dxa"/>
            </w:tcMar>
          </w:tcPr>
          <w:p w14:paraId="55CD4771" w14:textId="3C0E547B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Every requirement mapped to its test result, live</w:t>
            </w:r>
          </w:p>
        </w:tc>
        <w:tc>
          <w:tcPr>
            <w:tcW w:w="2125" w:type="dxa"/>
            <w:shd w:val="clear" w:color="auto" w:fill="EEF2F6"/>
            <w:tcMar>
              <w:left w:w="120" w:type="dxa"/>
              <w:bottom w:w="160" w:type="dxa"/>
              <w:right w:w="120" w:type="dxa"/>
            </w:tcMar>
          </w:tcPr>
          <w:p w14:paraId="3F3AAAD1" w14:textId="3FD7EDFA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Agents, APIs, web apps - no disconnected tooling</w:t>
            </w:r>
          </w:p>
        </w:tc>
        <w:tc>
          <w:tcPr>
            <w:tcW w:w="2125" w:type="dxa"/>
            <w:shd w:val="clear" w:color="auto" w:fill="EEF2F6"/>
            <w:tcMar>
              <w:left w:w="120" w:type="dxa"/>
              <w:bottom w:w="160" w:type="dxa"/>
              <w:right w:w="120" w:type="dxa"/>
            </w:tcMar>
          </w:tcPr>
          <w:p w14:paraId="48B7FBED" w14:textId="0D8F4822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Prompt-injection &amp; jailbreak resistance, not just function</w:t>
            </w:r>
          </w:p>
        </w:tc>
        <w:tc>
          <w:tcPr>
            <w:tcW w:w="2125" w:type="dxa"/>
            <w:shd w:val="clear" w:color="auto" w:fill="EEF2F6"/>
            <w:tcMar>
              <w:left w:w="120" w:type="dxa"/>
              <w:bottom w:w="160" w:type="dxa"/>
              <w:right w:w="120" w:type="dxa"/>
            </w:tcMar>
          </w:tcPr>
          <w:p w14:paraId="5548916E" w14:textId="7AC96720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Every result flags whether a human should look</w:t>
            </w:r>
          </w:p>
        </w:tc>
        <w:tc>
          <w:tcPr>
            <w:tcW w:w="2126" w:type="dxa"/>
            <w:shd w:val="clear" w:color="auto" w:fill="EEF2F6"/>
            <w:tcMar>
              <w:left w:w="120" w:type="dxa"/>
              <w:bottom w:w="160" w:type="dxa"/>
              <w:right w:w="120" w:type="dxa"/>
            </w:tcMar>
          </w:tcPr>
          <w:p w14:paraId="5C001D19" w14:textId="522464B2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One status, before a release reaches production</w:t>
            </w:r>
          </w:p>
        </w:tc>
      </w:tr>
    </w:tbl>
    <w:p w14:paraId="2971D21E" w14:textId="77777777" w:rsidR="00F63EDE" w:rsidRDefault="00F63EDE" w:rsidP="00F63EDE">
      <w:pPr>
        <w:spacing w:after="80"/>
        <w:rPr>
          <w:color w:val="000000"/>
          <w:sz w:val="6"/>
        </w:rPr>
      </w:pPr>
    </w:p>
    <w:p w14:paraId="4E19E04B" w14:textId="51BE87B8" w:rsidR="00F63EDE" w:rsidRDefault="00F63EDE" w:rsidP="00F63EDE">
      <w:pPr>
        <w:spacing w:after="80"/>
        <w:rPr>
          <w:b/>
          <w:caps/>
          <w:color w:val="2F6FB0"/>
        </w:rPr>
      </w:pPr>
      <w:r>
        <w:rPr>
          <w:b/>
          <w:caps/>
          <w:color w:val="2F6FB0"/>
        </w:rPr>
        <w:t>HOW IT FITS TOGETHER</w:t>
      </w:r>
    </w:p>
    <w:tbl>
      <w:tblPr>
        <w:tblW w:w="11780" w:type="dxa"/>
        <w:tblLayout w:type="fixed"/>
        <w:tblLook w:val="0000" w:firstRow="0" w:lastRow="0" w:firstColumn="0" w:lastColumn="0" w:noHBand="0" w:noVBand="0"/>
      </w:tblPr>
      <w:tblGrid>
        <w:gridCol w:w="2100"/>
        <w:gridCol w:w="320"/>
        <w:gridCol w:w="2100"/>
        <w:gridCol w:w="320"/>
        <w:gridCol w:w="2100"/>
        <w:gridCol w:w="320"/>
        <w:gridCol w:w="2100"/>
        <w:gridCol w:w="320"/>
        <w:gridCol w:w="2100"/>
      </w:tblGrid>
      <w:tr w:rsidR="00F63EDE" w14:paraId="0DE7E1B0" w14:textId="77777777" w:rsidTr="00F63EDE">
        <w:tc>
          <w:tcPr>
            <w:tcW w:w="2100" w:type="dxa"/>
            <w:shd w:val="clear" w:color="auto" w:fill="EEF2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2E2A01" w14:textId="77777777" w:rsidR="00F63EDE" w:rsidRDefault="00F63EDE" w:rsidP="00F63EDE">
            <w:pPr>
              <w:spacing w:after="80"/>
              <w:jc w:val="center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BRD / TSD / API spec</w:t>
            </w:r>
          </w:p>
          <w:p w14:paraId="766FD7ED" w14:textId="4B0E18C4" w:rsidR="00F63EDE" w:rsidRPr="00F63EDE" w:rsidRDefault="00F63EDE" w:rsidP="00F63EDE">
            <w:pPr>
              <w:spacing w:after="80"/>
              <w:jc w:val="center"/>
              <w:rPr>
                <w:color w:val="4A5566"/>
                <w:sz w:val="15"/>
              </w:rPr>
            </w:pPr>
            <w:r>
              <w:rPr>
                <w:color w:val="4A5566"/>
                <w:sz w:val="15"/>
              </w:rPr>
              <w:t>per solution</w:t>
            </w:r>
          </w:p>
        </w:tc>
        <w:tc>
          <w:tcPr>
            <w:tcW w:w="320" w:type="dxa"/>
          </w:tcPr>
          <w:p w14:paraId="3BBBA957" w14:textId="4A598C0B" w:rsidR="00F63EDE" w:rsidRPr="00F63EDE" w:rsidRDefault="00F63EDE" w:rsidP="00F63EDE">
            <w:pPr>
              <w:spacing w:after="80"/>
              <w:jc w:val="center"/>
              <w:rPr>
                <w:b/>
                <w:color w:val="2F6FB0"/>
                <w:sz w:val="24"/>
              </w:rPr>
            </w:pPr>
            <w:r>
              <w:rPr>
                <w:b/>
                <w:color w:val="2F6FB0"/>
                <w:sz w:val="24"/>
              </w:rPr>
              <w:t>→</w:t>
            </w:r>
          </w:p>
        </w:tc>
        <w:tc>
          <w:tcPr>
            <w:tcW w:w="2100" w:type="dxa"/>
            <w:shd w:val="clear" w:color="auto" w:fill="EEF2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2FE67C" w14:textId="77777777" w:rsidR="00F63EDE" w:rsidRDefault="00F63EDE" w:rsidP="00F63EDE">
            <w:pPr>
              <w:spacing w:after="80"/>
              <w:jc w:val="center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Requirements &amp; test generator</w:t>
            </w:r>
          </w:p>
          <w:p w14:paraId="295C4D64" w14:textId="12AA0C2D" w:rsidR="00F63EDE" w:rsidRPr="00F63EDE" w:rsidRDefault="00F63EDE" w:rsidP="00F63EDE">
            <w:pPr>
              <w:spacing w:after="80"/>
              <w:jc w:val="center"/>
              <w:rPr>
                <w:color w:val="4A5566"/>
                <w:sz w:val="15"/>
              </w:rPr>
            </w:pPr>
            <w:r>
              <w:rPr>
                <w:color w:val="4A5566"/>
                <w:sz w:val="15"/>
              </w:rPr>
              <w:t>human-reviewed</w:t>
            </w:r>
          </w:p>
        </w:tc>
        <w:tc>
          <w:tcPr>
            <w:tcW w:w="320" w:type="dxa"/>
          </w:tcPr>
          <w:p w14:paraId="5511C68D" w14:textId="685E4D72" w:rsidR="00F63EDE" w:rsidRPr="00F63EDE" w:rsidRDefault="00F63EDE" w:rsidP="00F63EDE">
            <w:pPr>
              <w:spacing w:after="80"/>
              <w:jc w:val="center"/>
              <w:rPr>
                <w:b/>
                <w:color w:val="2F6FB0"/>
                <w:sz w:val="24"/>
              </w:rPr>
            </w:pPr>
            <w:r>
              <w:rPr>
                <w:b/>
                <w:color w:val="2F6FB0"/>
                <w:sz w:val="24"/>
              </w:rPr>
              <w:t>→</w:t>
            </w:r>
          </w:p>
        </w:tc>
        <w:tc>
          <w:tcPr>
            <w:tcW w:w="2100" w:type="dxa"/>
            <w:shd w:val="clear" w:color="auto" w:fill="1D345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F96D66" w14:textId="77777777" w:rsidR="00F63EDE" w:rsidRDefault="00F63EDE" w:rsidP="00F63EDE">
            <w:pPr>
              <w:spacing w:after="80"/>
              <w:jc w:val="center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Execution adapters</w:t>
            </w:r>
          </w:p>
          <w:p w14:paraId="25FAE52B" w14:textId="5FE6B84C" w:rsidR="00F63EDE" w:rsidRPr="00F63EDE" w:rsidRDefault="00F63EDE" w:rsidP="00F63EDE">
            <w:pPr>
              <w:spacing w:after="80"/>
              <w:jc w:val="center"/>
              <w:rPr>
                <w:color w:val="C7D5E6"/>
                <w:sz w:val="15"/>
              </w:rPr>
            </w:pPr>
            <w:r>
              <w:rPr>
                <w:color w:val="C7D5E6"/>
                <w:sz w:val="15"/>
              </w:rPr>
              <w:t>web . API . agent</w:t>
            </w:r>
          </w:p>
        </w:tc>
        <w:tc>
          <w:tcPr>
            <w:tcW w:w="320" w:type="dxa"/>
          </w:tcPr>
          <w:p w14:paraId="25366336" w14:textId="04CE0B40" w:rsidR="00F63EDE" w:rsidRPr="00F63EDE" w:rsidRDefault="00F63EDE" w:rsidP="00F63EDE">
            <w:pPr>
              <w:spacing w:after="80"/>
              <w:jc w:val="center"/>
              <w:rPr>
                <w:b/>
                <w:color w:val="2F6FB0"/>
                <w:sz w:val="24"/>
              </w:rPr>
            </w:pPr>
            <w:r>
              <w:rPr>
                <w:b/>
                <w:color w:val="2F6FB0"/>
                <w:sz w:val="24"/>
              </w:rPr>
              <w:t>→</w:t>
            </w:r>
          </w:p>
        </w:tc>
        <w:tc>
          <w:tcPr>
            <w:tcW w:w="2100" w:type="dxa"/>
            <w:shd w:val="clear" w:color="auto" w:fill="1D345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E9C556" w14:textId="77777777" w:rsidR="00F63EDE" w:rsidRDefault="00F63EDE" w:rsidP="00F63EDE">
            <w:pPr>
              <w:spacing w:after="80"/>
              <w:jc w:val="center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Evaluation engine</w:t>
            </w:r>
          </w:p>
          <w:p w14:paraId="3288D81F" w14:textId="6A4475F1" w:rsidR="00F63EDE" w:rsidRPr="00F63EDE" w:rsidRDefault="00F63EDE" w:rsidP="00F63EDE">
            <w:pPr>
              <w:spacing w:after="80"/>
              <w:jc w:val="center"/>
              <w:rPr>
                <w:color w:val="C7D5E6"/>
                <w:sz w:val="15"/>
              </w:rPr>
            </w:pPr>
            <w:r>
              <w:rPr>
                <w:color w:val="C7D5E6"/>
                <w:sz w:val="15"/>
              </w:rPr>
              <w:t>rule-based . LLM-judge</w:t>
            </w:r>
          </w:p>
        </w:tc>
        <w:tc>
          <w:tcPr>
            <w:tcW w:w="320" w:type="dxa"/>
          </w:tcPr>
          <w:p w14:paraId="46D7FE5E" w14:textId="6F923AE3" w:rsidR="00F63EDE" w:rsidRPr="00F63EDE" w:rsidRDefault="00F63EDE" w:rsidP="00F63EDE">
            <w:pPr>
              <w:spacing w:after="80"/>
              <w:jc w:val="center"/>
              <w:rPr>
                <w:b/>
                <w:color w:val="2F6FB0"/>
                <w:sz w:val="24"/>
              </w:rPr>
            </w:pPr>
            <w:r>
              <w:rPr>
                <w:b/>
                <w:color w:val="2F6FB0"/>
                <w:sz w:val="24"/>
              </w:rPr>
              <w:t>→</w:t>
            </w:r>
          </w:p>
        </w:tc>
        <w:tc>
          <w:tcPr>
            <w:tcW w:w="2100" w:type="dxa"/>
            <w:shd w:val="clear" w:color="auto" w:fill="EEF2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AF3FC5" w14:textId="77777777" w:rsidR="00F63EDE" w:rsidRDefault="00F63EDE" w:rsidP="00F63EDE">
            <w:pPr>
              <w:spacing w:after="80"/>
              <w:jc w:val="center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Traceability store</w:t>
            </w:r>
          </w:p>
          <w:p w14:paraId="67464592" w14:textId="6C2E6159" w:rsidR="00F63EDE" w:rsidRPr="00F63EDE" w:rsidRDefault="00F63EDE" w:rsidP="00F63EDE">
            <w:pPr>
              <w:spacing w:after="80"/>
              <w:jc w:val="center"/>
              <w:rPr>
                <w:color w:val="4A5566"/>
                <w:sz w:val="15"/>
              </w:rPr>
            </w:pPr>
            <w:r>
              <w:rPr>
                <w:color w:val="4A5566"/>
                <w:sz w:val="15"/>
              </w:rPr>
              <w:t>dashboard + CI status</w:t>
            </w:r>
          </w:p>
        </w:tc>
      </w:tr>
    </w:tbl>
    <w:p w14:paraId="0AC51EE1" w14:textId="57EA0FD9" w:rsidR="00F63EDE" w:rsidRDefault="00F63EDE" w:rsidP="00F63EDE">
      <w:pPr>
        <w:spacing w:after="40"/>
        <w:rPr>
          <w:color w:val="4A5566"/>
          <w:sz w:val="18"/>
        </w:rPr>
      </w:pPr>
      <w:r>
        <w:rPr>
          <w:color w:val="4A5566"/>
          <w:sz w:val="18"/>
        </w:rPr>
        <w:t>One protocol serves every adapter and evaluator, so a new solution type is added as a plugin, not a redesign. Nothing is written back to a target solution.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00"/>
        <w:gridCol w:w="5000"/>
      </w:tblGrid>
      <w:tr w:rsidR="00F63EDE" w14:paraId="5713364D" w14:textId="77777777" w:rsidTr="00F63EDE">
        <w:tc>
          <w:tcPr>
            <w:tcW w:w="5000" w:type="dxa"/>
            <w:tcMar>
              <w:right w:w="200" w:type="dxa"/>
            </w:tcMar>
          </w:tcPr>
          <w:p w14:paraId="69131BC8" w14:textId="77777777" w:rsidR="00F63EDE" w:rsidRDefault="00F63EDE" w:rsidP="00F63EDE">
            <w:pPr>
              <w:spacing w:after="40"/>
              <w:rPr>
                <w:b/>
                <w:caps/>
                <w:color w:val="2F6FB0"/>
              </w:rPr>
            </w:pPr>
            <w:r>
              <w:rPr>
                <w:b/>
                <w:caps/>
                <w:color w:val="2F6FB0"/>
              </w:rPr>
              <w:t>QUESTIONS IT WILL ANSWER</w:t>
            </w:r>
          </w:p>
          <w:p w14:paraId="00B7DC86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Which requirements have no test coverage at all</w:t>
            </w:r>
          </w:p>
          <w:p w14:paraId="5D8FA65A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Which releases are safe to ship, and which are not</w:t>
            </w:r>
          </w:p>
          <w:p w14:paraId="6147A3D7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Is this agent's output grounded and safe, not just functional</w:t>
            </w:r>
          </w:p>
          <w:p w14:paraId="28696B52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How much can we trust an automated pass/fail, on this result specifically</w:t>
            </w:r>
          </w:p>
          <w:p w14:paraId="2CF1E57F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Where does a human still need to look before we ship</w:t>
            </w:r>
          </w:p>
          <w:p w14:paraId="4098BCD4" w14:textId="6F470087" w:rsidR="00F63EDE" w:rsidRPr="00F63EDE" w:rsidRDefault="00F63EDE" w:rsidP="00F63EDE">
            <w:pPr>
              <w:spacing w:after="40"/>
              <w:rPr>
                <w:color w:val="000000"/>
              </w:rPr>
            </w:pPr>
          </w:p>
        </w:tc>
        <w:tc>
          <w:tcPr>
            <w:tcW w:w="5000" w:type="dxa"/>
            <w:tcMar>
              <w:left w:w="200" w:type="dxa"/>
            </w:tcMar>
          </w:tcPr>
          <w:p w14:paraId="4DDEEF15" w14:textId="77777777" w:rsidR="00F63EDE" w:rsidRDefault="00F63EDE" w:rsidP="00F63EDE">
            <w:pPr>
              <w:spacing w:after="40"/>
              <w:rPr>
                <w:b/>
                <w:caps/>
                <w:color w:val="2F6FB0"/>
              </w:rPr>
            </w:pPr>
            <w:r>
              <w:rPr>
                <w:b/>
                <w:caps/>
                <w:color w:val="2F6FB0"/>
              </w:rPr>
              <w:t>WHAT IT DELIBERATELY EXCLUDES</w:t>
            </w:r>
          </w:p>
          <w:p w14:paraId="08E4A1CD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RAG, chat-platform bot, performance, and accessibility testing - phased in later, not day one</w:t>
            </w:r>
          </w:p>
          <w:p w14:paraId="09CC6C19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Automatically fixing a failing solution - MTA reports, engineering remediates</w:t>
            </w:r>
          </w:p>
          <w:p w14:paraId="46132036" w14:textId="77777777" w:rsidR="00F63EDE" w:rsidRDefault="00F63EDE" w:rsidP="00F63EDE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>• Replacing human sign-off on tone, brand voice, or business acceptance</w:t>
            </w:r>
          </w:p>
          <w:p w14:paraId="3E90E0F7" w14:textId="66C7A0BD" w:rsidR="00F63EDE" w:rsidRPr="00F63EDE" w:rsidRDefault="00F63EDE" w:rsidP="00F63EDE">
            <w:pPr>
              <w:spacing w:after="4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Scope stays deliberately narrow for this delivery - three solution types, core evaluators only.</w:t>
            </w:r>
          </w:p>
        </w:tc>
      </w:tr>
    </w:tbl>
    <w:p w14:paraId="3CE9F416" w14:textId="77777777" w:rsidR="00F63EDE" w:rsidRDefault="00F63EDE" w:rsidP="00F63EDE">
      <w:pPr>
        <w:spacing w:after="40"/>
        <w:rPr>
          <w:color w:val="000000"/>
          <w:sz w:val="4"/>
        </w:rPr>
      </w:pPr>
    </w:p>
    <w:p w14:paraId="0E508470" w14:textId="41F56440" w:rsidR="00F63EDE" w:rsidRDefault="00F63EDE" w:rsidP="00F63EDE">
      <w:pPr>
        <w:spacing w:after="80"/>
        <w:rPr>
          <w:b/>
          <w:caps/>
          <w:color w:val="2F6FB0"/>
        </w:rPr>
      </w:pPr>
      <w:r>
        <w:rPr>
          <w:b/>
          <w:caps/>
          <w:color w:val="2F6FB0"/>
        </w:rPr>
        <w:t>HOW WE WILL DELIVER IT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56"/>
        <w:gridCol w:w="2656"/>
        <w:gridCol w:w="2657"/>
        <w:gridCol w:w="2657"/>
      </w:tblGrid>
      <w:tr w:rsidR="00F63EDE" w14:paraId="24951193" w14:textId="77777777" w:rsidTr="00F63EDE">
        <w:tc>
          <w:tcPr>
            <w:tcW w:w="2656" w:type="dxa"/>
            <w:shd w:val="clear" w:color="auto" w:fill="EEF2F6"/>
            <w:tcMar>
              <w:top w:w="100" w:type="dxa"/>
              <w:left w:w="120" w:type="dxa"/>
              <w:bottom w:w="20" w:type="dxa"/>
              <w:right w:w="120" w:type="dxa"/>
            </w:tcMar>
          </w:tcPr>
          <w:p w14:paraId="7860662B" w14:textId="77777777" w:rsidR="00F63EDE" w:rsidRDefault="00F63EDE" w:rsidP="00F63EDE">
            <w:pPr>
              <w:spacing w:after="80"/>
              <w:rPr>
                <w:b/>
                <w:color w:val="2F6FB0"/>
                <w:sz w:val="16"/>
              </w:rPr>
            </w:pPr>
            <w:r>
              <w:rPr>
                <w:b/>
                <w:color w:val="2F6FB0"/>
                <w:sz w:val="16"/>
              </w:rPr>
              <w:t>PHASE 0</w:t>
            </w:r>
          </w:p>
          <w:p w14:paraId="3E349ED1" w14:textId="253C8957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Access &amp; discovery</w:t>
            </w:r>
          </w:p>
        </w:tc>
        <w:tc>
          <w:tcPr>
            <w:tcW w:w="2656" w:type="dxa"/>
            <w:shd w:val="clear" w:color="auto" w:fill="EEF2F6"/>
            <w:tcMar>
              <w:top w:w="100" w:type="dxa"/>
              <w:left w:w="120" w:type="dxa"/>
              <w:bottom w:w="20" w:type="dxa"/>
              <w:right w:w="120" w:type="dxa"/>
            </w:tcMar>
          </w:tcPr>
          <w:p w14:paraId="5A6A074D" w14:textId="77777777" w:rsidR="00F63EDE" w:rsidRDefault="00F63EDE" w:rsidP="00F63EDE">
            <w:pPr>
              <w:spacing w:after="80"/>
              <w:rPr>
                <w:b/>
                <w:color w:val="2F6FB0"/>
                <w:sz w:val="16"/>
              </w:rPr>
            </w:pPr>
            <w:r>
              <w:rPr>
                <w:b/>
                <w:color w:val="2F6FB0"/>
                <w:sz w:val="16"/>
              </w:rPr>
              <w:t>PHASE 1</w:t>
            </w:r>
          </w:p>
          <w:p w14:paraId="03BD8ACD" w14:textId="30A6FF13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Core platform</w:t>
            </w:r>
          </w:p>
        </w:tc>
        <w:tc>
          <w:tcPr>
            <w:tcW w:w="2657" w:type="dxa"/>
            <w:shd w:val="clear" w:color="auto" w:fill="EEF2F6"/>
            <w:tcMar>
              <w:top w:w="100" w:type="dxa"/>
              <w:left w:w="120" w:type="dxa"/>
              <w:bottom w:w="20" w:type="dxa"/>
              <w:right w:w="120" w:type="dxa"/>
            </w:tcMar>
          </w:tcPr>
          <w:p w14:paraId="630985A8" w14:textId="77777777" w:rsidR="00F63EDE" w:rsidRDefault="00F63EDE" w:rsidP="00F63EDE">
            <w:pPr>
              <w:spacing w:after="80"/>
              <w:rPr>
                <w:b/>
                <w:color w:val="2F6FB0"/>
                <w:sz w:val="16"/>
              </w:rPr>
            </w:pPr>
            <w:r>
              <w:rPr>
                <w:b/>
                <w:color w:val="2F6FB0"/>
                <w:sz w:val="16"/>
              </w:rPr>
              <w:t>PHASE 2</w:t>
            </w:r>
          </w:p>
          <w:p w14:paraId="198289E8" w14:textId="7F596222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Adapter wave 1</w:t>
            </w:r>
          </w:p>
        </w:tc>
        <w:tc>
          <w:tcPr>
            <w:tcW w:w="2657" w:type="dxa"/>
            <w:shd w:val="clear" w:color="auto" w:fill="EEF2F6"/>
            <w:tcMar>
              <w:top w:w="100" w:type="dxa"/>
              <w:left w:w="120" w:type="dxa"/>
              <w:bottom w:w="20" w:type="dxa"/>
              <w:right w:w="120" w:type="dxa"/>
            </w:tcMar>
          </w:tcPr>
          <w:p w14:paraId="58597033" w14:textId="77777777" w:rsidR="00F63EDE" w:rsidRDefault="00F63EDE" w:rsidP="00F63EDE">
            <w:pPr>
              <w:spacing w:after="80"/>
              <w:rPr>
                <w:b/>
                <w:color w:val="2F6FB0"/>
                <w:sz w:val="16"/>
              </w:rPr>
            </w:pPr>
            <w:r>
              <w:rPr>
                <w:b/>
                <w:color w:val="2F6FB0"/>
                <w:sz w:val="16"/>
              </w:rPr>
              <w:t>PHASE 3</w:t>
            </w:r>
          </w:p>
          <w:p w14:paraId="3FF13BEF" w14:textId="7A3230D6" w:rsidR="00F63EDE" w:rsidRPr="00F63EDE" w:rsidRDefault="00F63EDE" w:rsidP="00F63EDE">
            <w:pPr>
              <w:spacing w:after="8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CI/CD gate</w:t>
            </w:r>
          </w:p>
        </w:tc>
      </w:tr>
      <w:tr w:rsidR="00F63EDE" w14:paraId="4AA5557E" w14:textId="77777777" w:rsidTr="00F63EDE">
        <w:tc>
          <w:tcPr>
            <w:tcW w:w="2656" w:type="dxa"/>
            <w:shd w:val="clear" w:color="auto" w:fill="EEF2F6"/>
            <w:tcMar>
              <w:left w:w="120" w:type="dxa"/>
              <w:bottom w:w="100" w:type="dxa"/>
              <w:right w:w="120" w:type="dxa"/>
            </w:tcMar>
          </w:tcPr>
          <w:p w14:paraId="05CFEE67" w14:textId="1E6DA30D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Confirm pilot solutions, BRD/TSD quality, LLM budget. Ends in a go/no-go.</w:t>
            </w:r>
          </w:p>
        </w:tc>
        <w:tc>
          <w:tcPr>
            <w:tcW w:w="2656" w:type="dxa"/>
            <w:shd w:val="clear" w:color="auto" w:fill="EEF2F6"/>
            <w:tcMar>
              <w:left w:w="120" w:type="dxa"/>
              <w:bottom w:w="100" w:type="dxa"/>
              <w:right w:w="120" w:type="dxa"/>
            </w:tcMar>
          </w:tcPr>
          <w:p w14:paraId="14F98929" w14:textId="1194372C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Registry, requirements pipeline, traceability store, dashboard.</w:t>
            </w:r>
          </w:p>
        </w:tc>
        <w:tc>
          <w:tcPr>
            <w:tcW w:w="2657" w:type="dxa"/>
            <w:shd w:val="clear" w:color="auto" w:fill="EEF2F6"/>
            <w:tcMar>
              <w:left w:w="120" w:type="dxa"/>
              <w:bottom w:w="100" w:type="dxa"/>
              <w:right w:w="120" w:type="dxa"/>
            </w:tcMar>
          </w:tcPr>
          <w:p w14:paraId="440FB606" w14:textId="2316A5F8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Web, API, and agent adapters; rule-based and LLM-judge evaluators.</w:t>
            </w:r>
          </w:p>
        </w:tc>
        <w:tc>
          <w:tcPr>
            <w:tcW w:w="2657" w:type="dxa"/>
            <w:shd w:val="clear" w:color="auto" w:fill="EEF2F6"/>
            <w:tcMar>
              <w:left w:w="120" w:type="dxa"/>
              <w:bottom w:w="100" w:type="dxa"/>
              <w:right w:w="120" w:type="dxa"/>
            </w:tcMar>
          </w:tcPr>
          <w:p w14:paraId="29C6CCA3" w14:textId="7288798D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Tiered required-check integration; judge-calibration live.</w:t>
            </w:r>
          </w:p>
        </w:tc>
      </w:tr>
    </w:tbl>
    <w:p w14:paraId="56F2DB3C" w14:textId="78AC0124" w:rsidR="00F63EDE" w:rsidRDefault="00F63EDE" w:rsidP="00F63EDE">
      <w:pPr>
        <w:spacing w:after="40"/>
        <w:rPr>
          <w:color w:val="4A5566"/>
          <w:sz w:val="18"/>
        </w:rPr>
      </w:pPr>
      <w:r>
        <w:rPr>
          <w:color w:val="4A5566"/>
          <w:sz w:val="18"/>
        </w:rPr>
        <w:t>Phases 2 and 3 both depend on Phase 1. Durations are set at Phase 0 exit - committing to dates before pilot access is confirmed would be guesswork.</w:t>
      </w:r>
    </w:p>
    <w:p w14:paraId="27B90874" w14:textId="008623FC" w:rsidR="00F63EDE" w:rsidRDefault="00F63EDE" w:rsidP="00F63EDE">
      <w:pPr>
        <w:spacing w:after="80"/>
        <w:rPr>
          <w:b/>
          <w:caps/>
          <w:color w:val="2F6FB0"/>
        </w:rPr>
      </w:pPr>
      <w:r>
        <w:rPr>
          <w:b/>
          <w:caps/>
          <w:color w:val="2F6FB0"/>
        </w:rPr>
        <w:t>DECISIONS WE NEED FROM LEADERSHIP</w:t>
      </w:r>
    </w:p>
    <w:tbl>
      <w:tblPr>
        <w:tblW w:w="11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2200"/>
        <w:gridCol w:w="3600"/>
      </w:tblGrid>
      <w:tr w:rsidR="00F63EDE" w14:paraId="4CF5260E" w14:textId="77777777" w:rsidTr="00F63EDE">
        <w:tc>
          <w:tcPr>
            <w:tcW w:w="5200" w:type="dxa"/>
            <w:shd w:val="clear" w:color="auto" w:fill="EEF2F6"/>
            <w:tcMar>
              <w:top w:w="40" w:type="dxa"/>
              <w:bottom w:w="40" w:type="dxa"/>
            </w:tcMar>
          </w:tcPr>
          <w:p w14:paraId="25D192E2" w14:textId="0069C5ED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Decision</w:t>
            </w:r>
          </w:p>
        </w:tc>
        <w:tc>
          <w:tcPr>
            <w:tcW w:w="2200" w:type="dxa"/>
            <w:shd w:val="clear" w:color="auto" w:fill="EEF2F6"/>
            <w:tcMar>
              <w:top w:w="40" w:type="dxa"/>
              <w:bottom w:w="40" w:type="dxa"/>
            </w:tcMar>
          </w:tcPr>
          <w:p w14:paraId="73FCB922" w14:textId="74DAB95C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Owner</w:t>
            </w:r>
          </w:p>
        </w:tc>
        <w:tc>
          <w:tcPr>
            <w:tcW w:w="3600" w:type="dxa"/>
            <w:shd w:val="clear" w:color="auto" w:fill="EEF2F6"/>
            <w:tcMar>
              <w:top w:w="40" w:type="dxa"/>
              <w:bottom w:w="40" w:type="dxa"/>
            </w:tcMar>
          </w:tcPr>
          <w:p w14:paraId="41574B6B" w14:textId="0605FB55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Why it matters now</w:t>
            </w:r>
          </w:p>
        </w:tc>
      </w:tr>
      <w:tr w:rsidR="00F63EDE" w14:paraId="3738B9A2" w14:textId="77777777" w:rsidTr="00F63EDE">
        <w:tc>
          <w:tcPr>
            <w:tcW w:w="5200" w:type="dxa"/>
            <w:tcMar>
              <w:top w:w="40" w:type="dxa"/>
              <w:bottom w:w="40" w:type="dxa"/>
            </w:tcMar>
          </w:tcPr>
          <w:p w14:paraId="73C1CD49" w14:textId="2E87A5F3" w:rsidR="00F63EDE" w:rsidRPr="00F63EDE" w:rsidRDefault="00F63EDE" w:rsidP="00F63EDE">
            <w:pPr>
              <w:spacing w:after="8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Name 2-3 pilot solutions (one agent, one API, one web app) and their owners</w:t>
            </w:r>
          </w:p>
        </w:tc>
        <w:tc>
          <w:tcPr>
            <w:tcW w:w="2200" w:type="dxa"/>
            <w:tcMar>
              <w:top w:w="40" w:type="dxa"/>
              <w:bottom w:w="40" w:type="dxa"/>
            </w:tcMar>
          </w:tcPr>
          <w:p w14:paraId="6CED606E" w14:textId="24F62C5A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Delivery mgmt</w:t>
            </w:r>
          </w:p>
        </w:tc>
        <w:tc>
          <w:tcPr>
            <w:tcW w:w="3600" w:type="dxa"/>
            <w:tcMar>
              <w:top w:w="40" w:type="dxa"/>
              <w:bottom w:w="40" w:type="dxa"/>
            </w:tcMar>
          </w:tcPr>
          <w:p w14:paraId="69993FFD" w14:textId="131040B4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Nothing else in this plan can start without them</w:t>
            </w:r>
          </w:p>
        </w:tc>
      </w:tr>
      <w:tr w:rsidR="00F63EDE" w14:paraId="3EFFB26F" w14:textId="77777777" w:rsidTr="00F63EDE">
        <w:tc>
          <w:tcPr>
            <w:tcW w:w="5200" w:type="dxa"/>
            <w:tcMar>
              <w:top w:w="40" w:type="dxa"/>
              <w:bottom w:w="40" w:type="dxa"/>
            </w:tcMar>
          </w:tcPr>
          <w:p w14:paraId="163644D6" w14:textId="718F0238" w:rsidR="00F63EDE" w:rsidRPr="00F63EDE" w:rsidRDefault="00F63EDE" w:rsidP="00F63EDE">
            <w:pPr>
              <w:spacing w:after="8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Approve the LLM model(s) and cost budget for judge/extraction use</w:t>
            </w:r>
          </w:p>
        </w:tc>
        <w:tc>
          <w:tcPr>
            <w:tcW w:w="2200" w:type="dxa"/>
            <w:tcMar>
              <w:top w:w="40" w:type="dxa"/>
              <w:bottom w:w="40" w:type="dxa"/>
            </w:tcMar>
          </w:tcPr>
          <w:p w14:paraId="3AFB7612" w14:textId="16550D77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Platform &amp; Security</w:t>
            </w:r>
          </w:p>
        </w:tc>
        <w:tc>
          <w:tcPr>
            <w:tcW w:w="3600" w:type="dxa"/>
            <w:tcMar>
              <w:top w:w="40" w:type="dxa"/>
              <w:bottom w:w="40" w:type="dxa"/>
            </w:tcMar>
          </w:tcPr>
          <w:p w14:paraId="5BED7072" w14:textId="57F25017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Sets the evaluation engine's cost ceiling before build</w:t>
            </w:r>
          </w:p>
        </w:tc>
      </w:tr>
      <w:tr w:rsidR="00F63EDE" w14:paraId="2992B819" w14:textId="77777777" w:rsidTr="00F63EDE">
        <w:tc>
          <w:tcPr>
            <w:tcW w:w="5200" w:type="dxa"/>
            <w:tcMar>
              <w:top w:w="40" w:type="dxa"/>
              <w:bottom w:w="40" w:type="dxa"/>
            </w:tcMar>
          </w:tcPr>
          <w:p w14:paraId="726D312D" w14:textId="05F77599" w:rsidR="00F63EDE" w:rsidRPr="00F63EDE" w:rsidRDefault="00F63EDE" w:rsidP="00F63EDE">
            <w:pPr>
              <w:spacing w:after="8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Set the confidence-threshold philosophy - how much human review is acceptable at launch</w:t>
            </w:r>
          </w:p>
        </w:tc>
        <w:tc>
          <w:tcPr>
            <w:tcW w:w="2200" w:type="dxa"/>
            <w:tcMar>
              <w:top w:w="40" w:type="dxa"/>
              <w:bottom w:w="40" w:type="dxa"/>
            </w:tcMar>
          </w:tcPr>
          <w:p w14:paraId="620477EB" w14:textId="01673000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QA guild</w:t>
            </w:r>
          </w:p>
        </w:tc>
        <w:tc>
          <w:tcPr>
            <w:tcW w:w="3600" w:type="dxa"/>
            <w:tcMar>
              <w:top w:w="40" w:type="dxa"/>
              <w:bottom w:w="40" w:type="dxa"/>
            </w:tcMar>
          </w:tcPr>
          <w:p w14:paraId="607953DA" w14:textId="6EA91310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Directly trades off trust against manual-effort reduction</w:t>
            </w:r>
          </w:p>
        </w:tc>
      </w:tr>
      <w:tr w:rsidR="00F63EDE" w14:paraId="1D179333" w14:textId="77777777" w:rsidTr="00F63EDE">
        <w:tc>
          <w:tcPr>
            <w:tcW w:w="5200" w:type="dxa"/>
            <w:tcMar>
              <w:top w:w="40" w:type="dxa"/>
              <w:bottom w:w="40" w:type="dxa"/>
            </w:tcMar>
          </w:tcPr>
          <w:p w14:paraId="7CAD721E" w14:textId="674D4D50" w:rsidR="00F63EDE" w:rsidRPr="00F63EDE" w:rsidRDefault="00F63EDE" w:rsidP="00F63EDE">
            <w:pPr>
              <w:spacing w:after="8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Commit engineering capacity for build and for ongoing operation</w:t>
            </w:r>
          </w:p>
        </w:tc>
        <w:tc>
          <w:tcPr>
            <w:tcW w:w="2200" w:type="dxa"/>
            <w:tcMar>
              <w:top w:w="40" w:type="dxa"/>
              <w:bottom w:w="40" w:type="dxa"/>
            </w:tcMar>
          </w:tcPr>
          <w:p w14:paraId="24FFDD57" w14:textId="1B9BEF39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Delivery mgmt</w:t>
            </w:r>
          </w:p>
        </w:tc>
        <w:tc>
          <w:tcPr>
            <w:tcW w:w="3600" w:type="dxa"/>
            <w:tcMar>
              <w:top w:w="40" w:type="dxa"/>
              <w:bottom w:w="40" w:type="dxa"/>
            </w:tcMar>
          </w:tcPr>
          <w:p w14:paraId="06DB1093" w14:textId="48352C88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Without it, adoption fails regardless of the platform's quality</w:t>
            </w:r>
          </w:p>
        </w:tc>
      </w:tr>
      <w:tr w:rsidR="00F63EDE" w14:paraId="1DCA995A" w14:textId="77777777" w:rsidTr="00F63EDE">
        <w:tc>
          <w:tcPr>
            <w:tcW w:w="5200" w:type="dxa"/>
            <w:tcMar>
              <w:top w:w="40" w:type="dxa"/>
              <w:bottom w:w="40" w:type="dxa"/>
            </w:tcMar>
          </w:tcPr>
          <w:p w14:paraId="2C76BD0E" w14:textId="3AFA3A8B" w:rsidR="00F63EDE" w:rsidRPr="00F63EDE" w:rsidRDefault="00F63EDE" w:rsidP="00F63EDE">
            <w:pPr>
              <w:spacing w:after="8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Confirm where the adversarial test corpus is hosted under access control</w:t>
            </w:r>
          </w:p>
        </w:tc>
        <w:tc>
          <w:tcPr>
            <w:tcW w:w="2200" w:type="dxa"/>
            <w:tcMar>
              <w:top w:w="40" w:type="dxa"/>
              <w:bottom w:w="40" w:type="dxa"/>
            </w:tcMar>
          </w:tcPr>
          <w:p w14:paraId="623F9E65" w14:textId="2CA4B7DF" w:rsidR="00F63EDE" w:rsidRPr="00F63EDE" w:rsidRDefault="00F63EDE" w:rsidP="00F63EDE">
            <w:pPr>
              <w:spacing w:after="80"/>
              <w:rPr>
                <w:b/>
                <w:color w:val="000000"/>
                <w:sz w:val="17"/>
              </w:rPr>
            </w:pPr>
            <w:r>
              <w:rPr>
                <w:b/>
                <w:color w:val="000000"/>
                <w:sz w:val="17"/>
              </w:rPr>
              <w:t>Security</w:t>
            </w:r>
          </w:p>
        </w:tc>
        <w:tc>
          <w:tcPr>
            <w:tcW w:w="3600" w:type="dxa"/>
            <w:tcMar>
              <w:top w:w="40" w:type="dxa"/>
              <w:bottom w:w="40" w:type="dxa"/>
            </w:tcMar>
          </w:tcPr>
          <w:p w14:paraId="3DAC8081" w14:textId="462EA387" w:rsidR="00F63EDE" w:rsidRPr="00F63EDE" w:rsidRDefault="00F63EDE" w:rsidP="00F63EDE">
            <w:pPr>
              <w:spacing w:after="80"/>
              <w:rPr>
                <w:color w:val="4A5566"/>
                <w:sz w:val="17"/>
              </w:rPr>
            </w:pPr>
            <w:r>
              <w:rPr>
                <w:color w:val="4A5566"/>
                <w:sz w:val="17"/>
              </w:rPr>
              <w:t>A leaked corpus becomes a usable attack toolkit</w:t>
            </w:r>
          </w:p>
        </w:tc>
      </w:tr>
    </w:tbl>
    <w:p w14:paraId="06FC1BF4" w14:textId="77777777" w:rsidR="00F63EDE" w:rsidRDefault="00F63EDE" w:rsidP="00F63EDE">
      <w:pPr>
        <w:spacing w:after="80"/>
        <w:rPr>
          <w:color w:val="000000"/>
          <w:sz w:val="6"/>
        </w:rPr>
      </w:pPr>
    </w:p>
    <w:p w14:paraId="05DAC65F" w14:textId="34F8DE37" w:rsidR="00F63EDE" w:rsidRDefault="00F63EDE" w:rsidP="00F63EDE">
      <w:pPr>
        <w:spacing w:after="80"/>
        <w:rPr>
          <w:b/>
          <w:caps/>
          <w:color w:val="2F6FB0"/>
        </w:rPr>
      </w:pPr>
      <w:r>
        <w:rPr>
          <w:b/>
          <w:caps/>
          <w:color w:val="2F6FB0"/>
        </w:rPr>
        <w:t>RISKS WE ARE MANAGING OPENLY</w:t>
      </w:r>
    </w:p>
    <w:tbl>
      <w:tblPr>
        <w:tblW w:w="11800" w:type="dxa"/>
        <w:tblLayout w:type="fixed"/>
        <w:tblLook w:val="0000" w:firstRow="0" w:lastRow="0" w:firstColumn="0" w:lastColumn="0" w:noHBand="0" w:noVBand="0"/>
      </w:tblPr>
      <w:tblGrid>
        <w:gridCol w:w="1800"/>
        <w:gridCol w:w="10000"/>
      </w:tblGrid>
      <w:tr w:rsidR="00F63EDE" w14:paraId="638A7CED" w14:textId="77777777" w:rsidTr="00F63EDE">
        <w:tc>
          <w:tcPr>
            <w:tcW w:w="1800" w:type="dxa"/>
            <w:shd w:val="clear" w:color="auto" w:fill="B9701F"/>
          </w:tcPr>
          <w:p w14:paraId="22F00CF3" w14:textId="5AE0A2CA" w:rsidR="00F63EDE" w:rsidRDefault="00F63EDE" w:rsidP="00F63EDE">
            <w:pPr>
              <w:spacing w:after="8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0000" w:type="dxa"/>
            <w:tcMar>
              <w:top w:w="20" w:type="dxa"/>
              <w:left w:w="200" w:type="dxa"/>
              <w:bottom w:w="60" w:type="dxa"/>
            </w:tcMar>
          </w:tcPr>
          <w:p w14:paraId="74CD6A69" w14:textId="77777777" w:rsidR="00F63EDE" w:rsidRDefault="00F63EDE" w:rsidP="00F63EDE">
            <w:pPr>
              <w:spacing w:after="8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Automated judging drifts silently as models or prompts change.</w:t>
            </w:r>
          </w:p>
          <w:p w14:paraId="6E2D866A" w14:textId="07783CDA" w:rsidR="00F63EDE" w:rsidRPr="00F63EDE" w:rsidRDefault="00F63EDE" w:rsidP="00F63EDE">
            <w:pPr>
              <w:spacing w:after="80"/>
              <w:rPr>
                <w:color w:val="4A5566"/>
                <w:sz w:val="18"/>
              </w:rPr>
            </w:pPr>
            <w:r>
              <w:rPr>
                <w:color w:val="4A5566"/>
                <w:sz w:val="18"/>
              </w:rPr>
              <w:t>Mitigated by an ongoing calibration program with a tracked human-agreement rate, from first use, not after launch.</w:t>
            </w:r>
          </w:p>
        </w:tc>
      </w:tr>
      <w:tr w:rsidR="00F63EDE" w14:paraId="5E85F383" w14:textId="77777777" w:rsidTr="00F63EDE">
        <w:tc>
          <w:tcPr>
            <w:tcW w:w="1800" w:type="dxa"/>
            <w:shd w:val="clear" w:color="auto" w:fill="B9701F"/>
          </w:tcPr>
          <w:p w14:paraId="52E78A01" w14:textId="2AC330AB" w:rsidR="00F63EDE" w:rsidRDefault="00F63EDE" w:rsidP="00F63EDE">
            <w:pPr>
              <w:spacing w:after="8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0000" w:type="dxa"/>
            <w:tcMar>
              <w:top w:w="20" w:type="dxa"/>
              <w:left w:w="200" w:type="dxa"/>
              <w:bottom w:w="60" w:type="dxa"/>
            </w:tcMar>
          </w:tcPr>
          <w:p w14:paraId="68F0812E" w14:textId="77777777" w:rsidR="00F63EDE" w:rsidRDefault="00F63EDE" w:rsidP="00F63EDE">
            <w:pPr>
              <w:spacing w:after="8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adapter protocol proves too rigid once a second solution type is added.</w:t>
            </w:r>
          </w:p>
          <w:p w14:paraId="17A63683" w14:textId="6D98A6A3" w:rsidR="00F63EDE" w:rsidRPr="00F63EDE" w:rsidRDefault="00F63EDE" w:rsidP="00F63EDE">
            <w:pPr>
              <w:spacing w:after="80"/>
              <w:rPr>
                <w:color w:val="4A5566"/>
                <w:sz w:val="18"/>
              </w:rPr>
            </w:pPr>
            <w:r>
              <w:rPr>
                <w:color w:val="4A5566"/>
                <w:sz w:val="18"/>
              </w:rPr>
              <w:t>We validate it against a materially different solution type before declaring Phase 1 complete.</w:t>
            </w:r>
          </w:p>
        </w:tc>
      </w:tr>
      <w:tr w:rsidR="00F63EDE" w14:paraId="0B7D2427" w14:textId="77777777" w:rsidTr="00F63EDE">
        <w:tc>
          <w:tcPr>
            <w:tcW w:w="1800" w:type="dxa"/>
            <w:shd w:val="clear" w:color="auto" w:fill="B9701F"/>
          </w:tcPr>
          <w:p w14:paraId="53DBE412" w14:textId="143DAEC2" w:rsidR="00F63EDE" w:rsidRDefault="00F63EDE" w:rsidP="00F63EDE">
            <w:pPr>
              <w:spacing w:after="8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0000" w:type="dxa"/>
            <w:tcMar>
              <w:top w:w="20" w:type="dxa"/>
              <w:left w:w="200" w:type="dxa"/>
              <w:bottom w:w="60" w:type="dxa"/>
            </w:tcMar>
          </w:tcPr>
          <w:p w14:paraId="222A5E35" w14:textId="77777777" w:rsidR="00F63EDE" w:rsidRDefault="00F63EDE" w:rsidP="00F63EDE">
            <w:pPr>
              <w:spacing w:after="8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Confidence-threshold routing sends too much to human review.</w:t>
            </w:r>
          </w:p>
          <w:p w14:paraId="35C96D91" w14:textId="4E6CD12C" w:rsidR="00F63EDE" w:rsidRPr="00F63EDE" w:rsidRDefault="00F63EDE" w:rsidP="00F63EDE">
            <w:pPr>
              <w:spacing w:after="80"/>
              <w:rPr>
                <w:color w:val="4A5566"/>
                <w:sz w:val="18"/>
              </w:rPr>
            </w:pPr>
            <w:r>
              <w:rPr>
                <w:color w:val="4A5566"/>
                <w:sz w:val="18"/>
              </w:rPr>
              <w:t>Queue volume is tracked from week one and thresholds tuned per domain, not left at a fixed default.</w:t>
            </w:r>
          </w:p>
        </w:tc>
      </w:tr>
    </w:tbl>
    <w:p w14:paraId="04B4DF32" w14:textId="77777777" w:rsidR="00F63EDE" w:rsidRDefault="00F63EDE" w:rsidP="00F63EDE">
      <w:pPr>
        <w:spacing w:after="80"/>
        <w:rPr>
          <w:color w:val="000000"/>
          <w:sz w:val="6"/>
        </w:rPr>
      </w:pPr>
    </w:p>
    <w:tbl>
      <w:tblPr>
        <w:tblW w:w="0" w:type="auto"/>
        <w:shd w:val="clear" w:color="auto" w:fill="16273F"/>
        <w:tblLayout w:type="fixed"/>
        <w:tblLook w:val="0000" w:firstRow="0" w:lastRow="0" w:firstColumn="0" w:lastColumn="0" w:noHBand="0" w:noVBand="0"/>
      </w:tblPr>
      <w:tblGrid>
        <w:gridCol w:w="10626"/>
      </w:tblGrid>
      <w:tr w:rsidR="00F63EDE" w14:paraId="75697214" w14:textId="77777777" w:rsidTr="00F63EDE">
        <w:tc>
          <w:tcPr>
            <w:tcW w:w="10626" w:type="dxa"/>
            <w:shd w:val="clear" w:color="auto" w:fill="16273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9F6819" w14:textId="63309B35" w:rsidR="00F63EDE" w:rsidRPr="00F63EDE" w:rsidRDefault="00F63EDE" w:rsidP="00F63EDE">
            <w:pPr>
              <w:spacing w:after="80"/>
              <w:rPr>
                <w:color w:val="FFFFFF"/>
                <w:sz w:val="20"/>
              </w:rPr>
            </w:pPr>
            <w:r>
              <w:rPr>
                <w:b/>
                <w:caps/>
                <w:color w:val="8FB4DD"/>
                <w:sz w:val="18"/>
              </w:rPr>
              <w:t xml:space="preserve">THE ASK   </w:t>
            </w:r>
            <w:r>
              <w:rPr>
                <w:color w:val="FFFFFF"/>
                <w:sz w:val="20"/>
              </w:rPr>
              <w:t>Approval to begin Phase 0 - discovery and access only, no build commitment. It ends with a go/no-go and a costed Phase 1 plan.</w:t>
            </w:r>
          </w:p>
        </w:tc>
      </w:tr>
    </w:tbl>
    <w:p w14:paraId="2F185B4C" w14:textId="77777777" w:rsidR="00F63EDE" w:rsidRDefault="00F63EDE" w:rsidP="00F63EDE">
      <w:pPr>
        <w:spacing w:after="80"/>
        <w:rPr>
          <w:color w:val="000000"/>
          <w:sz w:val="6"/>
        </w:rPr>
      </w:pPr>
    </w:p>
    <w:p w14:paraId="710274C2" w14:textId="06462945" w:rsidR="00F63EDE" w:rsidRDefault="00F63EDE" w:rsidP="00F63EDE">
      <w:pPr>
        <w:spacing w:after="40"/>
        <w:rPr>
          <w:color w:val="4A5566"/>
          <w:sz w:val="17"/>
        </w:rPr>
      </w:pPr>
      <w:r>
        <w:rPr>
          <w:color w:val="4A5566"/>
          <w:sz w:val="17"/>
        </w:rPr>
        <w:t>Full detail in BRD-MTA-001 v1.0, sections 4, 6, 9 and 11</w:t>
      </w:r>
    </w:p>
    <w:p w14:paraId="2FE9E710" w14:textId="77777777" w:rsidR="00F63EDE" w:rsidRPr="00F63EDE" w:rsidRDefault="00F63EDE" w:rsidP="00F63EDE">
      <w:pPr>
        <w:spacing w:after="40"/>
        <w:rPr>
          <w:color w:val="000000"/>
          <w:sz w:val="20"/>
        </w:rPr>
      </w:pPr>
    </w:p>
    <w:sectPr w:rsidR="00F63EDE" w:rsidRPr="00F63EDE" w:rsidSect="00F63EDE">
      <w:pgSz w:w="11906" w:h="16838"/>
      <w:pgMar w:top="280" w:right="640" w:bottom="240" w:left="6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9B2E1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21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DE"/>
    <w:rsid w:val="00321285"/>
    <w:rsid w:val="0066395D"/>
    <w:rsid w:val="0083436E"/>
    <w:rsid w:val="009B39A4"/>
    <w:rsid w:val="00F63EDE"/>
    <w:rsid w:val="00F8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841E9"/>
  <w15:chartTrackingRefBased/>
  <w15:docId w15:val="{6F8BDD14-18DF-44DB-927D-8275E02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EDE"/>
    <w:pPr>
      <w:keepNext/>
      <w:keepLines/>
      <w:spacing w:before="4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DE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D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F63EDE"/>
    <w:pPr>
      <w:numPr>
        <w:numId w:val="1"/>
      </w:numPr>
      <w:spacing w:after="40"/>
      <w:ind w:left="24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736</Words>
  <Characters>3898</Characters>
  <Application>Microsoft Office Word</Application>
  <DocSecurity>0</DocSecurity>
  <Lines>159</Lines>
  <Paragraphs>95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Balwani (Data + AI)</dc:creator>
  <cp:keywords/>
  <dc:description/>
  <cp:lastModifiedBy>Priyansh Balwani (Data + AI)</cp:lastModifiedBy>
  <cp:revision>2</cp:revision>
  <dcterms:created xsi:type="dcterms:W3CDTF">2026-08-06T15:04:00Z</dcterms:created>
  <dcterms:modified xsi:type="dcterms:W3CDTF">2026-08-06T15:05:00Z</dcterms:modified>
</cp:coreProperties>
</file>