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96810"/>
          <w:sz w:val="24"/>
        </w:rPr>
        <w:t>AEGIS OVERSEAS</w:t>
      </w:r>
    </w:p>
    <w:p>
      <w:pPr>
        <w:pStyle w:val="Title"/>
        <w:jc w:val="center"/>
      </w:pPr>
      <w:r>
        <w:t>Course Catalogue &amp; Subject Explorer</w:t>
      </w:r>
    </w:p>
    <w:p>
      <w:pPr>
        <w:jc w:val="center"/>
      </w:pPr>
      <w:r>
        <w:rPr>
          <w:i/>
        </w:rPr>
        <w:t>Implementation specification for the frontend coding agent</w:t>
      </w:r>
    </w:p>
    <w:p>
      <w:r>
        <w:t>Purpose: replace the current sample course cards and unsupported statistics with a subject-first course browsing experience. The site does not yet have verified university-to-course relationships, so it must not pretend to provide exact university matches.</w:t>
      </w:r>
    </w:p>
    <w:p>
      <w:pPr>
        <w:pStyle w:val="Heading1"/>
      </w:pPr>
      <w:r>
        <w:t>1. Non-negotiable project constraints</w:t>
      </w:r>
    </w:p>
    <w:p>
      <w:pPr>
        <w:pStyle w:val="ListBullet"/>
      </w:pPr>
      <w:r>
        <w:t>Keep the existing React/Vite frontend project and current Aegis brand styling: warm white/cream surfaces, navy headings, gold/orange accents, rounded cards, light borders and restrained shadows.</w:t>
      </w:r>
    </w:p>
    <w:p>
      <w:pPr>
        <w:pStyle w:val="ListBullet"/>
      </w:pPr>
      <w:r>
        <w:t>Frontend-only. Do not introduce a backend, database, API server, authentication system or new paid service.</w:t>
      </w:r>
    </w:p>
    <w:p>
      <w:pPr>
        <w:pStyle w:val="ListBullet"/>
      </w:pPr>
      <w:r>
        <w:t>Keep the existing site navigation and existing WhatsApp/enquiry workflow. Do not add a separate Universities item to the main navbar.</w:t>
      </w:r>
    </w:p>
    <w:p>
      <w:pPr>
        <w:pStyle w:val="ListBullet"/>
      </w:pPr>
      <w:r>
        <w:t>Remove the current hardcoded/sample programme results and unsupported metrics from the Courses page. Do not display fabricated counts, fees, scholarships, graduate-work durations, success rates, or university-course matches.</w:t>
      </w:r>
    </w:p>
    <w:p>
      <w:pPr>
        <w:pStyle w:val="ListBullet"/>
      </w:pPr>
      <w:r>
        <w:t>Use the uploaded 'Explore Courses Abroad' document as the source for the 12 subject categories and their example subject areas.</w:t>
      </w:r>
    </w:p>
    <w:p>
      <w:pPr>
        <w:pStyle w:val="ListBullet"/>
      </w:pPr>
      <w:r>
        <w:t>Do not claim that every subject or programme is available in every destination. Explain that availability and eligibility vary by institution, programme and applicant.</w:t>
      </w:r>
    </w:p>
    <w:p>
      <w:pPr>
        <w:pStyle w:val="ListBullet"/>
      </w:pPr>
      <w:r>
        <w:t>Do not invent university relationships. Existing university directory JSON files only identify institutions; they do not prove which courses each institution offers.</w:t>
      </w:r>
    </w:p>
    <w:p>
      <w:pPr>
        <w:pStyle w:val="ListBullet"/>
      </w:pPr>
      <w:r>
        <w:t>Do not change unrelated pages or functionality. Inspect the current implementation first and report the files/components to be changed before making broad refactors.</w:t>
      </w:r>
    </w:p>
    <w:p>
      <w:pPr>
        <w:pStyle w:val="Heading1"/>
      </w:pPr>
      <w:r>
        <w:t>2. User experience and click flow</w:t>
      </w:r>
    </w:p>
    <w:p>
      <w:pPr>
        <w:pStyle w:val="Heading2"/>
      </w:pPr>
      <w:r>
        <w:t>Page A — Explore Courses Abroad (catalogue)</w:t>
      </w:r>
    </w:p>
    <w:p>
      <w:pPr>
        <w:pStyle w:val="ListBullet"/>
      </w:pPr>
      <w:r>
        <w:t>Top: Back to Home link; heading 'Explore Courses Abroad'; supporting line: 'Find a study pathway that suits your academic background, interests, budget and career goals.'</w:t>
      </w:r>
    </w:p>
    <w:p>
      <w:pPr>
        <w:pStyle w:val="ListBullet"/>
      </w:pPr>
      <w:r>
        <w:t>Info strip: 'Explore programmes across the UK, USA, Canada, Australia, New Zealand and European destinations. Availability depends on institution and individual eligibility.'</w:t>
      </w:r>
    </w:p>
    <w:p>
      <w:pPr>
        <w:pStyle w:val="ListBullet"/>
      </w:pPr>
      <w:r>
        <w:t>Search field: search subject categories and course-type names (not individual university listings).</w:t>
      </w:r>
    </w:p>
    <w:p>
      <w:pPr>
        <w:pStyle w:val="ListBullet"/>
      </w:pPr>
      <w:r>
        <w:t>Filters: Study Level (All Study Levels, Foundation/Pathway, Diploma, Bachelor's, Postgraduate Certificate/Diploma, Master's, MBA, Research Degree/PhD) and Destination (All Destinations, UK, USA, Canada, Australia, New Zealand, Europe).</w:t>
      </w:r>
    </w:p>
    <w:p>
      <w:pPr>
        <w:pStyle w:val="ListBullet"/>
      </w:pPr>
      <w:r>
        <w:t>Section heading: 'Popular Subject Areas' and a responsive grid of 12 cards.</w:t>
      </w:r>
    </w:p>
    <w:p>
      <w:pPr>
        <w:pStyle w:val="ListBullet"/>
      </w:pPr>
      <w:r>
        <w:t>Each subject card includes one relevant image, subject title, short description based on the source document, and an 'Explore area →' link.</w:t>
      </w:r>
    </w:p>
    <w:p>
      <w:pPr>
        <w:pStyle w:val="ListBullet"/>
      </w:pPr>
      <w:r>
        <w:t>Bottom guidance strip: explain that counselling considers entry requirements, tuition, language of instruction, course content, location and post-study plans; include 'Book a Course Counselling Session'.</w:t>
      </w:r>
    </w:p>
    <w:p>
      <w:pPr>
        <w:pStyle w:val="Heading2"/>
      </w:pPr>
      <w:r>
        <w:t>Page B — Subject detail page</w:t>
      </w:r>
    </w:p>
    <w:p>
      <w:pPr>
        <w:pStyle w:val="ListBullet"/>
      </w:pPr>
      <w:r>
        <w:t>Clicking 'Explore area →' opens a subject-specific route such as /courses/computing-technology. Use the project's existing routing conventions rather than adding a second router.</w:t>
      </w:r>
    </w:p>
    <w:p>
      <w:pPr>
        <w:pStyle w:val="ListBullet"/>
      </w:pPr>
      <w:r>
        <w:t>Hero: subject image, subject title, concise overview, and destination chips.</w:t>
      </w:r>
    </w:p>
    <w:p>
      <w:pPr>
        <w:pStyle w:val="ListBullet"/>
      </w:pPr>
      <w:r>
        <w:t>Use tabs or sections: Course Options, About the Subject, Career Areas, Study Destinations, and FAQ. Only show sections with meaningful content.</w:t>
      </w:r>
    </w:p>
    <w:p>
      <w:pPr>
        <w:pStyle w:val="ListBullet"/>
      </w:pPr>
      <w:r>
        <w:t>Course Options are general course-type cards, not claims about programmes at named universities. Each card can show course-type name, a short overview and relevant study levels where appropriate.</w:t>
      </w:r>
    </w:p>
    <w:p>
      <w:pPr>
        <w:pStyle w:val="ListBullet"/>
      </w:pPr>
      <w:r>
        <w:t>Example for Computing &amp; Technology: Computer Science, Software Engineering, Artificial Intelligence, Data Science, Cybersecurity.</w:t>
      </w:r>
    </w:p>
    <w:p>
      <w:pPr>
        <w:pStyle w:val="ListBullet"/>
      </w:pPr>
      <w:r>
        <w:t>Provide a clear CTA: 'Enquire About This Course' / 'Find Universities for This Course'. Explain that a counsellor can help identify suitable universities after reviewing the student's profile.</w:t>
      </w:r>
    </w:p>
    <w:p>
      <w:pPr>
        <w:pStyle w:val="ListBullet"/>
      </w:pPr>
      <w:r>
        <w:t>Do not show exact university logos, university matches, fees, intake dates or entry scores unless the data has been specifically verified and stored.</w:t>
      </w:r>
    </w:p>
    <w:p>
      <w:pPr>
        <w:pStyle w:val="Heading2"/>
      </w:pPr>
      <w:r>
        <w:t>Page C — Course enquiry form / WhatsApp handoff</w:t>
      </w:r>
    </w:p>
    <w:p>
      <w:pPr>
        <w:pStyle w:val="ListBullet"/>
      </w:pPr>
      <w:r>
        <w:t>Use the existing Aegis enquiry form and WhatsApp handoff wherever possible; do not build a duplicate workflow.</w:t>
      </w:r>
    </w:p>
    <w:p>
      <w:pPr>
        <w:pStyle w:val="ListBullet"/>
      </w:pPr>
      <w:r>
        <w:t>Prefill the selected subject area and course type in the enquiry message.</w:t>
      </w:r>
    </w:p>
    <w:p>
      <w:pPr>
        <w:pStyle w:val="ListBullet"/>
      </w:pPr>
      <w:r>
        <w:t>Collect only necessary fields: Full Name, Email, Phone Number, Subject Area, Preferred Course Type, Study Level, Preferred Destination, Budget Range (optional), and Message (optional).</w:t>
      </w:r>
    </w:p>
    <w:p>
      <w:pPr>
        <w:pStyle w:val="ListBullet"/>
      </w:pPr>
      <w:r>
        <w:t>Validate required fields, show clear errors, and encode the WhatsApp message safely.</w:t>
      </w:r>
    </w:p>
    <w:p>
      <w:pPr>
        <w:pStyle w:val="ListBullet"/>
      </w:pPr>
      <w:r>
        <w:t>Because wa.me opens WhatsApp with a prepared message, say 'Your enquiry is ready in WhatsApp—tap Send to share it' rather than claiming the message was sent automatically.</w:t>
      </w:r>
    </w:p>
    <w:p>
      <w:pPr>
        <w:pStyle w:val="ListBullet"/>
      </w:pPr>
      <w:r>
        <w:t>Do not expose secrets or API keys in frontend code. No backend is to be added for this task.</w:t>
      </w:r>
    </w:p>
    <w:p>
      <w:pPr>
        <w:pStyle w:val="Heading1"/>
      </w:pPr>
      <w:r>
        <w:t>3. The 12 subject categories from the document</w:t>
      </w:r>
    </w:p>
    <w:p>
      <w:pPr>
        <w:pStyle w:val="Heading2"/>
      </w:pPr>
      <w:r>
        <w:t>Business &amp; Management</w:t>
      </w:r>
    </w:p>
    <w:p>
      <w:r>
        <w:t>Business administration, MBA, marketing, international business and entrepreneurship.</w:t>
      </w:r>
    </w:p>
    <w:p>
      <w:r>
        <w:rPr>
          <w:b/>
        </w:rPr>
        <w:t xml:space="preserve">Example course types: </w:t>
      </w:r>
      <w:r>
        <w:t>Business, MBA, Marketing, International Business, Entrepreneurship</w:t>
      </w:r>
    </w:p>
    <w:p>
      <w:pPr>
        <w:pStyle w:val="Heading2"/>
      </w:pPr>
      <w:r>
        <w:t>Computing &amp; Technology</w:t>
      </w:r>
    </w:p>
    <w:p>
      <w:r>
        <w:t>Computer science, software engineering, artificial intelligence, data science and cybersecurity.</w:t>
      </w:r>
    </w:p>
    <w:p>
      <w:r>
        <w:rPr>
          <w:b/>
        </w:rPr>
        <w:t xml:space="preserve">Example course types: </w:t>
      </w:r>
      <w:r>
        <w:t>Computer Science, Software Engineering, Artificial Intelligence, Data Science, Cybersecurity</w:t>
      </w:r>
    </w:p>
    <w:p>
      <w:pPr>
        <w:pStyle w:val="Heading2"/>
      </w:pPr>
      <w:r>
        <w:t>Engineering</w:t>
      </w:r>
    </w:p>
    <w:p>
      <w:r>
        <w:t>Civil, mechanical, electrical, aerospace, chemical and renewable energy engineering.</w:t>
      </w:r>
    </w:p>
    <w:p>
      <w:r>
        <w:rPr>
          <w:b/>
        </w:rPr>
        <w:t xml:space="preserve">Example course types: </w:t>
      </w:r>
      <w:r>
        <w:t>Civil, Mechanical, Electrical, Aerospace, Chemical, Renewable Energy Engineering</w:t>
      </w:r>
    </w:p>
    <w:p>
      <w:pPr>
        <w:pStyle w:val="Heading2"/>
      </w:pPr>
      <w:r>
        <w:t>Finance &amp; Accounting</w:t>
      </w:r>
    </w:p>
    <w:p>
      <w:r>
        <w:t>Accounting, finance, economics, banking and financial technology.</w:t>
      </w:r>
    </w:p>
    <w:p>
      <w:r>
        <w:rPr>
          <w:b/>
        </w:rPr>
        <w:t xml:space="preserve">Example course types: </w:t>
      </w:r>
      <w:r>
        <w:t>Accounting, Finance, Economics, Banking, Financial Technology</w:t>
      </w:r>
    </w:p>
    <w:p>
      <w:pPr>
        <w:pStyle w:val="Heading2"/>
      </w:pPr>
      <w:r>
        <w:t>Healthcare &amp; Life Sciences</w:t>
      </w:r>
    </w:p>
    <w:p>
      <w:r>
        <w:t>Public health, nursing, pharmacy, biomedical science, biotechnology and healthcare management.</w:t>
      </w:r>
    </w:p>
    <w:p>
      <w:r>
        <w:rPr>
          <w:b/>
        </w:rPr>
        <w:t xml:space="preserve">Example course types: </w:t>
      </w:r>
      <w:r>
        <w:t>Public Health, Nursing, Pharmacy, Biomedical Science, Biotechnology, Healthcare Management</w:t>
      </w:r>
    </w:p>
    <w:p>
      <w:pPr>
        <w:pStyle w:val="Heading2"/>
      </w:pPr>
      <w:r>
        <w:t>Medicine &amp; Dentistry</w:t>
      </w:r>
    </w:p>
    <w:p>
      <w:r>
        <w:t>Medicine, dentistry and related clinical programmes, subject to admission and professional recognition requirements.</w:t>
      </w:r>
    </w:p>
    <w:p>
      <w:r>
        <w:rPr>
          <w:b/>
        </w:rPr>
        <w:t xml:space="preserve">Example course types: </w:t>
      </w:r>
      <w:r>
        <w:t>Medicine, Dentistry, Related Clinical Programmes</w:t>
      </w:r>
    </w:p>
    <w:p>
      <w:pPr>
        <w:pStyle w:val="Heading2"/>
      </w:pPr>
      <w:r>
        <w:t>Hospitality &amp; Tourism</w:t>
      </w:r>
    </w:p>
    <w:p>
      <w:r>
        <w:t>Hospitality management, tourism, event management and culinary arts.</w:t>
      </w:r>
    </w:p>
    <w:p>
      <w:r>
        <w:rPr>
          <w:b/>
        </w:rPr>
        <w:t xml:space="preserve">Example course types: </w:t>
      </w:r>
      <w:r>
        <w:t>Hospitality Management, Tourism, Event Management, Culinary Arts</w:t>
      </w:r>
    </w:p>
    <w:p>
      <w:pPr>
        <w:pStyle w:val="Heading2"/>
      </w:pPr>
      <w:r>
        <w:t>Arts, Design &amp; Media</w:t>
      </w:r>
    </w:p>
    <w:p>
      <w:r>
        <w:t>Graphic design, animation, film, fashion, architecture and communications.</w:t>
      </w:r>
    </w:p>
    <w:p>
      <w:r>
        <w:rPr>
          <w:b/>
        </w:rPr>
        <w:t xml:space="preserve">Example course types: </w:t>
      </w:r>
      <w:r>
        <w:t>Graphic Design, Animation, Film, Fashion, Architecture, Communications</w:t>
      </w:r>
    </w:p>
    <w:p>
      <w:pPr>
        <w:pStyle w:val="Heading2"/>
      </w:pPr>
      <w:r>
        <w:t>Law &amp; Social Sciences</w:t>
      </w:r>
    </w:p>
    <w:p>
      <w:r>
        <w:t>Law, psychology, sociology, international relations and public policy.</w:t>
      </w:r>
    </w:p>
    <w:p>
      <w:r>
        <w:rPr>
          <w:b/>
        </w:rPr>
        <w:t xml:space="preserve">Example course types: </w:t>
      </w:r>
      <w:r>
        <w:t>Law, Psychology, Sociology, International Relations, Public Policy</w:t>
      </w:r>
    </w:p>
    <w:p>
      <w:pPr>
        <w:pStyle w:val="Heading2"/>
      </w:pPr>
      <w:r>
        <w:t>Education</w:t>
      </w:r>
    </w:p>
    <w:p>
      <w:r>
        <w:t>Education studies, teaching-related programmes and educational leadership.</w:t>
      </w:r>
    </w:p>
    <w:p>
      <w:r>
        <w:rPr>
          <w:b/>
        </w:rPr>
        <w:t xml:space="preserve">Example course types: </w:t>
      </w:r>
      <w:r>
        <w:t>Education Studies, Teaching-Related Programmes, Educational Leadership</w:t>
      </w:r>
    </w:p>
    <w:p>
      <w:pPr>
        <w:pStyle w:val="Heading2"/>
      </w:pPr>
      <w:r>
        <w:t>Science &amp; Environment</w:t>
      </w:r>
    </w:p>
    <w:p>
      <w:r>
        <w:t>Mathematics, physics, chemistry, environmental science, sustainability and agriculture.</w:t>
      </w:r>
    </w:p>
    <w:p>
      <w:r>
        <w:rPr>
          <w:b/>
        </w:rPr>
        <w:t xml:space="preserve">Example course types: </w:t>
      </w:r>
      <w:r>
        <w:t>Mathematics, Physics, Chemistry, Environmental Science, Sustainability, Agriculture</w:t>
      </w:r>
    </w:p>
    <w:p>
      <w:pPr>
        <w:pStyle w:val="Heading2"/>
      </w:pPr>
      <w:r>
        <w:t>Logistics &amp; Sport</w:t>
      </w:r>
    </w:p>
    <w:p>
      <w:r>
        <w:t>Supply chain management, logistics, sports science and sports management.</w:t>
      </w:r>
    </w:p>
    <w:p>
      <w:r>
        <w:rPr>
          <w:b/>
        </w:rPr>
        <w:t xml:space="preserve">Example course types: </w:t>
      </w:r>
      <w:r>
        <w:t>Supply Chain Management, Logistics, Sports Science, Sports Management</w:t>
      </w:r>
    </w:p>
    <w:p>
      <w:pPr>
        <w:pStyle w:val="Heading1"/>
      </w:pPr>
      <w:r>
        <w:t>4. Study levels and destination labels</w:t>
      </w:r>
    </w:p>
    <w:p>
      <w:pPr>
        <w:pStyle w:val="Heading2"/>
      </w:pPr>
      <w:r>
        <w:t>Study levels</w:t>
      </w:r>
    </w:p>
    <w:p>
      <w:r>
        <w:t>The source document lists Foundation and pathway programmes, diplomas, bachelor's degrees, postgraduate certificates and diplomas, master's degrees, MBAs, research degrees and PhDs. Use these as browsing filters. Do not imply that every level exists for every subject or destination.</w:t>
      </w:r>
    </w:p>
    <w:p>
      <w:pPr>
        <w:pStyle w:val="Heading2"/>
      </w:pPr>
      <w:r>
        <w:t>Destinations</w:t>
      </w:r>
    </w:p>
    <w:p>
      <w:r>
        <w:t>United Kingdom, United States, Canada, Australia, New Zealand and European destinations.</w:t>
      </w:r>
    </w:p>
    <w:p>
      <w:r>
        <w:t>The source document does not include Germany or Ireland as separate labels in its destination summary, although these can be included only if the existing Aegis destination data/navigation already supports them. Treat 'Europe' as a broad browse label, not one common admissions or visa system.</w:t>
      </w:r>
    </w:p>
    <w:p>
      <w:pPr>
        <w:pStyle w:val="Heading1"/>
      </w:pPr>
      <w:r>
        <w:t>5. Data model (static frontend data)</w:t>
      </w:r>
    </w:p>
    <w:p>
      <w:r>
        <w:t>Create a dedicated static data file (or split files by subject) and make the UI render from it. Suggested location: frontend/src/data/course-catalogue.ts or the closest existing data folder. Adapt to the repository's current conventions after inspection.</w:t>
      </w:r>
    </w:p>
    <w:p>
      <w:pPr>
        <w:pStyle w:val="Heading2"/>
      </w:pPr>
      <w:r>
        <w:t>Suggested subject data shape</w:t>
      </w:r>
    </w:p>
    <w:p>
      <w:pPr>
        <w:pStyle w:val="NoSpacing"/>
      </w:pPr>
      <w:r>
        <w:rPr>
          <w:rFonts w:ascii="Consolas" w:hAnsi="Consolas"/>
          <w:sz w:val="17"/>
        </w:rPr>
        <w:t>export type SubjectCategory = {</w:t>
        <w:br/>
        <w:t xml:space="preserve">  id: string;</w:t>
        <w:br/>
        <w:t xml:space="preserve">  title: string;</w:t>
        <w:br/>
        <w:t xml:space="preserve">  slug: string;</w:t>
        <w:br/>
        <w:t xml:space="preserve">  description: string;</w:t>
        <w:br/>
        <w:t xml:space="preserve">  image: string; // local public asset path</w:t>
        <w:br/>
        <w:t xml:space="preserve">  exampleCourseTypes: Array&lt;{</w:t>
        <w:br/>
        <w:t xml:space="preserve">    id: string;</w:t>
        <w:br/>
        <w:t xml:space="preserve">    title: string;</w:t>
        <w:br/>
        <w:t xml:space="preserve">    description: string;</w:t>
        <w:br/>
        <w:t xml:space="preserve">    studyLevels: string[];</w:t>
        <w:br/>
        <w:t xml:space="preserve">    keywords: string[];</w:t>
        <w:br/>
        <w:t xml:space="preserve">  }&gt;;</w:t>
        <w:br/>
        <w:t xml:space="preserve">  generalCareerAreas?: string[];</w:t>
        <w:br/>
        <w:t xml:space="preserve">  destinationIds: string[]; // browse guidance only; NOT proof of programme availability</w:t>
        <w:br/>
        <w:t>};</w:t>
      </w:r>
    </w:p>
    <w:p>
      <w:pPr>
        <w:pStyle w:val="Heading2"/>
      </w:pPr>
      <w:r>
        <w:t>Data rules</w:t>
      </w:r>
    </w:p>
    <w:p>
      <w:pPr>
        <w:pStyle w:val="ListBullet"/>
      </w:pPr>
      <w:r>
        <w:t>Keep IDs and slugs stable and unique; use readable slugs such as computing-technology and finance-accounting.</w:t>
      </w:r>
    </w:p>
    <w:p>
      <w:pPr>
        <w:pStyle w:val="ListBullet"/>
      </w:pPr>
      <w:r>
        <w:t>Use local image assets in public/images/courses/ when possible; do not embed base64 images or depend on fragile external image URLs.</w:t>
      </w:r>
    </w:p>
    <w:p>
      <w:pPr>
        <w:pStyle w:val="ListBullet"/>
      </w:pPr>
      <w:r>
        <w:t>Course-type descriptions are general educational explanations, not exact programme promises.</w:t>
      </w:r>
    </w:p>
    <w:p>
      <w:pPr>
        <w:pStyle w:val="ListBullet"/>
      </w:pPr>
      <w:r>
        <w:t>Do not attach a universityId to a generic course type. That relationship is unknown until verified.</w:t>
      </w:r>
    </w:p>
    <w:p>
      <w:pPr>
        <w:pStyle w:val="ListBullet"/>
      </w:pPr>
      <w:r>
        <w:t>If later adding verified university programmes, store them in a separate programme dataset with official programme URL, campus, level, fee currency/period, intakes, entry requirements, source URL and last-verified date. Keep missing facts null/unknown, not guessed.</w:t>
      </w:r>
    </w:p>
    <w:p>
      <w:pPr>
        <w:pStyle w:val="Heading1"/>
      </w:pPr>
      <w:r>
        <w:t>6. UI and responsive behavior</w:t>
      </w:r>
    </w:p>
    <w:p>
      <w:pPr>
        <w:pStyle w:val="ListBullet"/>
      </w:pPr>
      <w:r>
        <w:t>Desktop: 3-column subject-card grid, matching the supplied reference image. Keep cards equal-height where practical.</w:t>
      </w:r>
    </w:p>
    <w:p>
      <w:pPr>
        <w:pStyle w:val="ListBullet"/>
      </w:pPr>
      <w:r>
        <w:t>Tablet: 2-column grid. Mobile: 1-column grid with readable image crop and comfortable tap targets.</w:t>
      </w:r>
    </w:p>
    <w:p>
      <w:pPr>
        <w:pStyle w:val="ListBullet"/>
      </w:pPr>
      <w:r>
        <w:t>Use the existing Aegis palette: cream/white background, navy headings, gold/orange actions, subtle border and shadows.</w:t>
      </w:r>
    </w:p>
    <w:p>
      <w:pPr>
        <w:pStyle w:val="ListBullet"/>
      </w:pPr>
      <w:r>
        <w:t>Images should be consistent in aspect ratio (approximately 16:7 or 5:3), use object-fit: cover, and have meaningful alt text.</w:t>
      </w:r>
    </w:p>
    <w:p>
      <w:pPr>
        <w:pStyle w:val="ListBullet"/>
      </w:pPr>
      <w:r>
        <w:t>Search and filters must actually filter the displayed subject/course-type data; clearing filters restores all categories.</w:t>
      </w:r>
    </w:p>
    <w:p>
      <w:pPr>
        <w:pStyle w:val="ListBullet"/>
      </w:pPr>
      <w:r>
        <w:t>Provide empty state copy: 'No subject areas match your search. Try another keyword or clear the filters.'</w:t>
      </w:r>
    </w:p>
    <w:p>
      <w:pPr>
        <w:pStyle w:val="ListBullet"/>
      </w:pPr>
      <w:r>
        <w:t>Keyboard accessibility: visible focus, semantic buttons/links, labels for form controls, adequate contrast and keyboard-operable menus.</w:t>
      </w:r>
    </w:p>
    <w:p>
      <w:pPr>
        <w:pStyle w:val="ListBullet"/>
      </w:pPr>
      <w:r>
        <w:t>Avoid horizontal overflow, especially for destination chips, filters and the WhatsApp widget.</w:t>
      </w:r>
    </w:p>
    <w:p>
      <w:pPr>
        <w:pStyle w:val="Heading1"/>
      </w:pPr>
      <w:r>
        <w:t>7. Content accuracy and disclaimers</w:t>
      </w:r>
    </w:p>
    <w:p>
      <w:pPr>
        <w:pStyle w:val="ListBullet"/>
      </w:pPr>
      <w:r>
        <w:t>Use the document's caveat: programme availability varies by institution and destination; admission is not guaranteed.</w:t>
      </w:r>
    </w:p>
    <w:p>
      <w:pPr>
        <w:pStyle w:val="ListBullet"/>
      </w:pPr>
      <w:r>
        <w:t>For regulated professions such as medicine, nursing, law, teaching and architecture, state that students must separately check recognition and licensing in the country where they intend to practise.</w:t>
      </w:r>
    </w:p>
    <w:p>
      <w:pPr>
        <w:pStyle w:val="ListBullet"/>
      </w:pPr>
      <w:r>
        <w:t>Do not use unsupported page metrics such as '850+ verified degree programmes', '100% free profile evaluation', '£5K–£20K scholarships', or '3 Years Post-Study Work Permits' unless the business supplies current, documented evidence and approves exact wording.</w:t>
      </w:r>
    </w:p>
    <w:p>
      <w:pPr>
        <w:pStyle w:val="ListBullet"/>
      </w:pPr>
      <w:r>
        <w:t>Do not promise admission, scholarships, visas, jobs, post-study work eligibility or permanent residence.</w:t>
      </w:r>
    </w:p>
    <w:p>
      <w:pPr>
        <w:pStyle w:val="ListBullet"/>
      </w:pPr>
      <w:r>
        <w:t>Keep general career areas framed as examples, not guarantees of employment.</w:t>
      </w:r>
    </w:p>
    <w:p>
      <w:pPr>
        <w:pStyle w:val="Heading1"/>
      </w:pPr>
      <w:r>
        <w:t>8. Acceptance checklist</w:t>
      </w:r>
    </w:p>
    <w:p>
      <w:pPr>
        <w:pStyle w:val="ListBullet"/>
      </w:pPr>
      <w:r>
        <w:t>☐ Current hardcoded sample programme results and unsupported metrics are removed.</w:t>
      </w:r>
    </w:p>
    <w:p>
      <w:pPr>
        <w:pStyle w:val="ListBullet"/>
      </w:pPr>
      <w:r>
        <w:t>☐ All 12 source-derived subject categories appear with accurate descriptions.</w:t>
      </w:r>
    </w:p>
    <w:p>
      <w:pPr>
        <w:pStyle w:val="ListBullet"/>
      </w:pPr>
      <w:r>
        <w:t>☐ Search, study-level filter and destination filter work together.</w:t>
      </w:r>
    </w:p>
    <w:p>
      <w:pPr>
        <w:pStyle w:val="ListBullet"/>
      </w:pPr>
      <w:r>
        <w:t>☐ Each 'Explore area' link opens the correct subject detail page.</w:t>
      </w:r>
    </w:p>
    <w:p>
      <w:pPr>
        <w:pStyle w:val="ListBullet"/>
      </w:pPr>
      <w:r>
        <w:t>☐ Subject detail page shows general course types and explanatory information without fabricated university matches.</w:t>
      </w:r>
    </w:p>
    <w:p>
      <w:pPr>
        <w:pStyle w:val="ListBullet"/>
      </w:pPr>
      <w:r>
        <w:t>☐ Enquiry CTA passes selected subject/course context into the existing WhatsApp flow.</w:t>
      </w:r>
    </w:p>
    <w:p>
      <w:pPr>
        <w:pStyle w:val="ListBullet"/>
      </w:pPr>
      <w:r>
        <w:t>☐ No backend/database/API is added.</w:t>
      </w:r>
    </w:p>
    <w:p>
      <w:pPr>
        <w:pStyle w:val="ListBullet"/>
      </w:pPr>
      <w:r>
        <w:t>☐ No new main-navbar Universities tab is added.</w:t>
      </w:r>
    </w:p>
    <w:p>
      <w:pPr>
        <w:pStyle w:val="ListBullet"/>
      </w:pPr>
      <w:r>
        <w:t>☐ Responsive desktop/tablet/mobile layouts work.</w:t>
      </w:r>
    </w:p>
    <w:p>
      <w:pPr>
        <w:pStyle w:val="ListBullet"/>
      </w:pPr>
      <w:r>
        <w:t>☐ Empty states, form validation, keyboard focus and accessible labels are tested.</w:t>
      </w:r>
    </w:p>
    <w:p>
      <w:pPr>
        <w:pStyle w:val="ListBullet"/>
      </w:pPr>
      <w:r>
        <w:t>☐ Missing/unverified university-course data is clearly treated as unknown, never fabricated.</w:t>
      </w:r>
    </w:p>
    <w:p>
      <w:pPr>
        <w:pStyle w:val="Heading1"/>
      </w:pPr>
      <w:r>
        <w:t>9. Copy-and-paste instruction for the coding agent</w:t>
      </w:r>
    </w:p>
    <w:p>
      <w:r>
        <w:rPr>
          <w:rFonts w:ascii="Consolas" w:hAnsi="Consolas"/>
          <w:sz w:val="17"/>
        </w:rPr>
        <w:t>Read this specification completely before changing code. First inspect the existing Aegis Overseas React/Vite project, the current Courses page, router, existing course/enquiry components, university data files, image assets, and WhatsApp submission flow. Report the exact files you plan to modify, then implement the subject-first course catalogue described here.</w:t>
        <w:br/>
        <w:br/>
        <w:t>Remove the current hardcoded/sample programme cards and unsupported statistics. Build the catalogue from static local data based on the 12 subject categories in this document. Each category card must have a relevant image, title, short description and Explore area link. Clicking Explore area opens a subject detail page with general course-type cards, destination browsing guidance, about/career/FAQ sections where appropriate, and an Enquire About This Course CTA.</w:t>
        <w:br/>
        <w:br/>
        <w:t>We do not currently have verified university-to-course relationships. Do not invent or infer that a university offers a particular course. Do not show fabricated course counts, fees, intakes, scholarships, eligibility scores, work permits, university matches or success percentages. Keep generic course types separate from university directory records. University-specific programme information can be added later after verification.</w:t>
        <w:br/>
        <w:br/>
        <w:t>Reuse the existing Aegis design system and existing WhatsApp enquiry workflow. Prefill the selected subject and course type in the enquiry. Keep the project frontend-only: do not add a backend, database, API server or new main-navbar Universities tab. Preserve unrelated functionality. Make the page responsive, accessible, and functional, and test search, combined filters, route navigation, enquiry validation and mobile layouts. At the end, report files changed, data files created, behavior implemented, tests performed, and any information still needing client confirmation.</w:t>
      </w:r>
    </w:p>
    <w:p>
      <w:pPr>
        <w:pStyle w:val="Heading1"/>
      </w:pPr>
      <w:r>
        <w:t>10. Source basis and limits</w:t>
      </w:r>
    </w:p>
    <w:p>
      <w:r>
        <w:t>This specification uses the user's uploaded 'Explore Courses Abroad' document for the subject categories, study levels, destination summary, counselling considerations and disclaimers. The interaction design and static-data model are implementation recommendations. The source document does not provide a verified university-by-course mapping, programme-specific fees, intakes, or entry requirements.</w:t>
      </w:r>
    </w:p>
    <w:p>
      <w:r>
        <w:t>Source file: Explore Courses Abroad (user-provided). This document is a build specification, not a verified university programme catalogue.</w:t>
      </w:r>
    </w:p>
    <w:p>
      <w:pPr>
        <w:pStyle w:val="Heading1"/>
      </w:pPr>
      <w:r>
        <w:t>Appendix — Visual reference</w:t>
      </w:r>
    </w:p>
    <w:p>
      <w:r>
        <w:t>Use the supplied reference mockup as a layout guide, not as literal programme data.</w:t>
      </w:r>
    </w:p>
    <w:p>
      <w:pPr>
        <w:jc w:val="center"/>
      </w:pPr>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wide_clean_ui_ux_mockup_infographic_collage_on_a.png"/>
                    <pic:cNvPicPr/>
                  </pic:nvPicPr>
                  <pic:blipFill>
                    <a:blip r:embed="rId9"/>
                    <a:stretch>
                      <a:fillRect/>
                    </a:stretch>
                  </pic:blipFill>
                  <pic:spPr>
                    <a:xfrm>
                      <a:off x="0" y="0"/>
                      <a:ext cx="6217920" cy="4145280"/>
                    </a:xfrm>
                    <a:prstGeom prst="rect"/>
                  </pic:spPr>
                </pic:pic>
              </a:graphicData>
            </a:graphic>
          </wp:inline>
        </w:drawing>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74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C1C3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9681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C1C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C1C3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