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38"/>
          <w:szCs w:val="38"/>
        </w:rPr>
        <w:t xml:space="preserve">IT Support Agent: diagrams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RAG knowledge service consumed as a tool by a LangGraph triage agent</w:t>
      </w:r>
    </w:p>
    <w:p>
      <w:pPr>
        <w:pStyle w:val="Heading1"/>
        <w:spacing w:after="100"/>
      </w:pPr>
      <w:r>
        <w:t xml:space="preserve">1. System architecture</w:t>
      </w:r>
    </w:p>
    <w:p>
      <w:pPr>
        <w:spacing w:after="160" w:before="120"/>
        <w:jc w:val="center"/>
      </w:pPr>
      <w:r>
        <w:drawing>
          <wp:inline distT="0" distB="0" distL="0" distR="0">
            <wp:extent cx="6667500" cy="468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Layers top to bottom: </w:t>
      </w:r>
      <w:r>
        <w:t xml:space="preserve">what you run, the agent, the knowledge service it calls as a tool, the shared core, and one Postgres database.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One database, not two. </w:t>
      </w:r>
      <w:r>
        <w:t xml:space="preserve">The dense vectors and the lexical tsvector live on the same chunks table, so there is no separate search engine to run or keep in sync.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owner on the documents table drives routing. </w:t>
      </w:r>
      <w:r>
        <w:t xml:space="preserve">Adding a document teaches the agent a new queue to route to, with no code change.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PROVIDER=fake </w:t>
      </w:r>
      <w:r>
        <w:t xml:space="preserve">swaps out both external dependencies, so the whole pipeline runs offline at zero cost.</w:t>
      </w:r>
    </w:p>
    <w:p>
      <w:r>
        <w:br w:type="page"/>
      </w:r>
    </w:p>
    <w:p>
      <w:pPr>
        <w:pStyle w:val="Heading1"/>
        <w:spacing w:after="100"/>
      </w:pPr>
      <w:r>
        <w:t xml:space="preserve">2. Ticket flow</w:t>
      </w:r>
    </w:p>
    <w:p>
      <w:pPr>
        <w:spacing w:after="160" w:before="120"/>
        <w:jc w:val="center"/>
      </w:pPr>
      <w:r>
        <w:drawing>
          <wp:inline distT="0" distB="0" distL="0" distR="0">
            <wp:extent cx="6286500" cy="487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Every arrow is labelled with the data that moves along it, </w:t>
      </w:r>
      <w:r>
        <w:t xml:space="preserve">so the diagram doubles as the state contract between nodes.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The planner decides which tools are needed </w:t>
      </w:r>
      <w:r>
        <w:t xml:space="preserve">rather than calling both every time. It is also the cheapest place to be wrong.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The queue is not chosen by the model. </w:t>
      </w:r>
      <w:r>
        <w:t xml:space="preserve">It comes from the owner of the document retrieval actually found, so routing is grounded in evidence.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Auto-resolve requires all five conditions. </w:t>
      </w:r>
      <w:r>
        <w:t xml:space="preserve">The first of them depends on the knowledge tool returning NOT_COVERED when the corpus is silent, instead of inventing a plausible answer.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The graph has no send step. </w:t>
      </w:r>
      <w:r>
        <w:t xml:space="preserve">It writes a draft with status pending and stops. A decided draft cannot be decided again.</w:t>
      </w:r>
    </w:p>
    <w:p>
      <w:pPr>
        <w:spacing w:before="300"/>
      </w:pPr>
      <w:r>
        <w:rPr>
          <w:i/>
          <w:iCs/>
          <w:color w:val="666666"/>
          <w:sz w:val="19"/>
          <w:szCs w:val="19"/>
        </w:rPr>
        <w:t xml:space="preserve">Source files: docs/diagrams/architecture.svg and flow.svg are editable vectors. The PNGs are 2x resolution for slides and print.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1428a8a59d27ddd3be7eea967794e77db56659c.png"/><Relationship Id="rId8" Type="http://schemas.openxmlformats.org/officeDocument/2006/relationships/image" Target="media/ebb0979fb5e077debcaf4f751092dfb7e83d412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2026-10-08T11:31:45.566Z</dcterms:created>
  <dcterms:modified xsi:type="dcterms:W3CDTF">2026-10-08T11:31:45.566Z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