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6"/>
          <w:szCs w:val="36"/>
        </w:rPr>
        <w:t xml:space="preserve">Digital Sovereignty for Nepal</w:t>
      </w:r>
    </w:p>
    <w:p>
      <w:pPr>
        <w:spacing w:after="280"/>
        <w:jc w:val="center"/>
      </w:pPr>
      <w:r>
        <w:rPr>
          <w:rFonts w:ascii="Cambria" w:cs="Cambria" w:eastAsia="Cambria" w:hAnsi="Cambria"/>
          <w:i/>
          <w:iCs/>
          <w:color w:val="444444"/>
          <w:sz w:val="24"/>
          <w:szCs w:val="24"/>
        </w:rPr>
        <w:t xml:space="preserve">Managing Strategic Digital Dependence in Data, Platforms, Cloud and Artificial Intelligence</w:t>
      </w:r>
    </w:p>
    <w:p>
      <w:pPr>
        <w:spacing w:after="100" w:before="120"/>
      </w:pPr>
      <w:r>
        <w:rPr>
          <w:rFonts w:ascii="Cambria" w:cs="Cambria" w:eastAsia="Cambria" w:hAnsi="Cambria"/>
          <w:b/>
          <w:bCs/>
          <w:sz w:val="24"/>
          <w:szCs w:val="24"/>
        </w:rPr>
        <w:t xml:space="preserve">Abstract</w:t>
      </w:r>
    </w:p>
    <w:p>
      <w:pPr>
        <w:spacing w:after="160" w:line="276"/>
        <w:jc w:val="both"/>
      </w:pPr>
      <w:r>
        <w:rPr>
          <w:rFonts w:ascii="Cambria" w:cs="Cambria" w:eastAsia="Cambria" w:hAnsi="Cambria"/>
          <w:sz w:val="22"/>
          <w:szCs w:val="22"/>
        </w:rPr>
        <w:t>Nepal is becoming more digital. Public services, payments, identity systems, government databases, cloud services, social platforms and artificial intelligence are now part of daily life. This creates many benefits. It also creates new forms of dependence. Many important technologies used in Nepal are developed, hosted or controlled outside the country. This is not always a problem. It becomes a sovereignty problem when Nepal cannot protect important data, keep an essential service running, change a provider, investigate a harmful system, enforce its law or protect citizens' rights.</w:t>
      </w:r>
    </w:p>
    <w:p>
      <w:pPr>
        <w:spacing w:after="160" w:line="276"/>
        <w:jc w:val="both"/>
      </w:pPr>
      <w:r>
        <w:rPr>
          <w:rFonts w:ascii="Cambria" w:cs="Cambria" w:eastAsia="Cambria" w:hAnsi="Cambria"/>
          <w:sz w:val="22"/>
          <w:szCs w:val="22"/>
        </w:rPr>
        <w:t>This paper looks at digital sovereignty from Nepal's point of view. It asks three simple questions: What should Nepal control directly? Where is dependence on global providers acceptable? What safeguards are needed when that dependence becomes important? The paper uses international research, Nepal's laws and policies, digital-use data and current digital projects. Nepal already has useful foundations in privacy, cybersecurity, social-media regulation, cloud regulation, AI policy, payments and Digital Public Infrastructure. However, these areas are still handled separately.</w:t>
      </w:r>
    </w:p>
    <w:p>
      <w:pPr>
        <w:spacing w:after="160" w:line="276"/>
        <w:jc w:val="both"/>
      </w:pPr>
      <w:r>
        <w:rPr>
          <w:rFonts w:ascii="Cambria" w:cs="Cambria" w:eastAsia="Cambria" w:hAnsi="Cambria"/>
          <w:sz w:val="22"/>
          <w:szCs w:val="22"/>
        </w:rPr>
        <w:t>The paper proposes a Nepal Digital Sovereignty Framework (NDSF). It looks at six areas and applies five tests: criticality, data sensitivity, external dependency, replaceability and accountability. The aim is to decide how much protection or control a system needs. The main idea is simple: Nepal does not need to build every technology itself. It needs enough power to make important digital decisions. The practical goal is controlled, transparent and resilient digital interdependence.</w:t>
      </w:r>
    </w:p>
    <w:p>
      <w:pPr>
        <w:spacing w:after="300" w:before="60"/>
        <w:jc w:val="both"/>
      </w:pPr>
      <w:r>
        <w:rPr>
          <w:rFonts w:ascii="Cambria" w:cs="Cambria" w:eastAsia="Cambria" w:hAnsi="Cambria"/>
          <w:b/>
          <w:bCs/>
          <w:sz w:val="22"/>
          <w:szCs w:val="22"/>
        </w:rPr>
        <w:t xml:space="preserve">Keywords: </w:t>
      </w:r>
      <w:r>
        <w:rPr>
          <w:rFonts w:ascii="Cambria" w:cs="Cambria" w:eastAsia="Cambria" w:hAnsi="Cambria"/>
          <w:i/>
          <w:iCs/>
          <w:sz w:val="22"/>
          <w:szCs w:val="22"/>
        </w:rPr>
        <w:t xml:space="preserve">Digital Sovereignty; Nepal; Strategic Digital Dependence; Data Sovereignty; Cloud Sovereignty; Digital Public Infrastructure; Artificial Intelligence; Platform Governance; Cybersecurity</w:t>
      </w:r>
    </w:p>
    <w:p>
      <w:pPr>
        <w:pBdr>
          <w:bottom w:val="single" w:color="999999" w:sz="6" w:space="1"/>
        </w:pBdr>
        <w:spacing w:after="200"/>
      </w:pPr>
    </w:p>
    <w:p>
      <w:pPr>
        <w:pStyle w:val="Heading1"/>
        <w:spacing w:after="160" w:before="360"/>
      </w:pPr>
      <w:r>
        <w:rPr>
          <w:rFonts w:ascii="Cambria" w:cs="Cambria" w:eastAsia="Cambria" w:hAnsi="Cambria"/>
          <w:b/>
          <w:bCs/>
          <w:sz w:val="26"/>
          <w:szCs w:val="26"/>
        </w:rPr>
        <w:t xml:space="preserve">1. Introduction</w:t>
      </w:r>
    </w:p>
    <w:p>
      <w:pPr>
        <w:spacing w:after="160" w:line="276"/>
        <w:jc w:val="both"/>
      </w:pPr>
      <w:r>
        <w:rPr>
          <w:rFonts w:ascii="Cambria" w:cs="Cambria" w:eastAsia="Cambria" w:hAnsi="Cambria"/>
          <w:sz w:val="22"/>
          <w:szCs w:val="22"/>
        </w:rPr>
        <w:t>Digital sovereignty is becoming important for Nepal because the country is becoming more digital and more dependent on outside technology at the same time. Government services use digital infrastructure. Financial activity uses digital payments. Citizens use global communication and social-media platforms. Organisations use cloud services. AI adds another layer of dependence on foreign models, computing systems and technology providers.</w:t>
      </w:r>
    </w:p>
    <w:p>
      <w:pPr>
        <w:spacing w:after="160" w:line="276"/>
        <w:jc w:val="both"/>
      </w:pPr>
      <w:r>
        <w:rPr>
          <w:rFonts w:ascii="Cambria" w:cs="Cambria" w:eastAsia="Cambria" w:hAnsi="Cambria"/>
          <w:sz w:val="22"/>
          <w:szCs w:val="22"/>
        </w:rPr>
        <w:t>This changes the meaning of national control. In the physical world, sovereignty is linked to territory, institutions and law. In the digital world, an important national service may use foreign software, foreign infrastructure, data stored in another country and algorithms Nepal cannot inspect. The service may work for Nepal, but Nepal may not fully control how it works. This is the main problem discussed in this paper.</w:t>
      </w:r>
    </w:p>
    <w:p>
      <w:pPr>
        <w:pStyle w:val="Heading2"/>
        <w:spacing w:after="120" w:before="240"/>
      </w:pPr>
      <w:r>
        <w:rPr>
          <w:rFonts w:ascii="Cambria" w:cs="Cambria" w:eastAsia="Cambria" w:hAnsi="Cambria"/>
          <w:b/>
          <w:bCs/>
          <w:i/>
          <w:iCs/>
          <w:sz w:val="23"/>
          <w:szCs w:val="23"/>
        </w:rPr>
        <w:t xml:space="preserve">1.1 Why the Question Is Becoming Important Now</w:t>
      </w:r>
    </w:p>
    <w:p>
      <w:pPr>
        <w:spacing w:after="160" w:line="276"/>
        <w:jc w:val="both"/>
      </w:pPr>
      <w:r>
        <w:rPr>
          <w:rFonts w:ascii="Cambria" w:cs="Cambria" w:eastAsia="Cambria" w:hAnsi="Cambria"/>
          <w:sz w:val="22"/>
          <w:szCs w:val="22"/>
        </w:rPr>
        <w:t>Nepal's digital systems are now important enough that failures can affect the country. By mid-January 2026, Nepal Rastra Bank reported more than 27.1 million wallet accounts, 29 million mobile-banking registrations and almost 14 million debit cards. These numbers are registrations, not unique users. Even so, they show that digital payments are now an important part of Nepal's economy. [1]</w:t>
      </w:r>
      <w:r>
        <w:rPr>
          <w:rFonts w:ascii="Cambria" w:cs="Cambria" w:eastAsia="Cambria" w:hAnsi="Cambria"/>
          <w:sz w:val="18"/>
          <w:szCs w:val="18"/>
          <w:vertAlign w:val="superscript"/>
        </w:rPr>
      </w:r>
    </w:p>
    <w:p>
      <w:pPr>
        <w:spacing w:after="160" w:line="276"/>
        <w:jc w:val="both"/>
      </w:pPr>
      <w:r>
        <w:rPr>
          <w:rFonts w:ascii="Cambria" w:cs="Cambria" w:eastAsia="Cambria" w:hAnsi="Cambria"/>
          <w:sz w:val="22"/>
          <w:szCs w:val="22"/>
        </w:rPr>
        <w:t>Digital dependence is also clear in communication and information use. DataReportal estimated 16.6 million internet users in Nepal in October 2025, about 56 percent of the population. It also estimated 14.8 million social-media user identities. These are estimates, not counts of unique people. [8]</w:t>
      </w:r>
    </w:p>
    <w:p>
      <w:pPr>
        <w:spacing w:after="160" w:line="276"/>
        <w:jc w:val="both"/>
      </w:pPr>
      <w:r>
        <w:rPr>
          <w:rFonts w:ascii="Cambria" w:cs="Cambria" w:eastAsia="Cambria" w:hAnsi="Cambria"/>
          <w:sz w:val="22"/>
          <w:szCs w:val="22"/>
        </w:rPr>
        <w:t>The government is also building more connected digital systems. In February 2026, the World Bank approved US$50 million for the Nepal Digital Transformation Project. The project includes a government-wide data exchange, an integrated citizen-service portal, a social registry, digital credentials, a digital wallet, electronic signatures, cybersecurity and data-governance measures. [2]</w:t>
      </w:r>
      <w:r>
        <w:rPr>
          <w:rFonts w:ascii="Cambria" w:cs="Cambria" w:eastAsia="Cambria" w:hAnsi="Cambria"/>
          <w:sz w:val="18"/>
          <w:szCs w:val="18"/>
          <w:vertAlign w:val="superscript"/>
        </w:rPr>
      </w:r>
    </w:p>
    <w:p>
      <w:pPr>
        <w:spacing w:after="160" w:line="276"/>
        <w:jc w:val="both"/>
      </w:pPr>
      <w:r>
        <w:rPr>
          <w:rFonts w:ascii="Cambria" w:cs="Cambria" w:eastAsia="Cambria" w:hAnsi="Cambria"/>
          <w:sz w:val="22"/>
          <w:szCs w:val="22"/>
        </w:rPr>
        <w:t>These projects increase Nepal's digital capacity. They also create important sovereignty questions. Who controls the data? Who controls the infrastructure? Who can access the system? What happens if a provider fails? Can Nepal move to another provider? Which country's law applies? Can Nepal investigate a failure? Can a citizen challenge an automated decision? These are digital sovereignty questions.</w:t>
      </w:r>
    </w:p>
    <w:p>
      <w:pPr>
        <w:pStyle w:val="Heading1"/>
        <w:spacing w:after="160" w:before="360"/>
      </w:pPr>
      <w:r>
        <w:rPr>
          <w:rFonts w:ascii="Cambria" w:cs="Cambria" w:eastAsia="Cambria" w:hAnsi="Cambria"/>
          <w:b/>
          <w:bCs/>
          <w:sz w:val="26"/>
          <w:szCs w:val="26"/>
        </w:rPr>
        <w:t xml:space="preserve">2. Defining Digital Sovereignty for Nepal</w:t>
      </w:r>
    </w:p>
    <w:p>
      <w:pPr>
        <w:spacing w:after="160" w:line="276"/>
        <w:jc w:val="both"/>
      </w:pPr>
      <w:r>
        <w:rPr>
          <w:rFonts w:ascii="Cambria" w:cs="Cambria" w:eastAsia="Cambria" w:hAnsi="Cambria"/>
          <w:sz w:val="22"/>
          <w:szCs w:val="22"/>
        </w:rPr>
        <w:t>Digital sovereignty is sometimes explained as keeping all data inside a country or replacing foreign technology with local technology. That is too narrow for Nepal. Nepal cannot realistically build every cloud platform, semiconductor, operating system, social platform or advanced AI model. It does not need to. For Nepal, digital sovereignty is better understood as control over important dependence, not freedom from all dependence.</w:t>
      </w:r>
    </w:p>
    <w:p>
      <w:pPr>
        <w:pBdr>
          <w:left w:val="single" w:color="666666" w:sz="12" w:space="8"/>
        </w:pBdr>
        <w:spacing w:after="200" w:before="120"/>
        <w:ind w:left="480" w:right="480"/>
        <w:jc w:val="both"/>
      </w:pPr>
      <w:r>
        <w:rPr>
          <w:rFonts w:ascii="Cambria" w:cs="Cambria" w:eastAsia="Cambria" w:hAnsi="Cambria"/>
          <w:i/>
          <w:iCs/>
          <w:sz w:val="22"/>
          <w:szCs w:val="22"/>
        </w:rPr>
        <w:t>Digital sovereignty is the ability of Nepal and its citizens to make meaningful decisions about important digital data, systems, infrastructure and technologies, even when some parts depend on outside providers.</w:t>
      </w:r>
    </w:p>
    <w:p>
      <w:pPr>
        <w:spacing w:after="160" w:line="276"/>
        <w:jc w:val="both"/>
      </w:pPr>
      <w:r>
        <w:rPr>
          <w:rFonts w:ascii="Cambria" w:cs="Cambria" w:eastAsia="Cambria" w:hAnsi="Cambria"/>
          <w:sz w:val="22"/>
          <w:szCs w:val="22"/>
        </w:rPr>
        <w:t>Digital independence and digital sovereignty are different. Digital independence asks: can Nepal build and run the technology itself? Digital sovereignty asks: can Nepal still make important decisions about the technology when needed? A government system can use an international cloud provider and still keep reasonable sovereignty if Nepal controls its data, can audit the service, can move its data, has backup options and has enforceable legal rights. A system hosted inside Nepal can still have weak sovereignty if it depends fully on one foreign supplier or technology that Nepal cannot replace.</w:t>
      </w:r>
    </w:p>
    <w:p>
      <w:pPr>
        <w:pBdr>
          <w:left w:val="single" w:color="666666" w:sz="12" w:space="8"/>
        </w:pBdr>
        <w:spacing w:after="200" w:before="120"/>
        <w:ind w:left="480" w:right="480"/>
        <w:jc w:val="both"/>
      </w:pPr>
      <w:r>
        <w:rPr>
          <w:rFonts w:ascii="Cambria" w:cs="Cambria" w:eastAsia="Cambria" w:hAnsi="Cambria"/>
          <w:i/>
          <w:iCs/>
          <w:sz w:val="22"/>
          <w:szCs w:val="22"/>
        </w:rPr>
        <w:t>Server location matters, but real control matters more.</w:t>
      </w:r>
    </w:p>
    <w:p>
      <w:pPr>
        <w:pStyle w:val="Heading2"/>
        <w:spacing w:after="120" w:before="240"/>
      </w:pPr>
      <w:r>
        <w:rPr>
          <w:rFonts w:ascii="Cambria" w:cs="Cambria" w:eastAsia="Cambria" w:hAnsi="Cambria"/>
          <w:b/>
          <w:bCs/>
          <w:i/>
          <w:iCs/>
          <w:sz w:val="23"/>
          <w:szCs w:val="23"/>
        </w:rPr>
        <w:t>2.1 Conceptual and Analytical Basis</w:t>
      </w:r>
    </w:p>
    <w:p>
      <w:pPr>
        <w:spacing w:after="160" w:line="276"/>
        <w:jc w:val="both"/>
      </w:pPr>
      <w:r>
        <w:rPr>
          <w:rFonts w:ascii="Cambria" w:cs="Cambria" w:eastAsia="Cambria" w:hAnsi="Cambria"/>
          <w:sz w:val="22"/>
          <w:szCs w:val="22"/>
        </w:rPr>
        <w:t>International research shows that digital sovereignty is broader than control over physical territory. Couture and Toupin link it to independence, control and autonomy over digital infrastructure, technology and data. [9] A 2024 review of 271 research papers found several models of digital sovereignty, including rights-based, market-based, centralised and state-based models. [10]</w:t>
      </w:r>
    </w:p>
    <w:p>
      <w:pPr>
        <w:spacing w:after="160" w:line="276"/>
        <w:jc w:val="both"/>
      </w:pPr>
      <w:r>
        <w:rPr>
          <w:rFonts w:ascii="Cambria" w:cs="Cambria" w:eastAsia="Cambria" w:hAnsi="Cambria"/>
          <w:sz w:val="22"/>
          <w:szCs w:val="22"/>
        </w:rPr>
        <w:t>This supports a Nepal-specific approach. More state control is not always better. The NDSF therefore looks at national resilience, citizen rights, outside dependence and practical technology choices together.</w:t>
      </w:r>
    </w:p>
    <w:p>
      <w:pPr>
        <w:pStyle w:val="Heading2"/>
        <w:spacing w:after="120" w:before="240"/>
      </w:pPr>
      <w:r>
        <w:rPr>
          <w:rFonts w:ascii="Cambria" w:cs="Cambria" w:eastAsia="Cambria" w:hAnsi="Cambria"/>
          <w:b/>
          <w:bCs/>
          <w:i/>
          <w:iCs/>
          <w:sz w:val="23"/>
          <w:szCs w:val="23"/>
        </w:rPr>
        <w:t>2.2 Research Approach and Scope</w:t>
      </w:r>
    </w:p>
    <w:p>
      <w:pPr>
        <w:spacing w:after="160" w:line="276"/>
        <w:jc w:val="both"/>
      </w:pPr>
      <w:r>
        <w:rPr>
          <w:rFonts w:ascii="Cambria" w:cs="Cambria" w:eastAsia="Cambria" w:hAnsi="Cambria"/>
          <w:sz w:val="22"/>
          <w:szCs w:val="22"/>
        </w:rPr>
        <w:t>This paper uses a qualitative technical-policy approach. It uses peer-reviewed research, official Nepal laws and policies, public project documents and selected digital-use data. It separates confirmed facts from analysis and from proposals made by this paper.</w:t>
      </w:r>
    </w:p>
    <w:p>
      <w:pPr>
        <w:spacing w:after="160" w:line="276"/>
        <w:jc w:val="both"/>
      </w:pPr>
      <w:r>
        <w:rPr>
          <w:rFonts w:ascii="Cambria" w:cs="Cambria" w:eastAsia="Cambria" w:hAnsi="Cambria"/>
          <w:sz w:val="22"/>
          <w:szCs w:val="22"/>
        </w:rPr>
        <w:t>The NDSF is a proposed decision framework. It is meant to organise evidence and guide future assessment. It still needs validation through expert review, institutional data and testing on real systems.</w:t>
      </w:r>
    </w:p>
    <w:p>
      <w:pPr>
        <w:pStyle w:val="Heading1"/>
        <w:spacing w:after="160" w:before="360"/>
      </w:pPr>
      <w:r>
        <w:rPr>
          <w:rFonts w:ascii="Cambria" w:cs="Cambria" w:eastAsia="Cambria" w:hAnsi="Cambria"/>
          <w:b/>
          <w:bCs/>
          <w:sz w:val="26"/>
          <w:szCs w:val="26"/>
        </w:rPr>
        <w:t xml:space="preserve">3. Dimensions of Strategic Digital Dependence</w:t>
      </w:r>
    </w:p>
    <w:p>
      <w:pPr>
        <w:spacing w:after="160" w:line="276"/>
        <w:jc w:val="both"/>
      </w:pPr>
      <w:r>
        <w:rPr>
          <w:rFonts w:ascii="Cambria" w:cs="Cambria" w:eastAsia="Cambria" w:hAnsi="Cambria"/>
          <w:sz w:val="22"/>
          <w:szCs w:val="22"/>
        </w:rPr>
        <w:t>This paper focuses on four main forms of strategic digital dependence in Nepal: data; infrastructure and cloud; platforms and algorithms; and AI. Citizen rights and governance apply across all four areas and are included in the NDSF as separate cross-cutting domains.</w:t>
      </w:r>
    </w:p>
    <w:p>
      <w:pPr>
        <w:pStyle w:val="Heading2"/>
        <w:spacing w:after="120" w:before="240"/>
      </w:pPr>
      <w:r>
        <w:rPr>
          <w:rFonts w:ascii="Cambria" w:cs="Cambria" w:eastAsia="Cambria" w:hAnsi="Cambria"/>
          <w:b/>
          <w:bCs/>
          <w:i/>
          <w:iCs/>
          <w:sz w:val="23"/>
          <w:szCs w:val="23"/>
        </w:rPr>
        <w:t xml:space="preserve">3.1 Data Dependence</w:t>
      </w:r>
    </w:p>
    <w:p>
      <w:pPr>
        <w:spacing w:after="160" w:line="276"/>
        <w:jc w:val="both"/>
      </w:pPr>
      <w:r>
        <w:rPr>
          <w:rFonts w:ascii="Cambria" w:cs="Cambria" w:eastAsia="Cambria" w:hAnsi="Cambria"/>
          <w:sz w:val="22"/>
          <w:szCs w:val="22"/>
        </w:rPr>
        <w:t>Nepal is connecting more government information through digital systems. The planned government-wide data exchange is one example. Better data sharing can improve public services. But it can also increase risk if access, security and responsibility are not clear. Nepal therefore needs to know which data are critical, where they can be processed, who can access them, whether they can leave the country and how access is recorded.</w:t>
      </w:r>
    </w:p>
    <w:p>
      <w:pPr>
        <w:spacing w:after="160" w:line="276"/>
        <w:jc w:val="both"/>
      </w:pPr>
      <w:r>
        <w:rPr>
          <w:rFonts w:ascii="Cambria" w:cs="Cambria" w:eastAsia="Cambria" w:hAnsi="Cambria"/>
          <w:sz w:val="22"/>
          <w:szCs w:val="22"/>
        </w:rPr>
        <w:t>Nepal's Privacy Act, 2075 gives an important legal base for privacy and personal information, including electronic information. [4] The larger sovereignty question is whether Nepal can enforce these rights across connected government systems, private platforms and international infrastructure.</w:t>
      </w:r>
    </w:p>
    <w:p>
      <w:pPr>
        <w:pStyle w:val="Heading2"/>
        <w:spacing w:after="120" w:before="240"/>
      </w:pPr>
      <w:r>
        <w:rPr>
          <w:rFonts w:ascii="Cambria" w:cs="Cambria" w:eastAsia="Cambria" w:hAnsi="Cambria"/>
          <w:b/>
          <w:bCs/>
          <w:i/>
          <w:iCs/>
          <w:sz w:val="23"/>
          <w:szCs w:val="23"/>
        </w:rPr>
        <w:t xml:space="preserve">3.2 Infrastructure and Cloud Dependence</w:t>
      </w:r>
    </w:p>
    <w:p>
      <w:pPr>
        <w:spacing w:after="160" w:line="276"/>
        <w:jc w:val="both"/>
      </w:pPr>
      <w:r>
        <w:rPr>
          <w:rFonts w:ascii="Cambria" w:cs="Cambria" w:eastAsia="Cambria" w:hAnsi="Cambria"/>
          <w:sz w:val="22"/>
          <w:szCs w:val="22"/>
        </w:rPr>
        <w:t>Nepal has already recognised cloud and data-centre governance through the Data Centre and Cloud Service (Operation and Management) Directive, 2081. [5] But digital sovereignty needs more than a local data centre. For every critical public system, Nepal should ask: Can the data and workload be moved? Who has administrative control? What happens if the provider fails? Is there another provider? Which law applies? Can Nepal audit the system? These questions should become part of government technology and procurement decisions.</w:t>
      </w:r>
    </w:p>
    <w:p>
      <w:pPr>
        <w:pStyle w:val="Heading2"/>
        <w:spacing w:after="120" w:before="240"/>
      </w:pPr>
      <w:r>
        <w:rPr>
          <w:rFonts w:ascii="Cambria" w:cs="Cambria" w:eastAsia="Cambria" w:hAnsi="Cambria"/>
          <w:b/>
          <w:bCs/>
          <w:i/>
          <w:iCs/>
          <w:sz w:val="23"/>
          <w:szCs w:val="23"/>
        </w:rPr>
        <w:t xml:space="preserve">3.3 Platform and Algorithmic Dependence</w:t>
      </w:r>
    </w:p>
    <w:p>
      <w:pPr>
        <w:spacing w:after="160" w:line="276"/>
        <w:jc w:val="both"/>
      </w:pPr>
      <w:r>
        <w:rPr>
          <w:rFonts w:ascii="Cambria" w:cs="Cambria" w:eastAsia="Cambria" w:hAnsi="Cambria"/>
          <w:sz w:val="22"/>
          <w:szCs w:val="22"/>
        </w:rPr>
        <w:t>A large part of Nepal's digital public space is on foreign platforms. Nepali citizens use them for communication, news, advertising, business and political discussion. Nepal has introduced regulation for social-network services. [11] But digital sovereignty should not mean registration alone. A registered platform may still control recommendations, content visibility, advertising, user profiling, account moderation and data processing. The key question is whether Nepal can hold that platform meaningfully accountable.</w:t>
      </w:r>
    </w:p>
    <w:p>
      <w:pPr>
        <w:spacing w:after="160" w:line="276"/>
        <w:jc w:val="both"/>
      </w:pPr>
      <w:r>
        <w:rPr>
          <w:rFonts w:ascii="Cambria" w:cs="Cambria" w:eastAsia="Cambria" w:hAnsi="Cambria"/>
          <w:sz w:val="22"/>
          <w:szCs w:val="22"/>
        </w:rPr>
        <w:t>Nepal should therefore focus on risk and accountability, not only registration. Useful measures may include grievance systems, regulatory cooperation, political-ad transparency, user protection, risk reporting and suitable algorithmic transparency. Nepal does not need a platform's source code. It needs enough accountability to protect national interests and citizen rights.</w:t>
      </w:r>
    </w:p>
    <w:p>
      <w:pPr>
        <w:pStyle w:val="Heading2"/>
        <w:spacing w:after="120" w:before="240"/>
      </w:pPr>
      <w:r>
        <w:rPr>
          <w:rFonts w:ascii="Cambria" w:cs="Cambria" w:eastAsia="Cambria" w:hAnsi="Cambria"/>
          <w:b/>
          <w:bCs/>
          <w:i/>
          <w:iCs/>
          <w:sz w:val="23"/>
          <w:szCs w:val="23"/>
        </w:rPr>
        <w:t xml:space="preserve">3.4 AI Dependence</w:t>
      </w:r>
    </w:p>
    <w:p>
      <w:pPr>
        <w:spacing w:after="160" w:line="276"/>
        <w:jc w:val="both"/>
      </w:pPr>
      <w:r>
        <w:rPr>
          <w:rFonts w:ascii="Cambria" w:cs="Cambria" w:eastAsia="Cambria" w:hAnsi="Cambria"/>
          <w:sz w:val="22"/>
          <w:szCs w:val="22"/>
        </w:rPr>
        <w:t>AI makes the sovereignty question even more important. Nepal approved the National Artificial Intelligence Policy, 2082 in 2025. [3] This is an important foundation. Nepal will still use many AI systems developed abroad. That is acceptable unless Nepal loses control over important data, cannot evaluate the AI, cannot audit important decisions, cannot change the model or cannot keep humans responsible for the final decision.</w:t>
      </w:r>
      <w:r>
        <w:rPr>
          <w:rFonts w:ascii="Cambria" w:cs="Cambria" w:eastAsia="Cambria" w:hAnsi="Cambria"/>
          <w:sz w:val="18"/>
          <w:szCs w:val="18"/>
          <w:vertAlign w:val="superscript"/>
        </w:rPr>
      </w:r>
      <w:r>
        <w:rPr>
          <w:rFonts w:ascii="Cambria" w:cs="Cambria" w:eastAsia="Cambria" w:hAnsi="Cambria"/>
          <w:sz w:val="22"/>
          <w:szCs w:val="22"/>
        </w:rPr>
      </w:r>
    </w:p>
    <w:p>
      <w:pPr>
        <w:spacing w:after="160" w:line="276"/>
        <w:jc w:val="both"/>
      </w:pPr>
      <w:r>
        <w:rPr>
          <w:rFonts w:ascii="Cambria" w:cs="Cambria" w:eastAsia="Cambria" w:hAnsi="Cambria"/>
          <w:sz w:val="22"/>
          <w:szCs w:val="22"/>
        </w:rPr>
        <w:t>For Nepal, AI sovereignty should mean selective capability. Nepal should build stronger local capability where AI affects government decisions, national data, law and justice, health, education, security, critical infrastructure or citizen rights. Nepal does not need to build a frontier AI model. It needs the ability to evaluate, govern, replace and safely use AI.</w:t>
      </w:r>
    </w:p>
    <w:p>
      <w:pPr>
        <w:pStyle w:val="Heading1"/>
        <w:spacing w:after="160" w:before="360"/>
      </w:pPr>
      <w:r>
        <w:t>4. Consolidated IT, Digital and Technology Legal and Policy Landscape</w:t>
      </w:r>
    </w:p>
    <w:p>
      <w:pPr>
        <w:spacing w:after="160" w:line="276"/>
        <w:jc w:val="both"/>
      </w:pPr>
      <w:r>
        <w:t>Nepal already has many laws, policies, rules, directives and frameworks related to IT and digital technology. Table 1 brings the major national-level instruments into one place. This helps readers see what already exists and how each instrument relates to Digital Sovereignty.</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3060"/>
        <w:gridCol w:w="3600"/>
        <w:gridCol w:w="2880"/>
      </w:tblGrid>
      <w:tr>
        <w:trPr>
          <w:tblHeader/>
          <w:tblHeader w:val="true"/>
          <w:cantSplit/>
        </w:trPr>
        <w:tc>
          <w:tcPr>
            <w:tcW w:type="dxa" w:w="2376"/>
            <w:shd w:fill="1F3864" w:val="clear"/>
            <w:tcMar>
              <w:top w:type="dxa" w:w="60"/>
              <w:left w:type="dxa" w:w="60"/>
              <w:bottom w:type="dxa" w:w="60"/>
              <w:right w:type="dxa" w:w="60"/>
            </w:tcMar>
            <w:vAlign w:val="center"/>
          </w:tcPr>
          <w:p>
            <w:pPr>
              <w:spacing w:after="0" w:before="0" w:line="240" w:lineRule="auto"/>
            </w:pPr>
            <w:r>
              <w:rPr>
                <w:b/>
                <w:sz w:val="17"/>
              </w:rPr>
              <w:t>Instrument</w:t>
            </w:r>
          </w:p>
        </w:tc>
        <w:tc>
          <w:tcPr>
            <w:tcW w:type="dxa" w:w="1800"/>
            <w:shd w:fill="1F3864" w:val="clear"/>
            <w:tcMar>
              <w:top w:type="dxa" w:w="60"/>
              <w:left w:type="dxa" w:w="60"/>
              <w:bottom w:type="dxa" w:w="60"/>
              <w:right w:type="dxa" w:w="60"/>
            </w:tcMar>
            <w:vAlign w:val="center"/>
          </w:tcPr>
          <w:p>
            <w:pPr>
              <w:spacing w:after="0" w:before="0" w:line="240" w:lineRule="auto"/>
            </w:pPr>
            <w:r>
              <w:rPr>
                <w:b/>
                <w:sz w:val="17"/>
              </w:rPr>
              <w:t>Type / Status</w:t>
            </w:r>
          </w:p>
        </w:tc>
        <w:tc>
          <w:tcPr>
            <w:tcW w:type="dxa" w:w="3168"/>
            <w:shd w:fill="1F3864" w:val="clear"/>
            <w:tcMar>
              <w:top w:type="dxa" w:w="60"/>
              <w:left w:type="dxa" w:w="60"/>
              <w:bottom w:type="dxa" w:w="60"/>
              <w:right w:type="dxa" w:w="60"/>
            </w:tcMar>
            <w:vAlign w:val="center"/>
          </w:tcPr>
          <w:p>
            <w:pPr>
              <w:spacing w:after="0" w:before="0" w:line="240" w:lineRule="auto"/>
            </w:pPr>
            <w:r>
              <w:rPr>
                <w:b/>
                <w:sz w:val="17"/>
              </w:rPr>
              <w:t>Main purpose</w:t>
            </w:r>
          </w:p>
        </w:tc>
        <w:tc>
          <w:tcPr>
            <w:tcW w:type="dxa" w:w="3240"/>
            <w:vAlign w:val="center"/>
            <w:tcMar>
              <w:top w:w="60" w:type="dxa"/>
              <w:left w:w="60" w:type="dxa"/>
              <w:bottom w:w="60" w:type="dxa"/>
              <w:right w:w="60" w:type="dxa"/>
            </w:tcMar>
          </w:tcPr>
          <w:p>
            <w:pPr>
              <w:spacing w:after="0" w:before="0" w:line="240" w:lineRule="auto"/>
            </w:pPr>
            <w:r>
              <w:rPr>
                <w:b/>
                <w:sz w:val="17"/>
              </w:rPr>
              <w:t>Digital Sovereignty relevance</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Telecommunications Act, 2053 (1997) [12]</w:t>
            </w:r>
          </w:p>
        </w:tc>
        <w:tc>
          <w:tcPr>
            <w:tcW w:type="dxa" w:w="1800"/>
            <w:vAlign w:val="center"/>
            <w:tcMar>
              <w:top w:w="60" w:type="dxa"/>
              <w:left w:w="60" w:type="dxa"/>
              <w:bottom w:w="60" w:type="dxa"/>
              <w:right w:w="60" w:type="dxa"/>
            </w:tcMar>
          </w:tcPr>
          <w:p>
            <w:pPr>
              <w:spacing w:after="0" w:before="0" w:line="240" w:lineRule="auto"/>
            </w:pPr>
            <w:r>
              <w:rPr>
                <w:sz w:val="17"/>
              </w:rPr>
              <w:t>Act; current law</w:t>
            </w:r>
          </w:p>
        </w:tc>
        <w:tc>
          <w:tcPr>
            <w:tcW w:type="dxa" w:w="3168"/>
            <w:vAlign w:val="center"/>
            <w:tcMar>
              <w:top w:w="60" w:type="dxa"/>
              <w:left w:w="60" w:type="dxa"/>
              <w:bottom w:w="60" w:type="dxa"/>
              <w:right w:w="60" w:type="dxa"/>
            </w:tcMar>
          </w:tcPr>
          <w:p>
            <w:pPr>
              <w:spacing w:after="0" w:before="0" w:line="240" w:lineRule="auto"/>
            </w:pPr>
            <w:r>
              <w:rPr>
                <w:sz w:val="17"/>
              </w:rPr>
              <w:t>Sets rules for telecom services, licences and regulation.</w:t>
            </w:r>
          </w:p>
        </w:tc>
        <w:tc>
          <w:tcPr>
            <w:tcW w:type="dxa" w:w="3240"/>
            <w:vAlign w:val="center"/>
            <w:tcMar>
              <w:top w:w="60" w:type="dxa"/>
              <w:left w:w="60" w:type="dxa"/>
              <w:bottom w:w="60" w:type="dxa"/>
              <w:right w:w="60" w:type="dxa"/>
            </w:tcMar>
          </w:tcPr>
          <w:p>
            <w:pPr>
              <w:spacing w:after="0" w:before="0" w:line="240" w:lineRule="auto"/>
            </w:pPr>
            <w:r>
              <w:rPr>
                <w:sz w:val="17"/>
              </w:rPr>
              <w:t>Supports national control of communication networks and operators.</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Telecommunications Regulations, 2054 [13]</w:t>
            </w:r>
          </w:p>
        </w:tc>
        <w:tc>
          <w:tcPr>
            <w:tcW w:type="dxa" w:w="1800"/>
            <w:vAlign w:val="center"/>
            <w:tcMar>
              <w:top w:w="60" w:type="dxa"/>
              <w:left w:w="60" w:type="dxa"/>
              <w:bottom w:w="60" w:type="dxa"/>
              <w:right w:w="60" w:type="dxa"/>
            </w:tcMar>
          </w:tcPr>
          <w:p>
            <w:pPr>
              <w:spacing w:after="0" w:before="0" w:line="240" w:lineRule="auto"/>
            </w:pPr>
            <w:r>
              <w:rPr>
                <w:sz w:val="17"/>
              </w:rPr>
              <w:t>Rules</w:t>
            </w:r>
          </w:p>
        </w:tc>
        <w:tc>
          <w:tcPr>
            <w:tcW w:type="dxa" w:w="3168"/>
            <w:vAlign w:val="center"/>
            <w:tcMar>
              <w:top w:w="60" w:type="dxa"/>
              <w:left w:w="60" w:type="dxa"/>
              <w:bottom w:w="60" w:type="dxa"/>
              <w:right w:w="60" w:type="dxa"/>
            </w:tcMar>
          </w:tcPr>
          <w:p>
            <w:pPr>
              <w:spacing w:after="0" w:before="0" w:line="240" w:lineRule="auto"/>
            </w:pPr>
            <w:r>
              <w:rPr>
                <w:sz w:val="17"/>
              </w:rPr>
              <w:t>Gives detailed rules for telecom licences and services.</w:t>
            </w:r>
          </w:p>
        </w:tc>
        <w:tc>
          <w:tcPr>
            <w:tcW w:type="dxa" w:w="3240"/>
            <w:vAlign w:val="center"/>
            <w:tcMar>
              <w:top w:w="60" w:type="dxa"/>
              <w:left w:w="60" w:type="dxa"/>
              <w:bottom w:w="60" w:type="dxa"/>
              <w:right w:w="60" w:type="dxa"/>
            </w:tcMar>
          </w:tcPr>
          <w:p>
            <w:pPr>
              <w:spacing w:after="0" w:before="0" w:line="240" w:lineRule="auto"/>
            </w:pPr>
            <w:r>
              <w:rPr>
                <w:sz w:val="17"/>
              </w:rPr>
              <w:t>Supports technical and licensing control of communication infrastructure.</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Copyright Act, 2059 (2002) [14]</w:t>
            </w:r>
          </w:p>
        </w:tc>
        <w:tc>
          <w:tcPr>
            <w:tcW w:type="dxa" w:w="1800"/>
            <w:vAlign w:val="center"/>
            <w:tcMar>
              <w:top w:w="60" w:type="dxa"/>
              <w:left w:w="60" w:type="dxa"/>
              <w:bottom w:w="60" w:type="dxa"/>
              <w:right w:w="60" w:type="dxa"/>
            </w:tcMar>
          </w:tcPr>
          <w:p>
            <w:pPr>
              <w:spacing w:after="0" w:before="0" w:line="240" w:lineRule="auto"/>
            </w:pPr>
            <w:r>
              <w:rPr>
                <w:sz w:val="17"/>
              </w:rPr>
              <w:t>Act; current law</w:t>
            </w:r>
          </w:p>
        </w:tc>
        <w:tc>
          <w:tcPr>
            <w:tcW w:type="dxa" w:w="3168"/>
            <w:vAlign w:val="center"/>
            <w:tcMar>
              <w:top w:w="60" w:type="dxa"/>
              <w:left w:w="60" w:type="dxa"/>
              <w:bottom w:w="60" w:type="dxa"/>
              <w:right w:w="60" w:type="dxa"/>
            </w:tcMar>
          </w:tcPr>
          <w:p>
            <w:pPr>
              <w:spacing w:after="0" w:before="0" w:line="240" w:lineRule="auto"/>
            </w:pPr>
            <w:r>
              <w:rPr>
                <w:sz w:val="17"/>
              </w:rPr>
              <w:t>Protects copyright, including software and digital works.</w:t>
            </w:r>
          </w:p>
        </w:tc>
        <w:tc>
          <w:tcPr>
            <w:tcW w:type="dxa" w:w="3240"/>
            <w:vAlign w:val="center"/>
            <w:tcMar>
              <w:top w:w="60" w:type="dxa"/>
              <w:left w:w="60" w:type="dxa"/>
              <w:bottom w:w="60" w:type="dxa"/>
              <w:right w:w="60" w:type="dxa"/>
            </w:tcMar>
          </w:tcPr>
          <w:p>
            <w:pPr>
              <w:spacing w:after="0" w:before="0" w:line="240" w:lineRule="auto"/>
            </w:pPr>
            <w:r>
              <w:rPr>
                <w:sz w:val="17"/>
              </w:rPr>
              <w:t>Protects software and digital intellectual property.</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Electronic Transactions Act, 2063 [15]</w:t>
            </w:r>
          </w:p>
        </w:tc>
        <w:tc>
          <w:tcPr>
            <w:tcW w:type="dxa" w:w="1800"/>
            <w:vAlign w:val="center"/>
            <w:tcMar>
              <w:top w:w="60" w:type="dxa"/>
              <w:left w:w="60" w:type="dxa"/>
              <w:bottom w:w="60" w:type="dxa"/>
              <w:right w:w="60" w:type="dxa"/>
            </w:tcMar>
          </w:tcPr>
          <w:p>
            <w:pPr>
              <w:spacing w:after="0" w:before="0" w:line="240" w:lineRule="auto"/>
            </w:pPr>
            <w:r>
              <w:rPr>
                <w:sz w:val="17"/>
              </w:rPr>
              <w:t>Act; current law</w:t>
            </w:r>
          </w:p>
        </w:tc>
        <w:tc>
          <w:tcPr>
            <w:tcW w:type="dxa" w:w="3168"/>
            <w:vAlign w:val="center"/>
            <w:tcMar>
              <w:top w:w="60" w:type="dxa"/>
              <w:left w:w="60" w:type="dxa"/>
              <w:bottom w:w="60" w:type="dxa"/>
              <w:right w:w="60" w:type="dxa"/>
            </w:tcMar>
          </w:tcPr>
          <w:p>
            <w:pPr>
              <w:spacing w:after="0" w:before="0" w:line="240" w:lineRule="auto"/>
            </w:pPr>
            <w:r>
              <w:rPr>
                <w:sz w:val="17"/>
              </w:rPr>
              <w:t>Gives legal status to electronic records and digital signatures and covers cyber offences.</w:t>
            </w:r>
          </w:p>
        </w:tc>
        <w:tc>
          <w:tcPr>
            <w:tcW w:type="dxa" w:w="3240"/>
            <w:vAlign w:val="center"/>
            <w:tcMar>
              <w:top w:w="60" w:type="dxa"/>
              <w:left w:w="60" w:type="dxa"/>
              <w:bottom w:w="60" w:type="dxa"/>
              <w:right w:w="60" w:type="dxa"/>
            </w:tcMar>
          </w:tcPr>
          <w:p>
            <w:pPr>
              <w:spacing w:after="0" w:before="0" w:line="240" w:lineRule="auto"/>
            </w:pPr>
            <w:r>
              <w:rPr>
                <w:sz w:val="17"/>
              </w:rPr>
              <w:t>Basic law for digital transactions, records and cyber regulation.</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Electronic Transactions Rules, 2064 [16]</w:t>
            </w:r>
          </w:p>
        </w:tc>
        <w:tc>
          <w:tcPr>
            <w:tcW w:type="dxa" w:w="1800"/>
            <w:vAlign w:val="center"/>
            <w:tcMar>
              <w:top w:w="60" w:type="dxa"/>
              <w:left w:w="60" w:type="dxa"/>
              <w:bottom w:w="60" w:type="dxa"/>
              <w:right w:w="60" w:type="dxa"/>
            </w:tcMar>
          </w:tcPr>
          <w:p>
            <w:pPr>
              <w:spacing w:after="0" w:before="0" w:line="240" w:lineRule="auto"/>
            </w:pPr>
            <w:r>
              <w:rPr>
                <w:sz w:val="17"/>
              </w:rPr>
              <w:t>Rules</w:t>
            </w:r>
          </w:p>
        </w:tc>
        <w:tc>
          <w:tcPr>
            <w:tcW w:type="dxa" w:w="3168"/>
            <w:vAlign w:val="center"/>
            <w:tcMar>
              <w:top w:w="60" w:type="dxa"/>
              <w:left w:w="60" w:type="dxa"/>
              <w:bottom w:w="60" w:type="dxa"/>
              <w:right w:w="60" w:type="dxa"/>
            </w:tcMar>
          </w:tcPr>
          <w:p>
            <w:pPr>
              <w:spacing w:after="0" w:before="0" w:line="240" w:lineRule="auto"/>
            </w:pPr>
            <w:r>
              <w:rPr>
                <w:sz w:val="17"/>
              </w:rPr>
              <w:t>Provides procedures under the Electronic Transactions Act.</w:t>
            </w:r>
          </w:p>
        </w:tc>
        <w:tc>
          <w:tcPr>
            <w:tcW w:type="dxa" w:w="3240"/>
            <w:vAlign w:val="center"/>
            <w:tcMar>
              <w:top w:w="60" w:type="dxa"/>
              <w:left w:w="60" w:type="dxa"/>
              <w:bottom w:w="60" w:type="dxa"/>
              <w:right w:w="60" w:type="dxa"/>
            </w:tcMar>
          </w:tcPr>
          <w:p>
            <w:pPr>
              <w:spacing w:after="0" w:before="0" w:line="240" w:lineRule="auto"/>
            </w:pPr>
            <w:r>
              <w:rPr>
                <w:sz w:val="17"/>
              </w:rPr>
              <w:t>Supports practical use of digital signatures and electronic records.</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Right to Information Act, 2064 [17]</w:t>
            </w:r>
          </w:p>
        </w:tc>
        <w:tc>
          <w:tcPr>
            <w:tcW w:type="dxa" w:w="1800"/>
            <w:vAlign w:val="center"/>
            <w:tcMar>
              <w:top w:w="60" w:type="dxa"/>
              <w:left w:w="60" w:type="dxa"/>
              <w:bottom w:w="60" w:type="dxa"/>
              <w:right w:w="60" w:type="dxa"/>
            </w:tcMar>
          </w:tcPr>
          <w:p>
            <w:pPr>
              <w:spacing w:after="0" w:before="0" w:line="240" w:lineRule="auto"/>
            </w:pPr>
            <w:r>
              <w:rPr>
                <w:sz w:val="17"/>
              </w:rPr>
              <w:t>Act; current law</w:t>
            </w:r>
          </w:p>
        </w:tc>
        <w:tc>
          <w:tcPr>
            <w:tcW w:type="dxa" w:w="3168"/>
            <w:vAlign w:val="center"/>
            <w:tcMar>
              <w:top w:w="60" w:type="dxa"/>
              <w:left w:w="60" w:type="dxa"/>
              <w:bottom w:w="60" w:type="dxa"/>
              <w:right w:w="60" w:type="dxa"/>
            </w:tcMar>
          </w:tcPr>
          <w:p>
            <w:pPr>
              <w:spacing w:after="0" w:before="0" w:line="240" w:lineRule="auto"/>
            </w:pPr>
            <w:r>
              <w:rPr>
                <w:sz w:val="17"/>
              </w:rPr>
              <w:t>Gives citizens a right to access public information, with legal limits.</w:t>
            </w:r>
          </w:p>
        </w:tc>
        <w:tc>
          <w:tcPr>
            <w:tcW w:type="dxa" w:w="3240"/>
            <w:vAlign w:val="center"/>
            <w:tcMar>
              <w:top w:w="60" w:type="dxa"/>
              <w:left w:w="60" w:type="dxa"/>
              <w:bottom w:w="60" w:type="dxa"/>
              <w:right w:w="60" w:type="dxa"/>
            </w:tcMar>
          </w:tcPr>
          <w:p>
            <w:pPr>
              <w:spacing w:after="0" w:before="0" w:line="240" w:lineRule="auto"/>
            </w:pPr>
            <w:r>
              <w:rPr>
                <w:sz w:val="17"/>
              </w:rPr>
              <w:t>Supports openness and citizen access to public digital information.</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Information and Communication Technology Policy, 2072 [18]</w:t>
            </w:r>
          </w:p>
        </w:tc>
        <w:tc>
          <w:tcPr>
            <w:tcW w:type="dxa" w:w="1800"/>
            <w:vAlign w:val="center"/>
            <w:tcMar>
              <w:top w:w="60" w:type="dxa"/>
              <w:left w:w="60" w:type="dxa"/>
              <w:bottom w:w="60" w:type="dxa"/>
              <w:right w:w="60" w:type="dxa"/>
            </w:tcMar>
          </w:tcPr>
          <w:p>
            <w:pPr>
              <w:spacing w:after="0" w:before="0" w:line="240" w:lineRule="auto"/>
            </w:pPr>
            <w:r>
              <w:rPr>
                <w:sz w:val="17"/>
              </w:rPr>
              <w:t>Policy</w:t>
            </w:r>
          </w:p>
        </w:tc>
        <w:tc>
          <w:tcPr>
            <w:tcW w:type="dxa" w:w="3168"/>
            <w:vAlign w:val="center"/>
            <w:tcMar>
              <w:top w:w="60" w:type="dxa"/>
              <w:left w:w="60" w:type="dxa"/>
              <w:bottom w:w="60" w:type="dxa"/>
              <w:right w:w="60" w:type="dxa"/>
            </w:tcMar>
          </w:tcPr>
          <w:p>
            <w:pPr>
              <w:spacing w:after="0" w:before="0" w:line="240" w:lineRule="auto"/>
            </w:pPr>
            <w:r>
              <w:rPr>
                <w:sz w:val="17"/>
              </w:rPr>
              <w:t>Sets national goals for ICT growth, access, skills and digital services.</w:t>
            </w:r>
          </w:p>
        </w:tc>
        <w:tc>
          <w:tcPr>
            <w:tcW w:type="dxa" w:w="3240"/>
            <w:vAlign w:val="center"/>
            <w:tcMar>
              <w:top w:w="60" w:type="dxa"/>
              <w:left w:w="60" w:type="dxa"/>
              <w:bottom w:w="60" w:type="dxa"/>
              <w:right w:w="60" w:type="dxa"/>
            </w:tcMar>
          </w:tcPr>
          <w:p>
            <w:pPr>
              <w:spacing w:after="0" w:before="0" w:line="240" w:lineRule="auto"/>
            </w:pPr>
            <w:r>
              <w:rPr>
                <w:sz w:val="17"/>
              </w:rPr>
              <w:t>Provides an early national policy base for digital development.</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Privacy Act, 2075 [4]</w:t>
            </w:r>
          </w:p>
        </w:tc>
        <w:tc>
          <w:tcPr>
            <w:tcW w:type="dxa" w:w="1800"/>
            <w:vAlign w:val="center"/>
            <w:tcMar>
              <w:top w:w="60" w:type="dxa"/>
              <w:left w:w="60" w:type="dxa"/>
              <w:bottom w:w="60" w:type="dxa"/>
              <w:right w:w="60" w:type="dxa"/>
            </w:tcMar>
          </w:tcPr>
          <w:p>
            <w:pPr>
              <w:spacing w:after="0" w:before="0" w:line="240" w:lineRule="auto"/>
            </w:pPr>
            <w:r>
              <w:rPr>
                <w:sz w:val="17"/>
              </w:rPr>
              <w:t>Act; current law</w:t>
            </w:r>
          </w:p>
        </w:tc>
        <w:tc>
          <w:tcPr>
            <w:tcW w:type="dxa" w:w="3168"/>
            <w:vAlign w:val="center"/>
            <w:tcMar>
              <w:top w:w="60" w:type="dxa"/>
              <w:left w:w="60" w:type="dxa"/>
              <w:bottom w:w="60" w:type="dxa"/>
              <w:right w:w="60" w:type="dxa"/>
            </w:tcMar>
          </w:tcPr>
          <w:p>
            <w:pPr>
              <w:spacing w:after="0" w:before="0" w:line="240" w:lineRule="auto"/>
            </w:pPr>
            <w:r>
              <w:rPr>
                <w:sz w:val="17"/>
              </w:rPr>
              <w:t>Protects personal privacy and personal information, including electronic information.</w:t>
            </w:r>
          </w:p>
        </w:tc>
        <w:tc>
          <w:tcPr>
            <w:tcW w:type="dxa" w:w="3240"/>
            <w:vAlign w:val="center"/>
            <w:tcMar>
              <w:top w:w="60" w:type="dxa"/>
              <w:left w:w="60" w:type="dxa"/>
              <w:bottom w:w="60" w:type="dxa"/>
              <w:right w:w="60" w:type="dxa"/>
            </w:tcMar>
          </w:tcPr>
          <w:p>
            <w:pPr>
              <w:spacing w:after="0" w:before="0" w:line="240" w:lineRule="auto"/>
            </w:pPr>
            <w:r>
              <w:rPr>
                <w:sz w:val="17"/>
              </w:rPr>
              <w:t>Key legal base for citizen data rights and Data Sovereignty.</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Privacy Rules, 2077 [19]</w:t>
            </w:r>
          </w:p>
        </w:tc>
        <w:tc>
          <w:tcPr>
            <w:tcW w:type="dxa" w:w="1800"/>
            <w:vAlign w:val="center"/>
            <w:tcMar>
              <w:top w:w="60" w:type="dxa"/>
              <w:left w:w="60" w:type="dxa"/>
              <w:bottom w:w="60" w:type="dxa"/>
              <w:right w:w="60" w:type="dxa"/>
            </w:tcMar>
          </w:tcPr>
          <w:p>
            <w:pPr>
              <w:spacing w:after="0" w:before="0" w:line="240" w:lineRule="auto"/>
            </w:pPr>
            <w:r>
              <w:rPr>
                <w:sz w:val="17"/>
              </w:rPr>
              <w:t>Rules</w:t>
            </w:r>
          </w:p>
        </w:tc>
        <w:tc>
          <w:tcPr>
            <w:tcW w:type="dxa" w:w="3168"/>
            <w:vAlign w:val="center"/>
            <w:tcMar>
              <w:top w:w="60" w:type="dxa"/>
              <w:left w:w="60" w:type="dxa"/>
              <w:bottom w:w="60" w:type="dxa"/>
              <w:right w:w="60" w:type="dxa"/>
            </w:tcMar>
          </w:tcPr>
          <w:p>
            <w:pPr>
              <w:spacing w:after="0" w:before="0" w:line="240" w:lineRule="auto"/>
            </w:pPr>
            <w:r>
              <w:rPr>
                <w:sz w:val="17"/>
              </w:rPr>
              <w:t>Supports implementation of the Privacy Act.</w:t>
            </w:r>
          </w:p>
        </w:tc>
        <w:tc>
          <w:tcPr>
            <w:tcW w:type="dxa" w:w="3240"/>
            <w:vAlign w:val="center"/>
            <w:tcMar>
              <w:top w:w="60" w:type="dxa"/>
              <w:left w:w="60" w:type="dxa"/>
              <w:bottom w:w="60" w:type="dxa"/>
              <w:right w:w="60" w:type="dxa"/>
            </w:tcMar>
          </w:tcPr>
          <w:p>
            <w:pPr>
              <w:spacing w:after="0" w:before="0" w:line="240" w:lineRule="auto"/>
            </w:pPr>
            <w:r>
              <w:rPr>
                <w:sz w:val="17"/>
              </w:rPr>
              <w:t>Helps apply privacy protections in practice.</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Payment and Settlement Act, 2075 [20]</w:t>
            </w:r>
          </w:p>
        </w:tc>
        <w:tc>
          <w:tcPr>
            <w:tcW w:type="dxa" w:w="1800"/>
            <w:vAlign w:val="center"/>
            <w:tcMar>
              <w:top w:w="60" w:type="dxa"/>
              <w:left w:w="60" w:type="dxa"/>
              <w:bottom w:w="60" w:type="dxa"/>
              <w:right w:w="60" w:type="dxa"/>
            </w:tcMar>
          </w:tcPr>
          <w:p>
            <w:pPr>
              <w:spacing w:after="0" w:before="0" w:line="240" w:lineRule="auto"/>
            </w:pPr>
            <w:r>
              <w:rPr>
                <w:sz w:val="17"/>
              </w:rPr>
              <w:t>Act; current law</w:t>
            </w:r>
          </w:p>
        </w:tc>
        <w:tc>
          <w:tcPr>
            <w:tcW w:type="dxa" w:w="3168"/>
            <w:vAlign w:val="center"/>
            <w:tcMar>
              <w:top w:w="60" w:type="dxa"/>
              <w:left w:w="60" w:type="dxa"/>
              <w:bottom w:w="60" w:type="dxa"/>
              <w:right w:w="60" w:type="dxa"/>
            </w:tcMar>
          </w:tcPr>
          <w:p>
            <w:pPr>
              <w:spacing w:after="0" w:before="0" w:line="240" w:lineRule="auto"/>
            </w:pPr>
            <w:r>
              <w:rPr>
                <w:sz w:val="17"/>
              </w:rPr>
              <w:t>Regulates payment systems and payment service providers.</w:t>
            </w:r>
          </w:p>
        </w:tc>
        <w:tc>
          <w:tcPr>
            <w:tcW w:type="dxa" w:w="3240"/>
            <w:vAlign w:val="center"/>
            <w:tcMar>
              <w:top w:w="60" w:type="dxa"/>
              <w:left w:w="60" w:type="dxa"/>
              <w:bottom w:w="60" w:type="dxa"/>
              <w:right w:w="60" w:type="dxa"/>
            </w:tcMar>
          </w:tcPr>
          <w:p>
            <w:pPr>
              <w:spacing w:after="0" w:before="0" w:line="240" w:lineRule="auto"/>
            </w:pPr>
            <w:r>
              <w:rPr>
                <w:sz w:val="17"/>
              </w:rPr>
              <w:t>Supports national control and resilience of critical digital payments.</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National Identity Card and Civil Registration Act, 2076 [21]</w:t>
            </w:r>
          </w:p>
        </w:tc>
        <w:tc>
          <w:tcPr>
            <w:tcW w:type="dxa" w:w="1800"/>
            <w:vAlign w:val="center"/>
            <w:tcMar>
              <w:top w:w="60" w:type="dxa"/>
              <w:left w:w="60" w:type="dxa"/>
              <w:bottom w:w="60" w:type="dxa"/>
              <w:right w:w="60" w:type="dxa"/>
            </w:tcMar>
          </w:tcPr>
          <w:p>
            <w:pPr>
              <w:spacing w:after="0" w:before="0" w:line="240" w:lineRule="auto"/>
            </w:pPr>
            <w:r>
              <w:rPr>
                <w:sz w:val="17"/>
              </w:rPr>
              <w:t>Act; current law</w:t>
            </w:r>
          </w:p>
        </w:tc>
        <w:tc>
          <w:tcPr>
            <w:tcW w:type="dxa" w:w="3168"/>
            <w:vAlign w:val="center"/>
            <w:tcMar>
              <w:top w:w="60" w:type="dxa"/>
              <w:left w:w="60" w:type="dxa"/>
              <w:bottom w:w="60" w:type="dxa"/>
              <w:right w:w="60" w:type="dxa"/>
            </w:tcMar>
          </w:tcPr>
          <w:p>
            <w:pPr>
              <w:spacing w:after="0" w:before="0" w:line="240" w:lineRule="auto"/>
            </w:pPr>
            <w:r>
              <w:rPr>
                <w:sz w:val="17"/>
              </w:rPr>
              <w:t>Provides the legal base for national identity and civil registration.</w:t>
            </w:r>
          </w:p>
        </w:tc>
        <w:tc>
          <w:tcPr>
            <w:tcW w:type="dxa" w:w="3240"/>
            <w:vAlign w:val="center"/>
            <w:tcMar>
              <w:top w:w="60" w:type="dxa"/>
              <w:left w:w="60" w:type="dxa"/>
              <w:bottom w:w="60" w:type="dxa"/>
              <w:right w:w="60" w:type="dxa"/>
            </w:tcMar>
          </w:tcPr>
          <w:p>
            <w:pPr>
              <w:spacing w:after="0" w:before="0" w:line="240" w:lineRule="auto"/>
            </w:pPr>
            <w:r>
              <w:rPr>
                <w:sz w:val="17"/>
              </w:rPr>
              <w:t>Important for control and protection of national digital identity data.</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Digital Nepal Framework, 2076 (2019) [22]</w:t>
            </w:r>
          </w:p>
        </w:tc>
        <w:tc>
          <w:tcPr>
            <w:tcW w:type="dxa" w:w="1800"/>
            <w:vAlign w:val="center"/>
            <w:tcMar>
              <w:top w:w="60" w:type="dxa"/>
              <w:left w:w="60" w:type="dxa"/>
              <w:bottom w:w="60" w:type="dxa"/>
              <w:right w:w="60" w:type="dxa"/>
            </w:tcMar>
          </w:tcPr>
          <w:p>
            <w:pPr>
              <w:spacing w:after="0" w:before="0" w:line="240" w:lineRule="auto"/>
            </w:pPr>
            <w:r>
              <w:rPr>
                <w:sz w:val="17"/>
              </w:rPr>
              <w:t>Cabinet-approved framework</w:t>
            </w:r>
          </w:p>
        </w:tc>
        <w:tc>
          <w:tcPr>
            <w:tcW w:type="dxa" w:w="3168"/>
            <w:vAlign w:val="center"/>
            <w:tcMar>
              <w:top w:w="60" w:type="dxa"/>
              <w:left w:w="60" w:type="dxa"/>
              <w:bottom w:w="60" w:type="dxa"/>
              <w:right w:w="60" w:type="dxa"/>
            </w:tcMar>
          </w:tcPr>
          <w:p>
            <w:pPr>
              <w:spacing w:after="0" w:before="0" w:line="240" w:lineRule="auto"/>
            </w:pPr>
            <w:r>
              <w:rPr>
                <w:sz w:val="17"/>
              </w:rPr>
              <w:t>Sets a national digital transformation roadmap across major sectors.</w:t>
            </w:r>
          </w:p>
        </w:tc>
        <w:tc>
          <w:tcPr>
            <w:tcW w:type="dxa" w:w="3240"/>
            <w:vAlign w:val="center"/>
            <w:tcMar>
              <w:top w:w="60" w:type="dxa"/>
              <w:left w:w="60" w:type="dxa"/>
              <w:bottom w:w="60" w:type="dxa"/>
              <w:right w:w="60" w:type="dxa"/>
            </w:tcMar>
          </w:tcPr>
          <w:p>
            <w:pPr>
              <w:spacing w:after="0" w:before="0" w:line="240" w:lineRule="auto"/>
            </w:pPr>
            <w:r>
              <w:rPr>
                <w:sz w:val="17"/>
              </w:rPr>
              <w:t>Provides a broad foundation for Nepal's digital transformation.</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Statistics Act, 2079 [23]</w:t>
            </w:r>
          </w:p>
        </w:tc>
        <w:tc>
          <w:tcPr>
            <w:tcW w:type="dxa" w:w="1800"/>
            <w:vAlign w:val="center"/>
            <w:tcMar>
              <w:top w:w="60" w:type="dxa"/>
              <w:left w:w="60" w:type="dxa"/>
              <w:bottom w:w="60" w:type="dxa"/>
              <w:right w:w="60" w:type="dxa"/>
            </w:tcMar>
          </w:tcPr>
          <w:p>
            <w:pPr>
              <w:spacing w:after="0" w:before="0" w:line="240" w:lineRule="auto"/>
            </w:pPr>
            <w:r>
              <w:rPr>
                <w:sz w:val="17"/>
              </w:rPr>
              <w:t>Act; current law</w:t>
            </w:r>
          </w:p>
        </w:tc>
        <w:tc>
          <w:tcPr>
            <w:tcW w:type="dxa" w:w="3168"/>
            <w:vAlign w:val="center"/>
            <w:tcMar>
              <w:top w:w="60" w:type="dxa"/>
              <w:left w:w="60" w:type="dxa"/>
              <w:bottom w:w="60" w:type="dxa"/>
              <w:right w:w="60" w:type="dxa"/>
            </w:tcMar>
          </w:tcPr>
          <w:p>
            <w:pPr>
              <w:spacing w:after="0" w:before="0" w:line="240" w:lineRule="auto"/>
            </w:pPr>
            <w:r>
              <w:rPr>
                <w:sz w:val="17"/>
              </w:rPr>
              <w:t>Sets rules for official statistics and data collection.</w:t>
            </w:r>
          </w:p>
        </w:tc>
        <w:tc>
          <w:tcPr>
            <w:tcW w:type="dxa" w:w="3240"/>
            <w:vAlign w:val="center"/>
            <w:tcMar>
              <w:top w:w="60" w:type="dxa"/>
              <w:left w:w="60" w:type="dxa"/>
              <w:bottom w:w="60" w:type="dxa"/>
              <w:right w:w="60" w:type="dxa"/>
            </w:tcMar>
          </w:tcPr>
          <w:p>
            <w:pPr>
              <w:spacing w:after="0" w:before="0" w:line="240" w:lineRule="auto"/>
            </w:pPr>
            <w:r>
              <w:rPr>
                <w:sz w:val="17"/>
              </w:rPr>
              <w:t>Relevant to public data governance, access and responsible use.</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National Cyber Security Policy, 2080 [6]</w:t>
            </w:r>
          </w:p>
        </w:tc>
        <w:tc>
          <w:tcPr>
            <w:tcW w:type="dxa" w:w="1800"/>
            <w:vAlign w:val="center"/>
            <w:tcMar>
              <w:top w:w="60" w:type="dxa"/>
              <w:left w:w="60" w:type="dxa"/>
              <w:bottom w:w="60" w:type="dxa"/>
              <w:right w:w="60" w:type="dxa"/>
            </w:tcMar>
          </w:tcPr>
          <w:p>
            <w:pPr>
              <w:spacing w:after="0" w:before="0" w:line="240" w:lineRule="auto"/>
            </w:pPr>
            <w:r>
              <w:rPr>
                <w:sz w:val="17"/>
              </w:rPr>
              <w:t>Policy</w:t>
            </w:r>
          </w:p>
        </w:tc>
        <w:tc>
          <w:tcPr>
            <w:tcW w:type="dxa" w:w="3168"/>
            <w:vAlign w:val="center"/>
            <w:tcMar>
              <w:top w:w="60" w:type="dxa"/>
              <w:left w:w="60" w:type="dxa"/>
              <w:bottom w:w="60" w:type="dxa"/>
              <w:right w:w="60" w:type="dxa"/>
            </w:tcMar>
          </w:tcPr>
          <w:p>
            <w:pPr>
              <w:spacing w:after="0" w:before="0" w:line="240" w:lineRule="auto"/>
            </w:pPr>
            <w:r>
              <w:rPr>
                <w:sz w:val="17"/>
              </w:rPr>
              <w:t>Sets national direction for cybersecurity and protection of digital systems.</w:t>
            </w:r>
          </w:p>
        </w:tc>
        <w:tc>
          <w:tcPr>
            <w:tcW w:type="dxa" w:w="3240"/>
            <w:vAlign w:val="center"/>
            <w:tcMar>
              <w:top w:w="60" w:type="dxa"/>
              <w:left w:w="60" w:type="dxa"/>
              <w:bottom w:w="60" w:type="dxa"/>
              <w:right w:w="60" w:type="dxa"/>
            </w:tcMar>
          </w:tcPr>
          <w:p>
            <w:pPr>
              <w:spacing w:after="0" w:before="0" w:line="240" w:lineRule="auto"/>
            </w:pPr>
            <w:r>
              <w:rPr>
                <w:sz w:val="17"/>
              </w:rPr>
              <w:t>Supports resilience and security across all sovereignty domains.</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Directives for Managing the Use of Social Networks, 2080 [11]</w:t>
            </w:r>
          </w:p>
        </w:tc>
        <w:tc>
          <w:tcPr>
            <w:tcW w:type="dxa" w:w="1800"/>
            <w:vAlign w:val="center"/>
            <w:tcMar>
              <w:top w:w="60" w:type="dxa"/>
              <w:left w:w="60" w:type="dxa"/>
              <w:bottom w:w="60" w:type="dxa"/>
              <w:right w:w="60" w:type="dxa"/>
            </w:tcMar>
          </w:tcPr>
          <w:p>
            <w:pPr>
              <w:spacing w:after="0" w:before="0" w:line="240" w:lineRule="auto"/>
            </w:pPr>
            <w:r>
              <w:rPr>
                <w:sz w:val="17"/>
              </w:rPr>
              <w:t>Directive</w:t>
            </w:r>
          </w:p>
        </w:tc>
        <w:tc>
          <w:tcPr>
            <w:tcW w:type="dxa" w:w="3168"/>
            <w:vAlign w:val="center"/>
            <w:tcMar>
              <w:top w:w="60" w:type="dxa"/>
              <w:left w:w="60" w:type="dxa"/>
              <w:bottom w:w="60" w:type="dxa"/>
              <w:right w:w="60" w:type="dxa"/>
            </w:tcMar>
          </w:tcPr>
          <w:p>
            <w:pPr>
              <w:spacing w:after="0" w:before="0" w:line="240" w:lineRule="auto"/>
            </w:pPr>
            <w:r>
              <w:rPr>
                <w:sz w:val="17"/>
              </w:rPr>
              <w:t>Sets requirements for social-network platforms and users in Nepal.</w:t>
            </w:r>
          </w:p>
        </w:tc>
        <w:tc>
          <w:tcPr>
            <w:tcW w:type="dxa" w:w="3240"/>
            <w:vAlign w:val="center"/>
            <w:tcMar>
              <w:top w:w="60" w:type="dxa"/>
              <w:left w:w="60" w:type="dxa"/>
              <w:bottom w:w="60" w:type="dxa"/>
              <w:right w:w="60" w:type="dxa"/>
            </w:tcMar>
          </w:tcPr>
          <w:p>
            <w:pPr>
              <w:spacing w:after="0" w:before="0" w:line="240" w:lineRule="auto"/>
            </w:pPr>
            <w:r>
              <w:rPr>
                <w:sz w:val="17"/>
              </w:rPr>
              <w:t>Supports platform accountability and regulatory contact.</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Radio Frequency Allocation and Pricing Policy, 2080 [24]</w:t>
            </w:r>
          </w:p>
        </w:tc>
        <w:tc>
          <w:tcPr>
            <w:tcW w:type="dxa" w:w="1800"/>
            <w:vAlign w:val="center"/>
            <w:tcMar>
              <w:top w:w="60" w:type="dxa"/>
              <w:left w:w="60" w:type="dxa"/>
              <w:bottom w:w="60" w:type="dxa"/>
              <w:right w:w="60" w:type="dxa"/>
            </w:tcMar>
          </w:tcPr>
          <w:p>
            <w:pPr>
              <w:spacing w:after="0" w:before="0" w:line="240" w:lineRule="auto"/>
            </w:pPr>
            <w:r>
              <w:rPr>
                <w:sz w:val="17"/>
              </w:rPr>
              <w:t>Policy</w:t>
            </w:r>
          </w:p>
        </w:tc>
        <w:tc>
          <w:tcPr>
            <w:tcW w:type="dxa" w:w="3168"/>
            <w:vAlign w:val="center"/>
            <w:tcMar>
              <w:top w:w="60" w:type="dxa"/>
              <w:left w:w="60" w:type="dxa"/>
              <w:bottom w:w="60" w:type="dxa"/>
              <w:right w:w="60" w:type="dxa"/>
            </w:tcMar>
          </w:tcPr>
          <w:p>
            <w:pPr>
              <w:spacing w:after="0" w:before="0" w:line="240" w:lineRule="auto"/>
            </w:pPr>
            <w:r>
              <w:rPr>
                <w:sz w:val="17"/>
              </w:rPr>
              <w:t>Sets rules for radio spectrum allocation and pricing.</w:t>
            </w:r>
          </w:p>
        </w:tc>
        <w:tc>
          <w:tcPr>
            <w:tcW w:type="dxa" w:w="3240"/>
            <w:vAlign w:val="center"/>
            <w:tcMar>
              <w:top w:w="60" w:type="dxa"/>
              <w:left w:w="60" w:type="dxa"/>
              <w:bottom w:w="60" w:type="dxa"/>
              <w:right w:w="60" w:type="dxa"/>
            </w:tcMar>
          </w:tcPr>
          <w:p>
            <w:pPr>
              <w:spacing w:after="0" w:before="0" w:line="240" w:lineRule="auto"/>
            </w:pPr>
            <w:r>
              <w:rPr>
                <w:sz w:val="17"/>
              </w:rPr>
              <w:t>Supports national control of a critical communication resource.</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Data Centre and Cloud Service Directive, 2081 [5]</w:t>
            </w:r>
          </w:p>
        </w:tc>
        <w:tc>
          <w:tcPr>
            <w:tcW w:type="dxa" w:w="1800"/>
            <w:vAlign w:val="center"/>
            <w:tcMar>
              <w:top w:w="60" w:type="dxa"/>
              <w:left w:w="60" w:type="dxa"/>
              <w:bottom w:w="60" w:type="dxa"/>
              <w:right w:w="60" w:type="dxa"/>
            </w:tcMar>
          </w:tcPr>
          <w:p>
            <w:pPr>
              <w:spacing w:after="0" w:before="0" w:line="240" w:lineRule="auto"/>
            </w:pPr>
            <w:r>
              <w:rPr>
                <w:sz w:val="17"/>
              </w:rPr>
              <w:t>Directive</w:t>
            </w:r>
          </w:p>
        </w:tc>
        <w:tc>
          <w:tcPr>
            <w:tcW w:type="dxa" w:w="3168"/>
            <w:vAlign w:val="center"/>
            <w:tcMar>
              <w:top w:w="60" w:type="dxa"/>
              <w:left w:w="60" w:type="dxa"/>
              <w:bottom w:w="60" w:type="dxa"/>
              <w:right w:w="60" w:type="dxa"/>
            </w:tcMar>
          </w:tcPr>
          <w:p>
            <w:pPr>
              <w:spacing w:after="0" w:before="0" w:line="240" w:lineRule="auto"/>
            </w:pPr>
            <w:r>
              <w:rPr>
                <w:sz w:val="17"/>
              </w:rPr>
              <w:t>Sets operating and management requirements for data centres and cloud services.</w:t>
            </w:r>
          </w:p>
        </w:tc>
        <w:tc>
          <w:tcPr>
            <w:tcW w:type="dxa" w:w="3240"/>
            <w:vAlign w:val="center"/>
            <w:tcMar>
              <w:top w:w="60" w:type="dxa"/>
              <w:left w:w="60" w:type="dxa"/>
              <w:bottom w:w="60" w:type="dxa"/>
              <w:right w:w="60" w:type="dxa"/>
            </w:tcMar>
          </w:tcPr>
          <w:p>
            <w:pPr>
              <w:spacing w:after="0" w:before="0" w:line="240" w:lineRule="auto"/>
            </w:pPr>
            <w:r>
              <w:rPr>
                <w:sz w:val="17"/>
              </w:rPr>
              <w:t>Supports control, security and governance of digital infrastructure.</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Draft Digital Nepal Framework 2.0 [7]</w:t>
            </w:r>
          </w:p>
        </w:tc>
        <w:tc>
          <w:tcPr>
            <w:tcW w:type="dxa" w:w="1800"/>
            <w:vAlign w:val="center"/>
            <w:tcMar>
              <w:top w:w="60" w:type="dxa"/>
              <w:left w:w="60" w:type="dxa"/>
              <w:bottom w:w="60" w:type="dxa"/>
              <w:right w:w="60" w:type="dxa"/>
            </w:tcMar>
          </w:tcPr>
          <w:p>
            <w:pPr>
              <w:spacing w:after="0" w:before="0" w:line="240" w:lineRule="auto"/>
            </w:pPr>
            <w:r>
              <w:rPr>
                <w:sz w:val="17"/>
              </w:rPr>
              <w:t>Draft framework</w:t>
            </w:r>
          </w:p>
        </w:tc>
        <w:tc>
          <w:tcPr>
            <w:tcW w:type="dxa" w:w="3168"/>
            <w:vAlign w:val="center"/>
            <w:tcMar>
              <w:top w:w="60" w:type="dxa"/>
              <w:left w:w="60" w:type="dxa"/>
              <w:bottom w:w="60" w:type="dxa"/>
              <w:right w:w="60" w:type="dxa"/>
            </w:tcMar>
          </w:tcPr>
          <w:p>
            <w:pPr>
              <w:spacing w:after="0" w:before="0" w:line="240" w:lineRule="auto"/>
            </w:pPr>
            <w:r>
              <w:rPr>
                <w:sz w:val="17"/>
              </w:rPr>
              <w:t>Updates Nepal's digital transformation priorities and implementation approach.</w:t>
            </w:r>
          </w:p>
        </w:tc>
        <w:tc>
          <w:tcPr>
            <w:tcW w:type="dxa" w:w="3240"/>
            <w:vAlign w:val="center"/>
            <w:tcMar>
              <w:top w:w="60" w:type="dxa"/>
              <w:left w:w="60" w:type="dxa"/>
              <w:bottom w:w="60" w:type="dxa"/>
              <w:right w:w="60" w:type="dxa"/>
            </w:tcMar>
          </w:tcPr>
          <w:p>
            <w:pPr>
              <w:spacing w:after="0" w:before="0" w:line="240" w:lineRule="auto"/>
            </w:pPr>
            <w:r>
              <w:rPr>
                <w:sz w:val="17"/>
              </w:rPr>
              <w:t>Shows current thinking on stronger digital foundations, coordination and interoperability.</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Citizen App Guideline, 2082 [25]</w:t>
            </w:r>
          </w:p>
        </w:tc>
        <w:tc>
          <w:tcPr>
            <w:tcW w:type="dxa" w:w="1800"/>
            <w:vAlign w:val="center"/>
            <w:tcMar>
              <w:top w:w="60" w:type="dxa"/>
              <w:left w:w="60" w:type="dxa"/>
              <w:bottom w:w="60" w:type="dxa"/>
              <w:right w:w="60" w:type="dxa"/>
            </w:tcMar>
          </w:tcPr>
          <w:p>
            <w:pPr>
              <w:spacing w:after="0" w:before="0" w:line="240" w:lineRule="auto"/>
            </w:pPr>
            <w:r>
              <w:rPr>
                <w:sz w:val="17"/>
              </w:rPr>
              <w:t>Guideline</w:t>
            </w:r>
          </w:p>
        </w:tc>
        <w:tc>
          <w:tcPr>
            <w:tcW w:type="dxa" w:w="3168"/>
            <w:vAlign w:val="center"/>
            <w:tcMar>
              <w:top w:w="60" w:type="dxa"/>
              <w:left w:w="60" w:type="dxa"/>
              <w:bottom w:w="60" w:type="dxa"/>
              <w:right w:w="60" w:type="dxa"/>
            </w:tcMar>
          </w:tcPr>
          <w:p>
            <w:pPr>
              <w:spacing w:after="0" w:before="0" w:line="240" w:lineRule="auto"/>
            </w:pPr>
            <w:r>
              <w:rPr>
                <w:sz w:val="17"/>
              </w:rPr>
              <w:t>Sets rules for operation and management of the Citizen App.</w:t>
            </w:r>
          </w:p>
        </w:tc>
        <w:tc>
          <w:tcPr>
            <w:tcW w:type="dxa" w:w="3240"/>
            <w:vAlign w:val="center"/>
            <w:tcMar>
              <w:top w:w="60" w:type="dxa"/>
              <w:left w:w="60" w:type="dxa"/>
              <w:bottom w:w="60" w:type="dxa"/>
              <w:right w:w="60" w:type="dxa"/>
            </w:tcMar>
          </w:tcPr>
          <w:p>
            <w:pPr>
              <w:spacing w:after="0" w:before="0" w:line="240" w:lineRule="auto"/>
            </w:pPr>
            <w:r>
              <w:rPr>
                <w:sz w:val="17"/>
              </w:rPr>
              <w:t>Relevant to integrated digital public services and citizen data governance.</w:t>
            </w:r>
          </w:p>
        </w:tc>
      </w:tr>
      <w:tr>
        <w:trPr>
          <w:cantSplit/>
        </w:trPr>
        <w:tc>
          <w:tcPr>
            <w:tcW w:type="dxa" w:w="2376"/>
            <w:vAlign w:val="center"/>
            <w:tcMar>
              <w:top w:w="60" w:type="dxa"/>
              <w:left w:w="60" w:type="dxa"/>
              <w:bottom w:w="60" w:type="dxa"/>
              <w:right w:w="60" w:type="dxa"/>
            </w:tcMar>
          </w:tcPr>
          <w:p>
            <w:pPr>
              <w:spacing w:after="0" w:before="0" w:line="240" w:lineRule="auto"/>
            </w:pPr>
            <w:r>
              <w:rPr>
                <w:sz w:val="17"/>
              </w:rPr>
              <w:t>National Artificial Intelligence Policy, 2082 [3]</w:t>
            </w:r>
          </w:p>
        </w:tc>
        <w:tc>
          <w:tcPr>
            <w:tcW w:type="dxa" w:w="1800"/>
            <w:vAlign w:val="center"/>
            <w:tcMar>
              <w:top w:w="60" w:type="dxa"/>
              <w:left w:w="60" w:type="dxa"/>
              <w:bottom w:w="60" w:type="dxa"/>
              <w:right w:w="60" w:type="dxa"/>
            </w:tcMar>
          </w:tcPr>
          <w:p>
            <w:pPr>
              <w:spacing w:after="0" w:before="0" w:line="240" w:lineRule="auto"/>
            </w:pPr>
            <w:r>
              <w:rPr>
                <w:sz w:val="17"/>
              </w:rPr>
              <w:t>Policy</w:t>
            </w:r>
          </w:p>
        </w:tc>
        <w:tc>
          <w:tcPr>
            <w:tcW w:type="dxa" w:w="3168"/>
            <w:vAlign w:val="center"/>
            <w:tcMar>
              <w:top w:w="60" w:type="dxa"/>
              <w:left w:w="60" w:type="dxa"/>
              <w:bottom w:w="60" w:type="dxa"/>
              <w:right w:w="60" w:type="dxa"/>
            </w:tcMar>
          </w:tcPr>
          <w:p>
            <w:pPr>
              <w:spacing w:after="0" w:before="0" w:line="240" w:lineRule="auto"/>
            </w:pPr>
            <w:r>
              <w:rPr>
                <w:sz w:val="17"/>
              </w:rPr>
              <w:t>Sets national direction for AI development, use, governance and skills.</w:t>
            </w:r>
          </w:p>
        </w:tc>
        <w:tc>
          <w:tcPr>
            <w:tcW w:type="dxa" w:w="3240"/>
            <w:vAlign w:val="center"/>
            <w:tcMar>
              <w:top w:w="60" w:type="dxa"/>
              <w:left w:w="60" w:type="dxa"/>
              <w:bottom w:w="60" w:type="dxa"/>
              <w:right w:w="60" w:type="dxa"/>
            </w:tcMar>
          </w:tcPr>
          <w:p>
            <w:pPr>
              <w:spacing w:after="0" w:before="0" w:line="240" w:lineRule="auto"/>
            </w:pPr>
            <w:r>
              <w:rPr>
                <w:sz w:val="17"/>
              </w:rPr>
              <w:t>Main policy base for AI capability, safety and AI Sovereignty.</w:t>
            </w:r>
          </w:p>
        </w:tc>
      </w:tr>
    </w:tbl>
    <w:p>
      <w:pPr>
        <w:spacing w:before="200"/>
      </w:pPr>
    </w:p>
    <w:p>
      <w:pPr>
        <w:spacing w:after="160" w:line="276"/>
        <w:jc w:val="both"/>
      </w:pPr>
      <w:r>
        <w:t>The table shows that Nepal does not lack digital laws or policies. The main issue is that these instruments were created at different times for different purposes. They do not provide one common method for deciding what Nepal must control directly, what can depend on outside technology and what safeguards are needed.</w:t>
      </w:r>
    </w:p>
    <w:p>
      <w:pPr>
        <w:pStyle w:val="Heading1"/>
        <w:spacing w:after="160" w:before="360"/>
      </w:pPr>
      <w:r>
        <w:rPr>
          <w:rFonts w:ascii="Cambria" w:hAnsi="Cambria"/>
          <w:b/>
          <w:sz w:val="26"/>
        </w:rPr>
        <w:t>5. Nepal's Digital Progress and Main Findings</w:t>
      </w:r>
    </w:p>
    <w:p>
      <w:pPr>
        <w:pBdr>
          <w:left w:val="single" w:color="666666" w:sz="12" w:space="8"/>
        </w:pBdr>
        <w:spacing w:after="200" w:before="120"/>
        <w:ind w:left="480" w:right="480"/>
        <w:jc w:val="both"/>
      </w:pPr>
      <w:r>
        <w:rPr>
          <w:rFonts w:ascii="Cambria" w:hAnsi="Cambria"/>
          <w:i/>
          <w:sz w:val="22"/>
        </w:rPr>
        <w:t>Nepal is not starting from zero. It has already built important parts of a digital ecosystem. Progress is visible in connectivity, digital payments, digital identity, public digital services, cybersecurity, cloud regulation and AI policy. The main issue is that these parts are still developing separately. Digital Sovereignty gives Nepal a simple way to connect them and decide where stronger national control is needed.</w:t>
      </w:r>
    </w:p>
    <w:tbl>
      <w:tblPr>
        <w:tblW w:type="auto" w:w="0"/>
        <w:tblLook w:firstColumn="1" w:firstRow="1" w:lastColumn="0" w:lastRow="0" w:noHBand="0" w:noVBand="1" w:val="04A0"/>
      </w:tblPr>
      <w:tblGrid>
        <w:gridCol w:w="3120"/>
        <w:gridCol w:w="3120"/>
        <w:gridCol w:w="3120"/>
      </w:tblGrid>
      <w:tr>
        <w:trPr>
          <w:tblHeader w:val="true"/>
        </w:trPr>
        <w:tc>
          <w:tcPr>
            <w:tcW w:type="dxa" w:w="3120"/>
          </w:tcPr>
          <w:p>
            <w:r>
              <w:t>Area</w:t>
            </w:r>
          </w:p>
        </w:tc>
        <w:tc>
          <w:tcPr>
            <w:tcW w:type="dxa" w:w="3120"/>
          </w:tcPr>
          <w:p>
            <w:r>
              <w:t>Progress in Nepal</w:t>
            </w:r>
          </w:p>
        </w:tc>
        <w:tc>
          <w:tcPr>
            <w:tcW w:type="dxa" w:w="3120"/>
          </w:tcPr>
          <w:p>
            <w:r>
              <w:t>Why it matters for Digital Sovereignty</w:t>
            </w:r>
          </w:p>
        </w:tc>
      </w:tr>
      <w:tr>
        <w:tc>
          <w:tcPr>
            <w:tcW w:type="dxa" w:w="3120"/>
          </w:tcPr>
          <w:p>
            <w:r>
              <w:t>Connectivity</w:t>
            </w:r>
          </w:p>
        </w:tc>
        <w:tc>
          <w:tcPr>
            <w:tcW w:type="dxa" w:w="3120"/>
          </w:tcPr>
          <w:p>
            <w:r>
              <w:t>NTA reported about 3.22 million fixed-wired broadband subscriptions and 26.5 million mobile-broadband subscriptions in Asadh 2082. [26]</w:t>
            </w:r>
          </w:p>
        </w:tc>
        <w:tc>
          <w:tcPr>
            <w:tcW w:type="dxa" w:w="3120"/>
          </w:tcPr>
          <w:p>
            <w:r>
              <w:t>More public and economic activity now depends on digital networks.</w:t>
            </w:r>
          </w:p>
        </w:tc>
      </w:tr>
      <w:tr>
        <w:tc>
          <w:tcPr>
            <w:tcW w:type="dxa" w:w="3120"/>
          </w:tcPr>
          <w:p>
            <w:r>
              <w:t>Digital payments</w:t>
            </w:r>
          </w:p>
        </w:tc>
        <w:tc>
          <w:tcPr>
            <w:tcW w:type="dxa" w:w="3120"/>
          </w:tcPr>
          <w:p>
            <w:r>
              <w:t>NRB reported 27.1 million wallet accounts and 29.0 million mobile-banking registrations by mid-January 2026. [1]</w:t>
            </w:r>
          </w:p>
        </w:tc>
        <w:tc>
          <w:tcPr>
            <w:tcW w:type="dxa" w:w="3120"/>
          </w:tcPr>
          <w:p>
            <w:r>
              <w:t>Payments are now critical digital infrastructure and need resilience and national oversight.</w:t>
            </w:r>
          </w:p>
        </w:tc>
      </w:tr>
      <w:tr>
        <w:tc>
          <w:tcPr>
            <w:tcW w:type="dxa" w:w="3120"/>
          </w:tcPr>
          <w:p>
            <w:r>
              <w:t>Digital identity</w:t>
            </w:r>
          </w:p>
        </w:tc>
        <w:tc>
          <w:tcPr>
            <w:tcW w:type="dxa" w:w="3120"/>
          </w:tcPr>
          <w:p>
            <w:r>
              <w:t>The National ID programme is designed as a digital identity system for public services. An eNID download service is also available. [27]</w:t>
            </w:r>
          </w:p>
        </w:tc>
        <w:tc>
          <w:tcPr>
            <w:tcW w:type="dxa" w:w="3120"/>
          </w:tcPr>
          <w:p>
            <w:r>
              <w:t>Identity data and authentication need very strong protection and continuity.</w:t>
            </w:r>
          </w:p>
        </w:tc>
      </w:tr>
      <w:tr>
        <w:tc>
          <w:tcPr>
            <w:tcW w:type="dxa" w:w="3120"/>
          </w:tcPr>
          <w:p>
            <w:r>
              <w:t>Digital public infrastructure</w:t>
            </w:r>
          </w:p>
        </w:tc>
        <w:tc>
          <w:tcPr>
            <w:tcW w:type="dxa" w:w="3120"/>
          </w:tcPr>
          <w:p>
            <w:r>
              <w:t>The Nepal Digital Transformation Project includes a government-wide data exchange, citizen portal, digital credentials, electronic signatures, cybersecurity and data governance. [2]</w:t>
            </w:r>
          </w:p>
        </w:tc>
        <w:tc>
          <w:tcPr>
            <w:tcW w:type="dxa" w:w="3120"/>
          </w:tcPr>
          <w:p>
            <w:r>
              <w:t>Government systems are becoming more connected, so data control and interoperability are more important.</w:t>
            </w:r>
          </w:p>
        </w:tc>
      </w:tr>
      <w:tr>
        <w:tc>
          <w:tcPr>
            <w:tcW w:type="dxa" w:w="3120"/>
          </w:tcPr>
          <w:p>
            <w:r>
              <w:t>Cyber, cloud and AI policy</w:t>
            </w:r>
          </w:p>
        </w:tc>
        <w:tc>
          <w:tcPr>
            <w:tcW w:type="dxa" w:w="3120"/>
          </w:tcPr>
          <w:p>
            <w:r>
              <w:t>Nepal has a National Cyber Security Policy, a Data Centre and Cloud Service Directive, and a National AI Policy. [3][5][6]</w:t>
            </w:r>
          </w:p>
        </w:tc>
        <w:tc>
          <w:tcPr>
            <w:tcW w:type="dxa" w:w="3120"/>
          </w:tcPr>
          <w:p>
            <w:r>
              <w:t>Nepal has policy foundations, but they need to work together around common sovereignty risks.</w:t>
            </w:r>
          </w:p>
        </w:tc>
      </w:tr>
      <w:tr>
        <w:tc>
          <w:tcPr>
            <w:tcW w:type="dxa" w:w="3120"/>
          </w:tcPr>
          <w:p>
            <w:r>
              <w:t>Digital government direction</w:t>
            </w:r>
          </w:p>
        </w:tc>
        <w:tc>
          <w:tcPr>
            <w:tcW w:type="dxa" w:w="3120"/>
          </w:tcPr>
          <w:p>
            <w:r>
              <w:t>The Draft Digital Nepal Framework 2.0 focuses on stronger digital foundations, coordination, accountability and interoperability. [7]</w:t>
            </w:r>
          </w:p>
        </w:tc>
        <w:tc>
          <w:tcPr>
            <w:tcW w:type="dxa" w:w="3120"/>
          </w:tcPr>
          <w:p>
            <w:r>
              <w:t>Nepal is moving toward integrated digital government, which increases the need for a clear sovereignty model.</w:t>
            </w:r>
          </w:p>
        </w:tc>
      </w:tr>
    </w:tbl>
    <w:p>
      <w:pPr>
        <w:pStyle w:val="Heading2"/>
        <w:spacing w:after="120" w:before="240"/>
      </w:pPr>
      <w:r>
        <w:rPr>
          <w:rFonts w:ascii="Cambria" w:hAnsi="Cambria"/>
          <w:sz w:val="22"/>
        </w:rPr>
        <w:t>5.1 Main Research Findings</w:t>
      </w:r>
    </w:p>
    <w:p>
      <w:r>
        <w:rPr>
          <w:b/>
        </w:rPr>
        <w:t xml:space="preserve">Finding 1 - Nepal has made real digital progress. </w:t>
      </w:r>
      <w:r>
        <w:t>Digital payments, National ID, digital public infrastructure and new cyber, cloud and AI policies show that Nepal already has important foundations.</w:t>
      </w:r>
    </w:p>
    <w:p>
      <w:r>
        <w:rPr>
          <w:b/>
        </w:rPr>
        <w:t xml:space="preserve">Finding 2 - The main gap is coordination. </w:t>
      </w:r>
      <w:r>
        <w:t>Laws, policies and systems exist in separate areas. Nepal still needs one simple method to decide which systems need stronger national control.</w:t>
      </w:r>
    </w:p>
    <w:p>
      <w:r>
        <w:rPr>
          <w:b/>
        </w:rPr>
        <w:t xml:space="preserve">Finding 3 - The main sovereignty risk is unmanaged dependence. </w:t>
      </w:r>
      <w:r>
        <w:t>Foreign cloud, platforms, software or AI are not the problem by themselves. The risk becomes serious when Nepal cannot audit, replace, regulate or continue a critical service.</w:t>
      </w:r>
    </w:p>
    <w:p>
      <w:r>
        <w:rPr>
          <w:b/>
        </w:rPr>
        <w:t xml:space="preserve">Finding 4 - Critical systems need different levels of control. </w:t>
      </w:r>
      <w:r>
        <w:t>A public website, office software, National ID, payment infrastructure and a national-security system should not follow the same sovereignty requirements.</w:t>
      </w:r>
    </w:p>
    <w:p>
      <w:pPr>
        <w:pStyle w:val="Heading1"/>
        <w:spacing w:after="160" w:before="360"/>
      </w:pPr>
      <w:r>
        <w:rPr>
          <w:rFonts w:ascii="Cambria" w:cs="Cambria" w:eastAsia="Cambria" w:hAnsi="Cambria"/>
          <w:b/>
          <w:bCs/>
          <w:sz w:val="26"/>
          <w:szCs w:val="26"/>
        </w:rPr>
        <w:t xml:space="preserve">6. The Nepal Digital Sovereignty Framework (NDSF)</w:t>
      </w:r>
    </w:p>
    <w:p>
      <w:pPr>
        <w:pBdr>
          <w:left w:val="single" w:color="666666" w:sz="12" w:space="8"/>
        </w:pBdr>
        <w:spacing w:after="200" w:before="120"/>
        <w:ind w:left="480" w:right="480"/>
        <w:jc w:val="both"/>
      </w:pPr>
      <w:r>
        <w:rPr>
          <w:rFonts w:ascii="Cambria" w:cs="Cambria" w:eastAsia="Cambria" w:hAnsi="Cambria"/>
          <w:i/>
          <w:iCs/>
          <w:sz w:val="22"/>
          <w:szCs w:val="22"/>
        </w:rPr>
        <w:t>Purpose: to help Nepal decide what it must control, what can safely depend on outside technology and what safeguards are needed.</w:t>
      </w:r>
    </w:p>
    <w:p>
      <w:pPr>
        <w:spacing w:after="160" w:line="276"/>
        <w:jc w:val="both"/>
      </w:pPr>
      <w:r>
        <w:rPr>
          <w:rFonts w:ascii="Cambria" w:cs="Cambria" w:eastAsia="Cambria" w:hAnsi="Cambria"/>
          <w:sz w:val="22"/>
          <w:szCs w:val="22"/>
        </w:rPr>
        <w:t>The framework has four simple stages.</w:t>
      </w:r>
    </w:p>
    <w:p>
      <w:pPr>
        <w:spacing w:after="160" w:line="276"/>
        <w:jc w:val="both"/>
      </w:pPr>
      <w:r>
        <w:rPr>
          <w:rFonts w:ascii="Cambria" w:cs="Cambria" w:eastAsia="Cambria" w:hAnsi="Cambria"/>
          <w:b/>
          <w:bCs/>
          <w:sz w:val="22"/>
          <w:szCs w:val="22"/>
        </w:rPr>
        <w:t>Stage 1 - Identify the area. Is the issue about citizen rights, data, platforms and algorithms, infrastructure and cloud, AI and technology, or governance and security?</w:t>
      </w:r>
      <w:r>
        <w:rPr>
          <w:rFonts w:ascii="Cambria" w:cs="Cambria" w:eastAsia="Cambria" w:hAnsi="Cambria"/>
          <w:sz w:val="22"/>
          <w:szCs w:val="22"/>
        </w:rPr>
      </w:r>
    </w:p>
    <w:p>
      <w:pPr>
        <w:spacing w:after="160" w:line="276"/>
        <w:jc w:val="both"/>
      </w:pPr>
      <w:r>
        <w:rPr>
          <w:rFonts w:ascii="Cambria" w:cs="Cambria" w:eastAsia="Cambria" w:hAnsi="Cambria"/>
          <w:b/>
          <w:bCs/>
          <w:sz w:val="22"/>
          <w:szCs w:val="22"/>
        </w:rPr>
        <w:t>Stage 2 - Apply five tests. How critical is the system? How sensitive is the data? How dependent is it on outside providers? How easy is it to replace? Can Nepal investigate problems and enforce rules?</w:t>
      </w:r>
      <w:r>
        <w:rPr>
          <w:rFonts w:ascii="Cambria" w:cs="Cambria" w:eastAsia="Cambria" w:hAnsi="Cambria"/>
          <w:sz w:val="22"/>
          <w:szCs w:val="22"/>
        </w:rPr>
      </w:r>
    </w:p>
    <w:p>
      <w:pPr>
        <w:spacing w:after="160" w:line="276"/>
        <w:jc w:val="both"/>
      </w:pPr>
      <w:r>
        <w:rPr>
          <w:rFonts w:ascii="Cambria" w:hAnsi="Cambria"/>
          <w:b/>
          <w:sz w:val="22"/>
        </w:rPr>
        <w:t>Stage 3 - Choose the control level. Use only three levels: Basic Control, Managed Dependency, or Strategic Control. The higher the risk, the stronger the control should be.</w:t>
      </w:r>
    </w:p>
    <w:p>
      <w:pPr>
        <w:spacing w:after="160" w:line="276"/>
        <w:jc w:val="both"/>
      </w:pPr>
      <w:r>
        <w:rPr>
          <w:rFonts w:ascii="Cambria" w:hAnsi="Cambria"/>
          <w:b/>
          <w:sz w:val="22"/>
        </w:rPr>
        <w:t>Stage 4 - Apply the safeguards. These can include encryption, audit logs, backup, data portability, open APIs, more than one provider, clear legal rights, an exit plan and human review for high-impact AI.</w:t>
      </w:r>
    </w:p>
    <w:p>
      <w:pPr>
        <w:pBdr>
          <w:left w:val="single" w:color="666666" w:sz="12" w:space="8"/>
        </w:pBdr>
        <w:spacing w:after="200" w:before="120"/>
        <w:ind w:left="480" w:right="480"/>
        <w:jc w:val="both"/>
      </w:pPr>
      <w:r>
        <w:rPr>
          <w:rFonts w:ascii="Cambria" w:cs="Cambria" w:eastAsia="Cambria" w:hAnsi="Cambria"/>
          <w:i/>
          <w:iCs/>
          <w:sz w:val="22"/>
          <w:szCs w:val="22"/>
        </w:rPr>
        <w:t>Core rule: the more important the system, the more sensitive the data, the greater the outside dependence, the harder the system is to replace and the weaker the accountability, the stronger Nepal's safeguards should be.</w:t>
      </w:r>
    </w:p>
    <w:p>
      <w:pPr>
        <w:pStyle w:val="Heading1"/>
        <w:spacing w:after="160" w:before="360"/>
      </w:pPr>
      <w:r>
        <w:rPr>
          <w:rFonts w:ascii="Cambria" w:cs="Cambria" w:eastAsia="Cambria" w:hAnsi="Cambria"/>
          <w:b/>
          <w:bCs/>
          <w:sz w:val="26"/>
          <w:szCs w:val="26"/>
        </w:rPr>
        <w:t xml:space="preserve">7. Applying the Framework: Recommended Sovereignty Positions</w:t>
      </w:r>
    </w:p>
    <w:p>
      <w:pPr>
        <w:spacing w:after="160" w:line="276"/>
        <w:jc w:val="both"/>
      </w:pPr>
      <w:r>
        <w:rPr>
          <w:rFonts w:ascii="Cambria" w:cs="Cambria" w:eastAsia="Cambria" w:hAnsi="Cambria"/>
          <w:sz w:val="22"/>
          <w:szCs w:val="22"/>
        </w:rPr>
        <w:t>The NDSF does not say that every system needs the same level of control. Table 2 gives simple examples for Nepal.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50"/>
        <w:gridCol w:w="4950"/>
      </w:tblGrid>
      <w:tr>
        <w:trPr>
          <w:tblHeader/>
        </w:trPr>
        <w:tc>
          <w:tcPr>
            <w:tcW w:type="pct" w:w="45%"/>
            <w:shd w:fill="1F3864" w:val="clear"/>
            <w:tcMar>
              <w:top w:type="dxa" w:w="100"/>
              <w:left w:type="dxa" w:w="120"/>
              <w:bottom w:type="dxa" w:w="100"/>
              <w:right w:type="dxa" w:w="120"/>
            </w:tcMar>
            <w:vAlign w:val="center"/>
          </w:tcPr>
          <w:p>
            <w:pPr>
              <w:jc w:val="left"/>
            </w:pPr>
            <w:r>
              <w:rPr>
                <w:rFonts w:ascii="Cambria" w:cs="Cambria" w:eastAsia="Cambria" w:hAnsi="Cambria"/>
                <w:b/>
                <w:bCs/>
                <w:color w:val="FFFFFF"/>
                <w:sz w:val="20"/>
                <w:szCs w:val="20"/>
              </w:rPr>
              <w:t xml:space="preserve">Digital Asset</w:t>
            </w:r>
          </w:p>
        </w:tc>
        <w:tc>
          <w:tcPr>
            <w:tcW w:type="pct" w:w="55%"/>
            <w:shd w:fill="1F3864" w:val="clear"/>
            <w:tcMar>
              <w:top w:type="dxa" w:w="100"/>
              <w:left w:type="dxa" w:w="120"/>
              <w:bottom w:type="dxa" w:w="100"/>
              <w:right w:type="dxa" w:w="120"/>
            </w:tcMar>
            <w:vAlign w:val="center"/>
          </w:tcPr>
          <w:p>
            <w:r>
              <w:t>Recommended Control Level</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Public information website</w:t>
            </w:r>
          </w:p>
        </w:tc>
        <w:tc>
          <w:tcPr>
            <w:tcW w:type="pct" w:w="55%"/>
            <w:tcMar>
              <w:top w:type="dxa" w:w="100"/>
              <w:left w:type="dxa" w:w="120"/>
              <w:bottom w:type="dxa" w:w="100"/>
              <w:right w:type="dxa" w:w="120"/>
            </w:tcMar>
            <w:vAlign w:val="center"/>
          </w:tcPr>
          <w:p>
            <w:r>
              <w:t>Basic Control</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Standard office software</w:t>
            </w:r>
          </w:p>
        </w:tc>
        <w:tc>
          <w:tcPr>
            <w:tcW w:type="pct" w:w="55%"/>
            <w:tcMar>
              <w:top w:type="dxa" w:w="100"/>
              <w:left w:type="dxa" w:w="120"/>
              <w:bottom w:type="dxa" w:w="100"/>
              <w:right w:type="dxa" w:w="120"/>
            </w:tcMar>
            <w:vAlign w:val="center"/>
          </w:tcPr>
          <w:p>
            <w:r>
              <w:t>Managed Dependency</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Non-sensitive government application</w:t>
            </w:r>
          </w:p>
        </w:tc>
        <w:tc>
          <w:tcPr>
            <w:tcW w:type="pct" w:w="55%"/>
            <w:tcMar>
              <w:top w:type="dxa" w:w="100"/>
              <w:left w:type="dxa" w:w="120"/>
              <w:bottom w:type="dxa" w:w="100"/>
              <w:right w:type="dxa" w:w="120"/>
            </w:tcMar>
            <w:vAlign w:val="center"/>
          </w:tcPr>
          <w:p>
            <w:r>
              <w:t>Managed Dependency</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Sensitive government data system</w:t>
            </w:r>
          </w:p>
        </w:tc>
        <w:tc>
          <w:tcPr>
            <w:tcW w:type="pct" w:w="55%"/>
            <w:tcMar>
              <w:top w:type="dxa" w:w="100"/>
              <w:left w:type="dxa" w:w="120"/>
              <w:bottom w:type="dxa" w:w="100"/>
              <w:right w:type="dxa" w:w="120"/>
            </w:tcMar>
            <w:vAlign w:val="center"/>
          </w:tcPr>
          <w:p>
            <w:r>
              <w:t>Strategic Control</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Government-wide data exchange</w:t>
            </w:r>
          </w:p>
        </w:tc>
        <w:tc>
          <w:tcPr>
            <w:tcW w:type="pct" w:w="55%"/>
            <w:tcMar>
              <w:top w:type="dxa" w:w="100"/>
              <w:left w:type="dxa" w:w="120"/>
              <w:bottom w:type="dxa" w:w="100"/>
              <w:right w:type="dxa" w:w="120"/>
            </w:tcMar>
            <w:vAlign w:val="center"/>
          </w:tcPr>
          <w:p>
            <w:r>
              <w:t>Strategic Control</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National digital identity</w:t>
            </w:r>
          </w:p>
        </w:tc>
        <w:tc>
          <w:tcPr>
            <w:tcW w:type="pct" w:w="55%"/>
            <w:tcMar>
              <w:top w:type="dxa" w:w="100"/>
              <w:left w:type="dxa" w:w="120"/>
              <w:bottom w:type="dxa" w:w="100"/>
              <w:right w:type="dxa" w:w="120"/>
            </w:tcMar>
            <w:vAlign w:val="center"/>
          </w:tcPr>
          <w:p>
            <w:r>
              <w:t>Strategic Control</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Critical payment infrastructure</w:t>
            </w:r>
          </w:p>
        </w:tc>
        <w:tc>
          <w:tcPr>
            <w:tcW w:type="pct" w:w="55%"/>
            <w:tcMar>
              <w:top w:type="dxa" w:w="100"/>
              <w:left w:type="dxa" w:w="120"/>
              <w:bottom w:type="dxa" w:w="100"/>
              <w:right w:type="dxa" w:w="120"/>
            </w:tcMar>
            <w:vAlign w:val="center"/>
          </w:tcPr>
          <w:p>
            <w:r>
              <w:t>Strategic Control with strong regulatory oversight</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High-impact government AI</w:t>
            </w:r>
          </w:p>
        </w:tc>
        <w:tc>
          <w:tcPr>
            <w:tcW w:type="pct" w:w="55%"/>
            <w:tcMar>
              <w:top w:type="dxa" w:w="100"/>
              <w:left w:type="dxa" w:w="120"/>
              <w:bottom w:type="dxa" w:w="100"/>
              <w:right w:type="dxa" w:w="120"/>
            </w:tcMar>
            <w:vAlign w:val="center"/>
          </w:tcPr>
          <w:p>
            <w:r>
              <w:t>Strategic Control with audit and human review</w:t>
            </w:r>
          </w:p>
        </w:tc>
      </w:tr>
      <w:tr>
        <w:tc>
          <w:tcPr>
            <w:tcW w:type="pct" w:w="45%"/>
            <w:tcMar>
              <w:top w:type="dxa" w:w="100"/>
              <w:left w:type="dxa" w:w="120"/>
              <w:bottom w:type="dxa" w:w="100"/>
              <w:right w:type="dxa" w:w="120"/>
            </w:tcMar>
            <w:vAlign w:val="center"/>
          </w:tcPr>
          <w:p>
            <w:pPr>
              <w:jc w:val="left"/>
            </w:pPr>
            <w:r>
              <w:rPr>
                <w:rFonts w:ascii="Cambria" w:cs="Cambria" w:eastAsia="Cambria" w:hAnsi="Cambria"/>
                <w:b w:val="false"/>
                <w:bCs w:val="false"/>
                <w:sz w:val="20"/>
                <w:szCs w:val="20"/>
              </w:rPr>
              <w:t>National-security systems</w:t>
            </w:r>
          </w:p>
        </w:tc>
        <w:tc>
          <w:tcPr>
            <w:tcW w:type="pct" w:w="55%"/>
            <w:tcMar>
              <w:top w:type="dxa" w:w="100"/>
              <w:left w:type="dxa" w:w="120"/>
              <w:bottom w:type="dxa" w:w="100"/>
              <w:right w:type="dxa" w:w="120"/>
            </w:tcMar>
            <w:vAlign w:val="center"/>
          </w:tcPr>
          <w:p>
            <w:r>
              <w:t>Highest direct Strategic Control</w:t>
            </w:r>
          </w:p>
        </w:tc>
      </w:tr>
    </w:tbl>
    <w:p>
      <w:pPr>
        <w:spacing w:before="200"/>
      </w:pPr>
    </w:p>
    <w:p>
      <w:pPr>
        <w:spacing w:after="160" w:line="276"/>
        <w:jc w:val="both"/>
      </w:pPr>
      <w:r>
        <w:rPr>
          <w:rFonts w:ascii="Cambria" w:cs="Cambria" w:eastAsia="Cambria" w:hAnsi="Cambria"/>
          <w:sz w:val="22"/>
          <w:szCs w:val="22"/>
        </w:rPr>
        <w:t>This makes Digital Sovereignty practical. The question is not whether Nepal should use foreign technology. The question is how much foreign dependence is safe for each type of system.</w:t>
      </w:r>
    </w:p>
    <w:p>
      <w:pPr>
        <w:pStyle w:val="Heading1"/>
        <w:spacing w:after="160" w:before="360"/>
      </w:pPr>
      <w:r>
        <w:t>8. Five Practical Technical Actions for Nepal</w:t>
      </w:r>
    </w:p>
    <w:p>
      <w:r>
        <w:t>The paper recommends only five immediate technical actions. They are simple enough to use across ministries and public agencies, and they directly support the NDSF.</w:t>
      </w:r>
    </w:p>
    <w:p>
      <w:r>
        <w:rPr>
          <w:b/>
        </w:rPr>
        <w:t xml:space="preserve">1. Classify critical systems and data. </w:t>
      </w:r>
      <w:r>
        <w:t>Government should identify which systems and data are public, sensitive, critical or national-security related. Strong controls should be used only where risk is high.</w:t>
      </w:r>
    </w:p>
    <w:p>
      <w:r>
        <w:rPr>
          <w:b/>
        </w:rPr>
        <w:t xml:space="preserve">2. Make portability and exit plans mandatory. </w:t>
      </w:r>
      <w:r>
        <w:t>Critical government systems should use exportable data formats, documented APIs and a clear provider-exit plan. Nepal should not become trapped in one vendor or one cloud service.</w:t>
      </w:r>
    </w:p>
    <w:p>
      <w:r>
        <w:rPr>
          <w:b/>
        </w:rPr>
        <w:t xml:space="preserve">3. Set a minimum security baseline. </w:t>
      </w:r>
      <w:r>
        <w:t>Critical systems should use encryption, multi-factor authentication, role-based access, audit logs, regular security testing, backup and disaster recovery.</w:t>
      </w:r>
    </w:p>
    <w:p>
      <w:r>
        <w:rPr>
          <w:b/>
        </w:rPr>
        <w:t xml:space="preserve">4. Put clear controls on high-impact government AI. </w:t>
      </w:r>
      <w:r>
        <w:t>Sensitive data should be protected, important outputs should be auditable, and a responsible human authority should remain accountable for important decisions.</w:t>
      </w:r>
    </w:p>
    <w:p>
      <w:r>
        <w:rPr>
          <w:b/>
        </w:rPr>
        <w:t xml:space="preserve">5. Review national digital dependencies every year. </w:t>
      </w:r>
      <w:r>
        <w:t>Government should keep a simple register of critical systems, main providers, foreign dependencies, backup arrangements and replacement options. This makes hidden dependency visible before a crisis occurs.</w:t>
      </w:r>
    </w:p>
    <w:p>
      <w:pPr>
        <w:pStyle w:val="Heading1"/>
        <w:spacing w:after="160" w:before="360"/>
      </w:pPr>
      <w:r>
        <w:rPr>
          <w:rFonts w:ascii="Cambria" w:hAnsi="Cambria"/>
          <w:b/>
          <w:sz w:val="26"/>
        </w:rPr>
        <w:t>9. Limitations and Validation Needs</w:t>
      </w:r>
    </w:p>
    <w:p>
      <w:pPr>
        <w:spacing w:after="160" w:line="276"/>
        <w:jc w:val="both"/>
      </w:pPr>
      <w:r>
        <w:rPr>
          <w:rFonts w:ascii="Cambria" w:cs="Cambria" w:eastAsia="Cambria" w:hAnsi="Cambria"/>
          <w:sz w:val="22"/>
          <w:szCs w:val="22"/>
        </w:rPr>
        <w:t>This paper has three main limits. First, detailed public information about government cloud providers, system architecture, vendor contracts, data location and exit plans is limited. The paper therefore does not claim facts that cannot be verified.</w:t>
      </w:r>
    </w:p>
    <w:p>
      <w:pPr>
        <w:spacing w:after="160" w:line="276"/>
        <w:jc w:val="both"/>
      </w:pPr>
      <w:r>
        <w:rPr>
          <w:rFonts w:ascii="Cambria" w:cs="Cambria" w:eastAsia="Cambria" w:hAnsi="Cambria"/>
          <w:sz w:val="22"/>
          <w:szCs w:val="22"/>
        </w:rPr>
        <w:t>Second, having a law, policy or directive does not prove that it is fully implemented. Cybersecurity, AI governance, platform accountability and cloud regulation need operational evidence before their maturity can be scored.</w:t>
      </w:r>
    </w:p>
    <w:p>
      <w:pPr>
        <w:spacing w:after="160" w:line="276"/>
        <w:jc w:val="both"/>
      </w:pPr>
      <w:r>
        <w:rPr>
          <w:rFonts w:ascii="Cambria" w:cs="Cambria" w:eastAsia="Cambria" w:hAnsi="Cambria"/>
          <w:sz w:val="22"/>
          <w:szCs w:val="22"/>
        </w:rPr>
        <w:t>Third, the NDSF and the recommended control positions are proposals from this paper. They have not yet been tested in practice. Future work should validate them with government institutions, regulators, technology experts, private companies and civil society.</w:t>
      </w:r>
    </w:p>
    <w:p>
      <w:pPr>
        <w:pStyle w:val="Heading1"/>
        <w:spacing w:after="160" w:before="360"/>
      </w:pPr>
      <w:r>
        <w:rPr>
          <w:rFonts w:ascii="Cambria" w:hAnsi="Cambria"/>
          <w:b/>
          <w:sz w:val="26"/>
        </w:rPr>
        <w:t>10. Conclusion</w:t>
      </w:r>
    </w:p>
    <w:p>
      <w:pPr>
        <w:pBdr>
          <w:left w:val="single" w:color="666666" w:sz="12" w:space="8"/>
        </w:pBdr>
        <w:spacing w:after="200" w:before="120"/>
        <w:ind w:left="480" w:right="480"/>
        <w:jc w:val="both"/>
      </w:pPr>
      <w:r>
        <w:rPr>
          <w:rFonts w:ascii="Cambria" w:cs="Cambria" w:eastAsia="Cambria" w:hAnsi="Cambria"/>
          <w:i/>
          <w:iCs/>
          <w:sz w:val="22"/>
          <w:szCs w:val="22"/>
        </w:rPr>
        <w:t>Nepal's Digital Sovereignty challenge is not foreign technology itself. The real problem is dependence that is not well understood or well managed, especially when the system is important to the state, economy or citizens.</w:t>
      </w:r>
    </w:p>
    <w:p>
      <w:pPr>
        <w:spacing w:after="160" w:line="276"/>
        <w:jc w:val="both"/>
      </w:pPr>
      <w:r>
        <w:rPr>
          <w:rFonts w:ascii="Cambria" w:cs="Cambria" w:eastAsia="Cambria" w:hAnsi="Cambria"/>
          <w:sz w:val="22"/>
          <w:szCs w:val="22"/>
        </w:rPr>
        <w:t>Nepal should not try to remove all global technology dependence. It should identify important dependencies, manage them according to risk, keep alternatives where possible and build local capability where loss of control could cause serious harm. This is controlled, transparent and resilient digital interdependence. It is a practical form of Digital Sovereignty for Nepal.</w:t>
      </w:r>
    </w:p>
    <w:p>
      <w:pPr>
        <w:spacing w:after="120" w:before="320"/>
      </w:pPr>
      <w:r>
        <w:rPr>
          <w:rFonts w:ascii="Cambria" w:cs="Cambria" w:eastAsia="Cambria" w:hAnsi="Cambria"/>
          <w:b/>
          <w:bCs/>
          <w:sz w:val="24"/>
          <w:szCs w:val="24"/>
        </w:rPr>
        <w:t xml:space="preserve">References</w:t>
      </w:r>
    </w:p>
    <w:p>
      <w:pPr>
        <w:spacing w:after="60"/>
      </w:pPr>
      <w:r>
        <w:rPr>
          <w:rFonts w:ascii="Cambria" w:cs="Cambria" w:eastAsia="Cambria" w:hAnsi="Cambria"/>
          <w:sz w:val="20"/>
          <w:szCs w:val="20"/>
        </w:rPr>
        <w:t>[1] Nepal Rastra Bank, Payment Systems Department, "Monthly Payment Systems Indicators: Pus, 2082 (Mid-January 2026)," 3 February 2026.</w:t>
      </w:r>
    </w:p>
    <w:p>
      <w:pPr>
        <w:spacing w:after="60"/>
      </w:pPr>
      <w:r>
        <w:rPr>
          <w:rFonts w:ascii="Cambria" w:cs="Cambria" w:eastAsia="Cambria" w:hAnsi="Cambria"/>
          <w:sz w:val="20"/>
          <w:szCs w:val="20"/>
        </w:rPr>
        <w:t>[2] World Bank, "Nepal: World Bank Approves $50 Million Digital Transformation Project," 9 February 2026.</w:t>
      </w:r>
    </w:p>
    <w:p>
      <w:pPr>
        <w:spacing w:after="60"/>
      </w:pPr>
      <w:r>
        <w:rPr>
          <w:rFonts w:ascii="Cambria" w:cs="Cambria" w:eastAsia="Cambria" w:hAnsi="Cambria"/>
          <w:sz w:val="20"/>
          <w:szCs w:val="20"/>
        </w:rPr>
        <w:t>[3] Ministry of Communication and Information Technology, Government of Nepal, "National Artificial Intelligence (AI) Policy, 2082," 2082.</w:t>
      </w:r>
    </w:p>
    <w:p>
      <w:pPr>
        <w:spacing w:after="60"/>
      </w:pPr>
      <w:r>
        <w:rPr>
          <w:rFonts w:ascii="Cambria" w:cs="Cambria" w:eastAsia="Cambria" w:hAnsi="Cambria"/>
          <w:sz w:val="20"/>
          <w:szCs w:val="20"/>
        </w:rPr>
        <w:t>[4] Nepal Law Commission, Government of Nepal, "The Privacy Act, 2075," 2 Asoj 2075 (18 September 2018).</w:t>
      </w:r>
    </w:p>
    <w:p>
      <w:pPr>
        <w:spacing w:after="60"/>
      </w:pPr>
      <w:r>
        <w:rPr>
          <w:rFonts w:ascii="Cambria" w:cs="Cambria" w:eastAsia="Cambria" w:hAnsi="Cambria"/>
          <w:sz w:val="20"/>
          <w:szCs w:val="20"/>
        </w:rPr>
        <w:t>[5] Ministry of Communication and Information Technology, Government of Nepal, "Data Centre and Cloud Service (Operation and Management) Directive, 2081," 2081.</w:t>
      </w:r>
    </w:p>
    <w:p>
      <w:pPr>
        <w:spacing w:after="60"/>
      </w:pPr>
      <w:r>
        <w:rPr>
          <w:rFonts w:ascii="Cambria" w:cs="Cambria" w:eastAsia="Cambria" w:hAnsi="Cambria"/>
          <w:sz w:val="20"/>
          <w:szCs w:val="20"/>
        </w:rPr>
        <w:t>[6] Ministry of Communication and Information Technology, Government of Nepal, "National Cyber Security Policy, 2080," 2080.</w:t>
      </w:r>
    </w:p>
    <w:p>
      <w:pPr>
        <w:spacing w:after="60"/>
      </w:pPr>
      <w:r>
        <w:rPr>
          <w:rFonts w:ascii="Cambria" w:cs="Cambria" w:eastAsia="Cambria" w:hAnsi="Cambria"/>
          <w:sz w:val="20"/>
          <w:szCs w:val="20"/>
        </w:rPr>
        <w:t>[7] Government of Nepal, "Draft Digital Nepal Framework 2.0," draft policy framework.</w:t>
      </w:r>
    </w:p>
    <w:p>
      <w:pPr>
        <w:spacing w:after="60"/>
      </w:pPr>
      <w:r>
        <w:rPr>
          <w:rFonts w:ascii="Cambria" w:cs="Cambria" w:eastAsia="Cambria" w:hAnsi="Cambria"/>
          <w:sz w:val="20"/>
          <w:szCs w:val="20"/>
        </w:rPr>
        <w:t>[8] DataReportal, "Digital 2026: Nepal," data current to October 2025, published 2025.</w:t>
      </w:r>
    </w:p>
    <w:p>
      <w:pPr>
        <w:spacing w:after="60"/>
      </w:pPr>
      <w:r>
        <w:rPr>
          <w:rFonts w:ascii="Cambria" w:cs="Cambria" w:eastAsia="Cambria" w:hAnsi="Cambria"/>
          <w:sz w:val="20"/>
          <w:szCs w:val="20"/>
        </w:rPr>
        <w:t>[9] S. Couture and S. Toupin, "What does the notion of sovereignty mean when referring to the digital?" New Media &amp; Society, vol. 21, no. 10, pp. 2305-2322, 2019. doi:10.1177/1461444819865984.</w:t>
      </w:r>
    </w:p>
    <w:p>
      <w:pPr>
        <w:spacing w:after="60"/>
      </w:pPr>
      <w:r>
        <w:rPr>
          <w:rFonts w:ascii="Cambria" w:cs="Cambria" w:eastAsia="Cambria" w:hAnsi="Cambria"/>
          <w:sz w:val="20"/>
          <w:szCs w:val="20"/>
        </w:rPr>
        <w:t>[10] S. Fratini, E. Hine, C. Novelli, H. Roberts, et al., "Digital Sovereignty: A Descriptive Analysis and a Critical Evaluation of Existing Models," Digital Society, vol. 3, art. 59, 2024. doi:10.1007/s44206-024-00146-7.</w:t>
      </w:r>
    </w:p>
    <w:p>
      <w:pPr>
        <w:spacing w:after="60"/>
      </w:pPr>
      <w:r>
        <w:rPr>
          <w:rFonts w:ascii="Cambria" w:cs="Cambria" w:eastAsia="Cambria" w:hAnsi="Cambria"/>
          <w:sz w:val="20"/>
          <w:szCs w:val="20"/>
        </w:rPr>
        <w:t>[11] Ministry of Communication and Information Technology, Government of Nepal, "Directives for Managing the Use of Social Networks, 2080," 2080.</w:t>
      </w:r>
    </w:p>
    <w:p>
      <w:r>
        <w:t>[12] Nepal Law Commission, Government of Nepal, "Telecommunications Act, 2053 (1997)."</w:t>
      </w:r>
    </w:p>
    <w:p>
      <w:r>
        <w:t>[13] Nepal Law Commission, Government of Nepal, "Telecommunications Regulations, 2054."</w:t>
      </w:r>
    </w:p>
    <w:p>
      <w:r>
        <w:t>[14] Nepal Law Commission, Government of Nepal, "Copyright Act, 2059 (2002)."</w:t>
      </w:r>
    </w:p>
    <w:p>
      <w:r>
        <w:t>[15] Nepal Law Commission, Government of Nepal, "Electronic Transactions Act, 2063."</w:t>
      </w:r>
    </w:p>
    <w:p>
      <w:r>
        <w:t>[16] Nepal Law Commission, Government of Nepal, "Electronic Transactions Rules, 2064."</w:t>
      </w:r>
    </w:p>
    <w:p>
      <w:r>
        <w:t>[17] Nepal Law Commission, Government of Nepal, "Right to Information Act, 2064."</w:t>
      </w:r>
    </w:p>
    <w:p>
      <w:r>
        <w:t>[18] Ministry of Communication and Information Technology, Government of Nepal, "Information and Communication Technology Policy, 2072."</w:t>
      </w:r>
    </w:p>
    <w:p>
      <w:r>
        <w:t>[19] Nepal Law Commission, Government of Nepal, "Privacy Rules, 2077."</w:t>
      </w:r>
    </w:p>
    <w:p>
      <w:r>
        <w:t>[20] Nepal Rastra Bank / Government of Nepal, "Payment and Settlement Act, 2075."</w:t>
      </w:r>
    </w:p>
    <w:p>
      <w:r>
        <w:t>[21] Nepal Law Commission, Government of Nepal, "National Identity Card and Civil Registration Act, 2076."</w:t>
      </w:r>
    </w:p>
    <w:p>
      <w:r>
        <w:t>[22] Government of Nepal, "Digital Nepal Framework," approved by the Council of Ministers in 2076 (2019).</w:t>
      </w:r>
    </w:p>
    <w:p>
      <w:r>
        <w:t>[23] Nepal Law Commission, Government of Nepal, "Statistics Act, 2079."</w:t>
      </w:r>
    </w:p>
    <w:p>
      <w:r>
        <w:t>[24] Ministry of Communication and Information Technology, Government of Nepal, "Radio Frequency Allocation and Pricing Policy, 2080."</w:t>
      </w:r>
    </w:p>
    <w:p>
      <w:r>
        <w:t>[25] Ministry of Communication and Information Technology, Government of Nepal, "Citizen App (Operation and Management) Guideline, 2082."</w:t>
      </w:r>
    </w:p>
    <w:p>
      <w:r>
        <w:t>[26] Nepal Telecommunications Authority, "Management Information System (MIS), Asadh 2082," broadband subscription statistics, 2082.</w:t>
      </w:r>
    </w:p>
    <w:p>
      <w:r>
        <w:t>[27] Department of National ID and Civil Registration, Government of Nepal, National ID digital identity information and Citizen Portal/eNID service, accessed September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6"/>
        <w:szCs w:val="16"/>
      </w:rPr>
      <w:t xml:space="preserve">Digital Sovereignty for Nepal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2026-09-09T09:55:36.053Z</dcterms:created>
  <dcterms:modified xsi:type="dcterms:W3CDTF">2026-09-09T09:55:36.064Z</dcterms:modified>
</cp:coreProperties>
</file>

<file path=docProps/custom.xml><?xml version="1.0" encoding="utf-8"?>
<Properties xmlns="http://schemas.openxmlformats.org/officeDocument/2006/custom-properties" xmlns:vt="http://schemas.openxmlformats.org/officeDocument/2006/docPropsVTypes"/>
</file>