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48"/>
        </w:rPr>
        <w:t>Judicial AI for Nepal</w:t>
      </w:r>
    </w:p>
    <w:p>
      <w:pPr>
        <w:jc w:val="center"/>
      </w:pPr>
      <w:r>
        <w:rPr>
          <w:i/>
          <w:sz w:val="28"/>
        </w:rPr>
        <w:t>A Trustworthy Authority-Aware Conceptual and Technical Framework</w:t>
      </w:r>
    </w:p>
    <w:p>
      <w:pPr>
        <w:spacing w:before="360"/>
        <w:jc w:val="center"/>
      </w:pPr>
      <w:r>
        <w:rPr>
          <w:b/>
          <w:sz w:val="24"/>
        </w:rPr>
        <w:t>Condensed Concept Paper - Revision 1</w:t>
      </w:r>
    </w:p>
    <w:p>
      <w:pPr>
        <w:spacing w:before="2600"/>
        <w:jc w:val="center"/>
      </w:pPr>
      <w:r>
        <w:rPr>
          <w:i/>
        </w:rPr>
        <w:t>Prepared for international conference and policy forums</w:t>
      </w:r>
    </w:p>
    <w:p>
      <w:pPr>
        <w:jc w:val="center"/>
      </w:pPr>
      <w:r>
        <w:t>July 2026</w:t>
      </w:r>
    </w:p>
    <w:p>
      <w:r>
        <w:br w:type="page"/>
      </w:r>
    </w:p>
    <w:p>
      <w:pPr>
        <w:pStyle w:val="Heading1"/>
      </w:pPr>
      <w:r>
        <w:t>Abstract</w:t>
      </w:r>
    </w:p>
    <w:p>
      <w:pPr>
        <w:spacing w:after="100" w:line="259" w:lineRule="auto"/>
      </w:pPr>
      <w:r>
        <w:rPr>
          <w:i w:val="0"/>
        </w:rPr>
        <w:t>Nepal’s legal information is distributed across judgments, legislation, amendments, regulations, and administrative sources that vary in structure, language, accessibility, and verification quality. Conventional retrieval-augmented generation (RAG) can improve legal research, but it primarily ranks text by lexical or semantic relevance and does not by itself determine jurisdiction, legal authority, temporal validity, precedent status, or citation support. This paper proposes a trustworthy, authority-aware Judicial AI architecture for Nepal. The framework combines verified legal-document ingestion, structured metadata, hybrid retrieval, deterministic legal-intelligence services, temporally versioned law, grounded generation, independent claim and citation verification, risk-based governance, auditability, and human oversight. The proposed system is designed for legal research, precedent discovery, statutory analysis, citation verification, and judicial information management; it does not automate adjudication. The paper defines the architecture, processing model, governance controls, evaluation methodology, and a phased implementation roadmap from research prototype to institutional pilot. Its principal contribution is the integration of legal relevance, authority, validity, evidence sufficiency, and accountable human control into one implementable Nepal-focused framework.</w:t>
      </w:r>
    </w:p>
    <w:p>
      <w:pPr>
        <w:spacing w:after="100" w:line="259" w:lineRule="auto"/>
      </w:pPr>
      <w:r>
        <w:rPr>
          <w:i/>
        </w:rPr>
        <w:t>Keywords: Judicial Artificial Intelligence; Legal RAG; Authority-Aware Retrieval; Legal Information Retrieval; Legal Metadata; Human Oversight; Nepal Judiciary.</w:t>
      </w:r>
    </w:p>
    <w:p>
      <w:pPr>
        <w:pStyle w:val="Heading1"/>
      </w:pPr>
      <w:r>
        <w:t>1. Introduction</w:t>
      </w:r>
    </w:p>
    <w:p>
      <w:pPr>
        <w:spacing w:after="100" w:line="259" w:lineRule="auto"/>
      </w:pPr>
      <w:r>
        <w:rPr>
          <w:i w:val="0"/>
        </w:rPr>
        <w:t>Large language models can summarize legal material and explain complex text, while RAG can ground responses in external documents. Yet legal correctness requires more than retrieving related passages. A passage may be topically relevant but legally unusable because it is outdated, non-binding, from another jurisdiction, or unsupported by the cited source. Judicial AI must therefore be designed as a controlled legal-information system rather than a general chatbot.</w:t>
      </w:r>
    </w:p>
    <w:p>
      <w:pPr>
        <w:spacing w:after="100" w:line="259" w:lineRule="auto"/>
      </w:pPr>
      <w:r>
        <w:rPr>
          <w:i w:val="0"/>
        </w:rPr>
        <w:t>Nepal already has official digital repositories and a continuing judicial modernization agenda. The practical opportunity is to connect these resources through structured metadata, multilingual retrieval, authority assessment, and verifiable evidence. International guidance from NIST, CEPEJ, UNESCO, and national judiciaries also converges on human control, transparency, security, and professional responsibility.</w:t>
      </w:r>
    </w:p>
    <w:p>
      <w:pPr>
        <w:spacing w:after="100" w:line="259" w:lineRule="auto"/>
      </w:pPr>
      <w:r>
        <w:rPr>
          <w:i w:val="0"/>
        </w:rPr>
        <w:t>This paper proposes a Nepal-focused architecture in which verified sources and deterministic legal rules constrain model output. The core idea is simple: the language model may generate an explanation, but the system—not the model—must determine what evidence is accessible, authoritative, current, and sufficient.</w:t>
      </w:r>
    </w:p>
    <w:p>
      <w:pPr>
        <w:pStyle w:val="Heading1"/>
      </w:pPr>
      <w:r>
        <w:t>2. Nepalese Judicial-Information Problem</w:t>
      </w:r>
    </w:p>
    <w:p>
      <w:pPr>
        <w:spacing w:after="100" w:line="259" w:lineRule="auto"/>
      </w:pPr>
      <w:r>
        <w:rPr>
          <w:i w:val="0"/>
        </w:rPr>
        <w:t>Nepal’s legal information is available through the Nepal Law Commission, Supreme Court systems, Nepal Kanoon Patrika, case-status services, annual reports, and downloadable publications. These services provide a valuable foundation, but users often search statutes, judgments, case records, and reports separately. The key problem is fragmentation rather than complete absence of digital material.</w:t>
      </w:r>
    </w:p>
    <w:p>
      <w:pPr>
        <w:pStyle w:val="ListBullet"/>
        <w:spacing w:after="40" w:line="245" w:lineRule="auto"/>
      </w:pPr>
      <w:r>
        <w:t>Search is often strongest when the user already knows the case number, citation, section, party, or exact legal term.</w:t>
      </w:r>
    </w:p>
    <w:p>
      <w:pPr>
        <w:pStyle w:val="ListBullet"/>
        <w:spacing w:after="40" w:line="245" w:lineRule="auto"/>
      </w:pPr>
      <w:r>
        <w:t>Judgments and statutes are published in mixed formats, including structured records, digital PDFs, and scanned documents.</w:t>
      </w:r>
    </w:p>
    <w:p>
      <w:pPr>
        <w:pStyle w:val="ListBullet"/>
        <w:spacing w:after="40" w:line="245" w:lineRule="auto"/>
      </w:pPr>
      <w:r>
        <w:t>Legal research requires court hierarchy, jurisdiction, precedent treatment, and amendment history—not only textual similarity.</w:t>
      </w:r>
    </w:p>
    <w:p>
      <w:pPr>
        <w:pStyle w:val="ListBullet"/>
        <w:spacing w:after="40" w:line="245" w:lineRule="auto"/>
      </w:pPr>
      <w:r>
        <w:t>Questions may be asked in Nepali, English, or mixed terminology, while the authoritative source may exist only in Nepali.</w:t>
      </w:r>
    </w:p>
    <w:p>
      <w:pPr>
        <w:pStyle w:val="ListBullet"/>
        <w:spacing w:after="40" w:line="245" w:lineRule="auto"/>
      </w:pPr>
      <w:r>
        <w:t>A section may remain active while a subsection, proviso, or amendment changes over time.</w:t>
      </w:r>
    </w:p>
    <w:p>
      <w:pPr>
        <w:pStyle w:val="ListBullet"/>
        <w:spacing w:after="40" w:line="245" w:lineRule="auto"/>
      </w:pPr>
      <w:r>
        <w:t>Current systems do not provide one integrated evidence package linking provisions, judgments, versions, and paragraph-level support.</w:t>
      </w:r>
    </w:p>
    <w:p>
      <w:pPr>
        <w:spacing w:after="100" w:line="259" w:lineRule="auto"/>
      </w:pPr>
      <w:r>
        <w:rPr>
          <w:i w:val="0"/>
        </w:rPr>
        <w:t>The required system must therefore unify official sources without replacing them, preserve original documents, structure legal relationships, retrieve both exact and conceptual matches, and disclose uncertainty when the available evidence is incomplete.</w:t>
      </w:r>
    </w:p>
    <w:p>
      <w:pPr>
        <w:pStyle w:val="Heading1"/>
      </w:pPr>
      <w:r>
        <w:t>3. International Judicial AI Landscape</w:t>
      </w:r>
    </w:p>
    <w:p>
      <w:pPr>
        <w:spacing w:after="100" w:line="259" w:lineRule="auto"/>
      </w:pPr>
      <w:r>
        <w:rPr>
          <w:i w:val="0"/>
        </w:rPr>
        <w:t>International practice shows that Judicial AI is mainly assistive. Europe emphasizes governance and risk assessment; the United Kingdom and Singapore stress professional responsibility and verification; India demonstrates multilingual translation and legal-research support; Brazil applies AI to classification and workflow; China illustrates large-scale digital judicial infrastructure. UNESCO and CEPEJ consistently reject uncontrolled judicial automation.</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pPr>
              <w:spacing w:after="0" w:line="240" w:lineRule="auto"/>
            </w:pPr>
            <w:r>
              <w:rPr>
                <w:b/>
                <w:sz w:val="17"/>
              </w:rPr>
              <w:t>Jurisdiction / framework</w:t>
            </w:r>
          </w:p>
        </w:tc>
        <w:tc>
          <w:tcPr>
            <w:tcW w:type="dxa" w:w="4939"/>
            <w:shd w:fill="D9EAF7"/>
            <w:vAlign w:val="center"/>
          </w:tcPr>
          <w:p>
            <w:pPr>
              <w:spacing w:after="0" w:line="240" w:lineRule="auto"/>
            </w:pPr>
            <w:r>
              <w:rPr>
                <w:b/>
                <w:sz w:val="17"/>
              </w:rPr>
              <w:t>Primary lesson for Nepal</w:t>
            </w:r>
          </w:p>
        </w:tc>
      </w:tr>
      <w:tr>
        <w:tc>
          <w:tcPr>
            <w:tcW w:type="dxa" w:w="4939"/>
            <w:vAlign w:val="center"/>
          </w:tcPr>
          <w:p>
            <w:pPr>
              <w:spacing w:after="0" w:line="240" w:lineRule="auto"/>
            </w:pPr>
            <w:r>
              <w:rPr>
                <w:sz w:val="17"/>
              </w:rPr>
              <w:t>CEPEJ / Europe</w:t>
            </w:r>
          </w:p>
        </w:tc>
        <w:tc>
          <w:tcPr>
            <w:tcW w:type="dxa" w:w="4939"/>
            <w:vAlign w:val="center"/>
          </w:tcPr>
          <w:p>
            <w:pPr>
              <w:spacing w:after="0" w:line="240" w:lineRule="auto"/>
            </w:pPr>
            <w:r>
              <w:rPr>
                <w:sz w:val="17"/>
              </w:rPr>
              <w:t>Fundamental rights, quality, transparency, security, and user control.</w:t>
            </w:r>
          </w:p>
        </w:tc>
      </w:tr>
      <w:tr>
        <w:tc>
          <w:tcPr>
            <w:tcW w:type="dxa" w:w="4939"/>
            <w:vAlign w:val="center"/>
          </w:tcPr>
          <w:p>
            <w:pPr>
              <w:spacing w:after="0" w:line="240" w:lineRule="auto"/>
            </w:pPr>
            <w:r>
              <w:rPr>
                <w:sz w:val="17"/>
              </w:rPr>
              <w:t>United Kingdom</w:t>
            </w:r>
          </w:p>
        </w:tc>
        <w:tc>
          <w:tcPr>
            <w:tcW w:type="dxa" w:w="4939"/>
            <w:vAlign w:val="center"/>
          </w:tcPr>
          <w:p>
            <w:pPr>
              <w:spacing w:after="0" w:line="240" w:lineRule="auto"/>
            </w:pPr>
            <w:r>
              <w:rPr>
                <w:sz w:val="17"/>
              </w:rPr>
              <w:t>Judicial users remain responsible for checking AI-generated material.</w:t>
            </w:r>
          </w:p>
        </w:tc>
      </w:tr>
      <w:tr>
        <w:tc>
          <w:tcPr>
            <w:tcW w:type="dxa" w:w="4939"/>
            <w:vAlign w:val="center"/>
          </w:tcPr>
          <w:p>
            <w:pPr>
              <w:spacing w:after="0" w:line="240" w:lineRule="auto"/>
            </w:pPr>
            <w:r>
              <w:rPr>
                <w:sz w:val="17"/>
              </w:rPr>
              <w:t>India</w:t>
            </w:r>
          </w:p>
        </w:tc>
        <w:tc>
          <w:tcPr>
            <w:tcW w:type="dxa" w:w="4939"/>
            <w:vAlign w:val="center"/>
          </w:tcPr>
          <w:p>
            <w:pPr>
              <w:spacing w:after="0" w:line="240" w:lineRule="auto"/>
            </w:pPr>
            <w:r>
              <w:rPr>
                <w:sz w:val="17"/>
              </w:rPr>
              <w:t>Multilingual research and translation should be introduced through controlled pilots.</w:t>
            </w:r>
          </w:p>
        </w:tc>
      </w:tr>
      <w:tr>
        <w:tc>
          <w:tcPr>
            <w:tcW w:type="dxa" w:w="4939"/>
            <w:vAlign w:val="center"/>
          </w:tcPr>
          <w:p>
            <w:pPr>
              <w:spacing w:after="0" w:line="240" w:lineRule="auto"/>
            </w:pPr>
            <w:r>
              <w:rPr>
                <w:sz w:val="17"/>
              </w:rPr>
              <w:t>Singapore</w:t>
            </w:r>
          </w:p>
        </w:tc>
        <w:tc>
          <w:tcPr>
            <w:tcW w:type="dxa" w:w="4939"/>
            <w:vAlign w:val="center"/>
          </w:tcPr>
          <w:p>
            <w:pPr>
              <w:spacing w:after="0" w:line="240" w:lineRule="auto"/>
            </w:pPr>
            <w:r>
              <w:rPr>
                <w:sz w:val="17"/>
              </w:rPr>
              <w:t>Use-case-specific tools, phased rollout, and independent verification are preferable to unrestricted chatbots.</w:t>
            </w:r>
          </w:p>
        </w:tc>
      </w:tr>
      <w:tr>
        <w:tc>
          <w:tcPr>
            <w:tcW w:type="dxa" w:w="4939"/>
            <w:vAlign w:val="center"/>
          </w:tcPr>
          <w:p>
            <w:pPr>
              <w:spacing w:after="0" w:line="240" w:lineRule="auto"/>
            </w:pPr>
            <w:r>
              <w:rPr>
                <w:sz w:val="17"/>
              </w:rPr>
              <w:t>Brazil</w:t>
            </w:r>
          </w:p>
        </w:tc>
        <w:tc>
          <w:tcPr>
            <w:tcW w:type="dxa" w:w="4939"/>
            <w:vAlign w:val="center"/>
          </w:tcPr>
          <w:p>
            <w:pPr>
              <w:spacing w:after="0" w:line="240" w:lineRule="auto"/>
            </w:pPr>
            <w:r>
              <w:rPr>
                <w:sz w:val="17"/>
              </w:rPr>
              <w:t>Early value can come from classification, clustering, and workload support.</w:t>
            </w:r>
          </w:p>
        </w:tc>
      </w:tr>
      <w:tr>
        <w:tc>
          <w:tcPr>
            <w:tcW w:type="dxa" w:w="4939"/>
            <w:vAlign w:val="center"/>
          </w:tcPr>
          <w:p>
            <w:pPr>
              <w:spacing w:after="0" w:line="240" w:lineRule="auto"/>
            </w:pPr>
            <w:r>
              <w:rPr>
                <w:sz w:val="17"/>
              </w:rPr>
              <w:t>China</w:t>
            </w:r>
          </w:p>
        </w:tc>
        <w:tc>
          <w:tcPr>
            <w:tcW w:type="dxa" w:w="4939"/>
            <w:vAlign w:val="center"/>
          </w:tcPr>
          <w:p>
            <w:pPr>
              <w:spacing w:after="0" w:line="240" w:lineRule="auto"/>
            </w:pPr>
            <w:r>
              <w:rPr>
                <w:sz w:val="17"/>
              </w:rPr>
              <w:t>Advanced AI depends on authoritative, integrated legal-data infrastructure.</w:t>
            </w:r>
          </w:p>
        </w:tc>
      </w:tr>
      <w:tr>
        <w:tc>
          <w:tcPr>
            <w:tcW w:type="dxa" w:w="4939"/>
            <w:vAlign w:val="center"/>
          </w:tcPr>
          <w:p>
            <w:pPr>
              <w:spacing w:after="0" w:line="240" w:lineRule="auto"/>
            </w:pPr>
            <w:r>
              <w:rPr>
                <w:sz w:val="17"/>
              </w:rPr>
              <w:t>UNESCO</w:t>
            </w:r>
          </w:p>
        </w:tc>
        <w:tc>
          <w:tcPr>
            <w:tcW w:type="dxa" w:w="4939"/>
            <w:vAlign w:val="center"/>
          </w:tcPr>
          <w:p>
            <w:pPr>
              <w:spacing w:after="0" w:line="240" w:lineRule="auto"/>
            </w:pPr>
            <w:r>
              <w:rPr>
                <w:sz w:val="17"/>
              </w:rPr>
              <w:t>Judicial AI should remain human-led and protect judicial independence and rights.</w:t>
            </w:r>
          </w:p>
        </w:tc>
      </w:tr>
    </w:tbl>
    <w:p>
      <w:pPr>
        <w:spacing w:after="0"/>
      </w:pPr>
    </w:p>
    <w:p>
      <w:pPr>
        <w:spacing w:after="100" w:line="259" w:lineRule="auto"/>
      </w:pPr>
      <w:r>
        <w:rPr>
          <w:i w:val="0"/>
        </w:rPr>
        <w:t>Nepal should combine these lessons rather than copy one national model: build a verified legal-data foundation, deploy bounded assistive use cases, classify risks, require human accountability, and expand incrementally.</w:t>
      </w:r>
    </w:p>
    <w:p>
      <w:pPr>
        <w:pStyle w:val="Heading1"/>
      </w:pPr>
      <w:r>
        <w:t>4. Related Research and Theoretical Foundation</w:t>
      </w:r>
    </w:p>
    <w:p>
      <w:pPr>
        <w:spacing w:after="100" w:line="259" w:lineRule="auto"/>
      </w:pPr>
      <w:r>
        <w:rPr>
          <w:i w:val="0"/>
        </w:rPr>
        <w:t>The framework rests on four bodies of research. First, RAG connects generation to external evidence and supports source provenance. Second, legal information retrieval shows that legal relevance is multidimensional and requires specialized benchmarks. Third, legal-domain and multilingual research cautions that general models do not automatically transfer to local legal language. Fourth, recent legal RAG benchmarks show that retrieval, statutory structure, and claim support often limit end-to-end correctness.</w:t>
      </w:r>
    </w:p>
    <w:tbl>
      <w:tblPr>
        <w:tblW w:type="auto" w:w="0"/>
        <w:jc w:val="center"/>
        <w:tblLook w:firstColumn="1" w:firstRow="1" w:lastColumn="0" w:lastRow="0" w:noHBand="0" w:noVBand="1" w:val="04A0"/>
      </w:tblPr>
      <w:tblGrid>
        <w:gridCol w:w="9878"/>
      </w:tblGrid>
      <w:tr>
        <w:tc>
          <w:tcPr>
            <w:tcW w:type="dxa" w:w="9878"/>
            <w:shd w:fill="F3F5F7"/>
            <w:vAlign w:val="center"/>
          </w:tcPr>
          <w:p>
            <w:pPr>
              <w:spacing w:after="0"/>
            </w:pPr>
            <w:r>
              <w:rPr>
                <w:rFonts w:ascii="Consolas" w:hAnsi="Consolas"/>
                <w:sz w:val="17"/>
              </w:rPr>
              <w:t>Legal relevance = topical relevance</w:t>
              <w:br/>
            </w:r>
            <w:r>
              <w:rPr>
                <w:rFonts w:ascii="Consolas" w:hAnsi="Consolas"/>
                <w:sz w:val="17"/>
              </w:rPr>
              <w:t xml:space="preserve">                + exact legal terminology</w:t>
              <w:br/>
            </w:r>
            <w:r>
              <w:rPr>
                <w:rFonts w:ascii="Consolas" w:hAnsi="Consolas"/>
                <w:sz w:val="17"/>
              </w:rPr>
              <w:t xml:space="preserve">                + jurisdiction</w:t>
              <w:br/>
            </w:r>
            <w:r>
              <w:rPr>
                <w:rFonts w:ascii="Consolas" w:hAnsi="Consolas"/>
                <w:sz w:val="17"/>
              </w:rPr>
              <w:t xml:space="preserve">                + legal authority</w:t>
              <w:br/>
            </w:r>
            <w:r>
              <w:rPr>
                <w:rFonts w:ascii="Consolas" w:hAnsi="Consolas"/>
                <w:sz w:val="17"/>
              </w:rPr>
              <w:t xml:space="preserve">                + temporal validity</w:t>
              <w:br/>
            </w:r>
            <w:r>
              <w:rPr>
                <w:rFonts w:ascii="Consolas" w:hAnsi="Consolas"/>
                <w:sz w:val="17"/>
              </w:rPr>
              <w:t xml:space="preserve">                + precedent treatment</w:t>
            </w:r>
          </w:p>
        </w:tc>
      </w:tr>
    </w:tbl>
    <w:p>
      <w:pPr>
        <w:spacing w:after="0"/>
      </w:pPr>
    </w:p>
    <w:p>
      <w:pPr>
        <w:spacing w:after="100" w:line="259" w:lineRule="auto"/>
      </w:pPr>
      <w:r>
        <w:rPr>
          <w:i w:val="0"/>
        </w:rPr>
        <w:t>These findings justify a multi-stage system: exact and semantic retrieval discover candidate evidence; structured metadata and legal rules determine applicability; the LLM synthesizes only selected evidence; and a separate verification stage checks every material claim.</w:t>
      </w:r>
    </w:p>
    <w:p>
      <w:pPr>
        <w:pStyle w:val="Heading1"/>
      </w:pPr>
      <w:r>
        <w:t>5. Research Gap and Objectives</w:t>
      </w:r>
    </w:p>
    <w:p>
      <w:pPr>
        <w:spacing w:after="100" w:line="259" w:lineRule="auto"/>
      </w:pPr>
      <w:r>
        <w:rPr>
          <w:i w:val="0"/>
        </w:rPr>
        <w:t>Existing work covers legal RAG, legal NLP, citation grounding, governance, and judicial ethics, but these components are commonly studied separately. No publicly identified Nepal-focused architecture was found that integrates verified ingestion, multilingual retrieval, legal authority, temporal validity, statutory exceptions, claim-level citation verification, governance enforcement, and complete auditability.</w:t>
      </w:r>
    </w:p>
    <w:p>
      <w:pPr>
        <w:spacing w:after="100" w:line="259" w:lineRule="auto"/>
      </w:pPr>
      <w:r>
        <w:rPr>
          <w:i w:val="0"/>
        </w:rPr>
        <w:t>The research problem is therefore: How can a Judicial AI system retrieve and generate useful legal information while ensuring that its evidence is authoritative, jurisdictionally applicable, temporally valid, citation-supported, auditable, and subject to human control?</w:t>
      </w:r>
    </w:p>
    <w:p>
      <w:pPr>
        <w:pStyle w:val="ListNumber"/>
        <w:spacing w:after="40"/>
      </w:pPr>
      <w:r>
        <w:t>Design a verified legal-document and metadata pipeline.</w:t>
      </w:r>
    </w:p>
    <w:p>
      <w:pPr>
        <w:pStyle w:val="ListNumber"/>
        <w:spacing w:after="40"/>
      </w:pPr>
      <w:r>
        <w:t>Develop Authority-Aware Judicial RAG for statutes and precedents.</w:t>
      </w:r>
    </w:p>
    <w:p>
      <w:pPr>
        <w:pStyle w:val="ListNumber"/>
        <w:spacing w:after="40"/>
      </w:pPr>
      <w:r>
        <w:t>Preserve legal structure, versions, amendments, citations, and relationships.</w:t>
      </w:r>
    </w:p>
    <w:p>
      <w:pPr>
        <w:pStyle w:val="ListNumber"/>
        <w:spacing w:after="40"/>
      </w:pPr>
      <w:r>
        <w:t>Introduce independent claim and citation verification.</w:t>
      </w:r>
    </w:p>
    <w:p>
      <w:pPr>
        <w:pStyle w:val="ListNumber"/>
        <w:spacing w:after="40"/>
      </w:pPr>
      <w:r>
        <w:t>Define governance, security, audit, and human-review controls.</w:t>
      </w:r>
    </w:p>
    <w:p>
      <w:pPr>
        <w:pStyle w:val="ListNumber"/>
        <w:spacing w:after="40"/>
      </w:pPr>
      <w:r>
        <w:t>Provide a practical implementation roadmap and evaluation framework.</w:t>
      </w:r>
    </w:p>
    <w:p>
      <w:pPr>
        <w:pStyle w:val="Heading1"/>
      </w:pPr>
      <w:r>
        <w:t>6. Proposed Judicial AI Architecture</w:t>
      </w:r>
    </w:p>
    <w:p>
      <w:pPr>
        <w:spacing w:after="100" w:line="259" w:lineRule="auto"/>
      </w:pPr>
      <w:r>
        <w:rPr>
          <w:i w:val="0"/>
        </w:rPr>
        <w:t>The architecture separates legal responsibilities into layers so that model fluency cannot override legal controls.</w:t>
      </w:r>
    </w:p>
    <w:tbl>
      <w:tblPr>
        <w:tblW w:type="auto" w:w="0"/>
        <w:jc w:val="center"/>
        <w:tblLook w:firstColumn="1" w:firstRow="1" w:lastColumn="0" w:lastRow="0" w:noHBand="0" w:noVBand="1" w:val="04A0"/>
      </w:tblPr>
      <w:tblGrid>
        <w:gridCol w:w="9878"/>
      </w:tblGrid>
      <w:tr>
        <w:tc>
          <w:tcPr>
            <w:tcW w:type="dxa" w:w="9878"/>
            <w:shd w:fill="F3F5F7"/>
            <w:vAlign w:val="center"/>
          </w:tcPr>
          <w:p>
            <w:pPr>
              <w:spacing w:after="0"/>
            </w:pPr>
            <w:r>
              <w:rPr>
                <w:rFonts w:ascii="Consolas" w:hAnsi="Consolas"/>
                <w:sz w:val="17"/>
              </w:rPr>
              <w:t>User channels</w:t>
              <w:br/>
            </w:r>
            <w:r>
              <w:rPr>
                <w:rFonts w:ascii="Consolas" w:hAnsi="Consolas"/>
                <w:sz w:val="17"/>
              </w:rPr>
              <w:t xml:space="preserve">   ↓</w:t>
              <w:br/>
            </w:r>
            <w:r>
              <w:rPr>
                <w:rFonts w:ascii="Consolas" w:hAnsi="Consolas"/>
                <w:sz w:val="17"/>
              </w:rPr>
              <w:t>Identity, access control, and API gateway</w:t>
              <w:br/>
            </w:r>
            <w:r>
              <w:rPr>
                <w:rFonts w:ascii="Consolas" w:hAnsi="Consolas"/>
                <w:sz w:val="17"/>
              </w:rPr>
              <w:t xml:space="preserve">   ↓</w:t>
              <w:br/>
            </w:r>
            <w:r>
              <w:rPr>
                <w:rFonts w:ascii="Consolas" w:hAnsi="Consolas"/>
                <w:sz w:val="17"/>
              </w:rPr>
              <w:t>Judicial AI orchestrator</w:t>
              <w:br/>
            </w:r>
            <w:r>
              <w:rPr>
                <w:rFonts w:ascii="Consolas" w:hAnsi="Consolas"/>
                <w:sz w:val="17"/>
              </w:rPr>
              <w:t xml:space="preserve">   ├─ Retrieval service: BM25, vectors, metadata, citation graph, reranking</w:t>
              <w:br/>
            </w:r>
            <w:r>
              <w:rPr>
                <w:rFonts w:ascii="Consolas" w:hAnsi="Consolas"/>
                <w:sz w:val="17"/>
              </w:rPr>
              <w:t xml:space="preserve">   ├─ Legal Intelligence: jurisdiction, authority, validity, precedent</w:t>
              <w:br/>
            </w:r>
            <w:r>
              <w:rPr>
                <w:rFonts w:ascii="Consolas" w:hAnsi="Consolas"/>
                <w:sz w:val="17"/>
              </w:rPr>
              <w:t xml:space="preserve">   └─ Governance: risk, privacy, permitted use, human review</w:t>
              <w:br/>
            </w:r>
            <w:r>
              <w:rPr>
                <w:rFonts w:ascii="Consolas" w:hAnsi="Consolas"/>
                <w:sz w:val="17"/>
              </w:rPr>
              <w:t xml:space="preserve">   ↓</w:t>
              <w:br/>
            </w:r>
            <w:r>
              <w:rPr>
                <w:rFonts w:ascii="Consolas" w:hAnsi="Consolas"/>
                <w:sz w:val="17"/>
              </w:rPr>
              <w:t>Verified evidence package</w:t>
              <w:br/>
            </w:r>
            <w:r>
              <w:rPr>
                <w:rFonts w:ascii="Consolas" w:hAnsi="Consolas"/>
                <w:sz w:val="17"/>
              </w:rPr>
              <w:t xml:space="preserve">   ↓</w:t>
              <w:br/>
            </w:r>
            <w:r>
              <w:rPr>
                <w:rFonts w:ascii="Consolas" w:hAnsi="Consolas"/>
                <w:sz w:val="17"/>
              </w:rPr>
              <w:t>Model gateway and grounded generation</w:t>
              <w:br/>
            </w:r>
            <w:r>
              <w:rPr>
                <w:rFonts w:ascii="Consolas" w:hAnsi="Consolas"/>
                <w:sz w:val="17"/>
              </w:rPr>
              <w:t xml:space="preserve">   ↓</w:t>
              <w:br/>
            </w:r>
            <w:r>
              <w:rPr>
                <w:rFonts w:ascii="Consolas" w:hAnsi="Consolas"/>
                <w:sz w:val="17"/>
              </w:rPr>
              <w:t>Claim and citation verification</w:t>
              <w:br/>
            </w:r>
            <w:r>
              <w:rPr>
                <w:rFonts w:ascii="Consolas" w:hAnsi="Consolas"/>
                <w:sz w:val="17"/>
              </w:rPr>
              <w:t xml:space="preserve">   ↓</w:t>
              <w:br/>
            </w:r>
            <w:r>
              <w:rPr>
                <w:rFonts w:ascii="Consolas" w:hAnsi="Consolas"/>
                <w:sz w:val="17"/>
              </w:rPr>
              <w:t>Return, warn, regenerate, block, or escalate</w:t>
            </w:r>
          </w:p>
        </w:tc>
      </w:tr>
    </w:tbl>
    <w:p>
      <w:pPr>
        <w:spacing w:after="0"/>
      </w:pPr>
    </w:p>
    <w:p>
      <w:pPr>
        <w:spacing w:after="100" w:line="259" w:lineRule="auto"/>
      </w:pPr>
      <w:r>
        <w:rPr>
          <w:i w:val="0"/>
        </w:rPr>
        <w:t>PostgreSQL stores the authoritative structured record. Object storage preserves original files. OpenSearch provides exact and filtered search. A vector store supports semantic retrieval. Citation and amendment relationships may initially be represented in relational tables and later moved to a graph database if scale or complexity justifies it.</w:t>
      </w:r>
    </w:p>
    <w:p>
      <w:pPr>
        <w:spacing w:after="100" w:line="259" w:lineRule="auto"/>
      </w:pPr>
      <w:r>
        <w:rPr>
          <w:i w:val="0"/>
        </w:rPr>
        <w:t>The document pipeline is equally important: official source registration, hashing, OCR, layout analysis, structure extraction, metadata and citation extraction, human verification, legal chunking, embedding, and controlled publication. A document should not support generated legal conclusions until critical metadata and provenance have passed verification.</w:t>
      </w:r>
    </w:p>
    <w:p>
      <w:pPr>
        <w:pStyle w:val="Heading1"/>
      </w:pPr>
      <w:r>
        <w:t>7. Authority-Aware Judicial RAG</w:t>
      </w:r>
    </w:p>
    <w:p>
      <w:pPr>
        <w:spacing w:after="100" w:line="259" w:lineRule="auto"/>
      </w:pPr>
      <w:r>
        <w:rPr>
          <w:i w:val="0"/>
        </w:rPr>
        <w:t>Authority-Aware Judicial RAG extends conventional RAG by separating relevance from applicability.</w:t>
      </w:r>
    </w:p>
    <w:tbl>
      <w:tblPr>
        <w:tblW w:type="auto" w:w="0"/>
        <w:jc w:val="center"/>
        <w:tblLook w:firstColumn="1" w:firstRow="1" w:lastColumn="0" w:lastRow="0" w:noHBand="0" w:noVBand="1" w:val="04A0"/>
      </w:tblPr>
      <w:tblGrid>
        <w:gridCol w:w="9878"/>
      </w:tblGrid>
      <w:tr>
        <w:tc>
          <w:tcPr>
            <w:tcW w:type="dxa" w:w="9878"/>
            <w:shd w:fill="F3F5F7"/>
            <w:vAlign w:val="center"/>
          </w:tcPr>
          <w:p>
            <w:pPr>
              <w:spacing w:after="0"/>
            </w:pPr>
            <w:r>
              <w:rPr>
                <w:rFonts w:ascii="Consolas" w:hAnsi="Consolas"/>
                <w:sz w:val="17"/>
              </w:rPr>
              <w:t>Question</w:t>
              <w:br/>
            </w:r>
            <w:r>
              <w:rPr>
                <w:rFonts w:ascii="Consolas" w:hAnsi="Consolas"/>
                <w:sz w:val="17"/>
              </w:rPr>
              <w:t xml:space="preserve">  ↓ intent, entity, jurisdiction, and date extraction</w:t>
              <w:br/>
            </w:r>
            <w:r>
              <w:rPr>
                <w:rFonts w:ascii="Consolas" w:hAnsi="Consolas"/>
                <w:sz w:val="17"/>
              </w:rPr>
              <w:t>Metadata pre-filtering</w:t>
              <w:br/>
            </w:r>
            <w:r>
              <w:rPr>
                <w:rFonts w:ascii="Consolas" w:hAnsi="Consolas"/>
                <w:sz w:val="17"/>
              </w:rPr>
              <w:t xml:space="preserve">  ↓</w:t>
              <w:br/>
            </w:r>
            <w:r>
              <w:rPr>
                <w:rFonts w:ascii="Consolas" w:hAnsi="Consolas"/>
                <w:sz w:val="17"/>
              </w:rPr>
              <w:t>BM25 + dense retrieval + relationship retrieval</w:t>
              <w:br/>
            </w:r>
            <w:r>
              <w:rPr>
                <w:rFonts w:ascii="Consolas" w:hAnsi="Consolas"/>
                <w:sz w:val="17"/>
              </w:rPr>
              <w:t xml:space="preserve">  ↓ fusion and neural reranking</w:t>
              <w:br/>
            </w:r>
            <w:r>
              <w:rPr>
                <w:rFonts w:ascii="Consolas" w:hAnsi="Consolas"/>
                <w:sz w:val="17"/>
              </w:rPr>
              <w:t>Legal Intelligence assessment</w:t>
              <w:br/>
            </w:r>
            <w:r>
              <w:rPr>
                <w:rFonts w:ascii="Consolas" w:hAnsi="Consolas"/>
                <w:sz w:val="17"/>
              </w:rPr>
              <w:t xml:space="preserve">  ↓</w:t>
              <w:br/>
            </w:r>
            <w:r>
              <w:rPr>
                <w:rFonts w:ascii="Consolas" w:hAnsi="Consolas"/>
                <w:sz w:val="17"/>
              </w:rPr>
              <w:t>Associated-provision expansion</w:t>
              <w:br/>
            </w:r>
            <w:r>
              <w:rPr>
                <w:rFonts w:ascii="Consolas" w:hAnsi="Consolas"/>
                <w:sz w:val="17"/>
              </w:rPr>
              <w:t xml:space="preserve">  ↓</w:t>
              <w:br/>
            </w:r>
            <w:r>
              <w:rPr>
                <w:rFonts w:ascii="Consolas" w:hAnsi="Consolas"/>
                <w:sz w:val="17"/>
              </w:rPr>
              <w:t>Evidence sufficiency check</w:t>
              <w:br/>
            </w:r>
            <w:r>
              <w:rPr>
                <w:rFonts w:ascii="Consolas" w:hAnsi="Consolas"/>
                <w:sz w:val="17"/>
              </w:rPr>
              <w:t xml:space="preserve">  ↓</w:t>
              <w:br/>
            </w:r>
            <w:r>
              <w:rPr>
                <w:rFonts w:ascii="Consolas" w:hAnsi="Consolas"/>
                <w:sz w:val="17"/>
              </w:rPr>
              <w:t>Grounded generation and independent verification</w:t>
            </w:r>
          </w:p>
        </w:tc>
      </w:tr>
    </w:tbl>
    <w:p>
      <w:pPr>
        <w:spacing w:after="0"/>
      </w:pPr>
    </w:p>
    <w:p>
      <w:pPr>
        <w:spacing w:after="100" w:line="259" w:lineRule="auto"/>
      </w:pPr>
      <w:r>
        <w:rPr>
          <w:i w:val="0"/>
        </w:rPr>
        <w:t>Mandatory rules operate before weighted ranking: unauthorized material is excluded; overruled authorities are not presented as current law; future amendments are not applied to earlier disputes; and unverified OCR cannot support high-risk conclusions.</w:t>
      </w:r>
    </w:p>
    <w:p>
      <w:pPr>
        <w:spacing w:after="100" w:line="259" w:lineRule="auto"/>
      </w:pPr>
      <w:r>
        <w:rPr>
          <w:i w:val="0"/>
        </w:rPr>
        <w:t>A conceptual score may combine semantic relevance, keyword relevance, jurisdiction match, authority, temporal validity, precedent status, citation relationships, and verification level. The score is an engineering model, not a universal legal rule, and must be calibrated through expert-reviewed experiments.</w:t>
      </w:r>
    </w:p>
    <w:p>
      <w:pPr>
        <w:spacing w:after="100" w:line="259" w:lineRule="auto"/>
      </w:pPr>
      <w:r>
        <w:rPr>
          <w:i w:val="0"/>
        </w:rPr>
        <w:t>When a statutory provision is retrieved, the system should also search definitions, provisos, exceptions, cross-references, amendments, regulations, schedules, and judicial interpretations. This associated-provision expansion reduces the risk of presenting a general rule while omitting a qualification that changes its legal effect.</w:t>
      </w:r>
    </w:p>
    <w:p>
      <w:pPr>
        <w:spacing w:after="100" w:line="259" w:lineRule="auto"/>
      </w:pPr>
      <w:r>
        <w:rPr>
          <w:i w:val="0"/>
        </w:rPr>
        <w:t>The generator receives a compact evidence package containing governing provisions, authoritative judgments, conflicting sources, applicable dates, authority profiles, and coverage limitations. It must cite each material conclusion. A separate verifier checks the existence, wording, support, status, and applicable version of every cited source.</w:t>
      </w:r>
    </w:p>
    <w:p>
      <w:pPr>
        <w:pStyle w:val="Heading1"/>
      </w:pPr>
      <w:r>
        <w:t>8. Security, Governance and Human Oversight</w:t>
      </w:r>
    </w:p>
    <w:p>
      <w:pPr>
        <w:spacing w:after="100" w:line="259" w:lineRule="auto"/>
      </w:pPr>
      <w:r>
        <w:rPr>
          <w:i w:val="0"/>
        </w:rPr>
        <w:t>Governance must define who may use each capability, which data may be processed, and which outputs require review. Low-risk functions include public search and citation lookup; medium-risk functions include precedent comparison and research synthesis; high-risk functions include case-specific recommendations affecting rights. Autonomous judgments, guilt determinations, sentencing, or exercises of judicial discretion are outside scope.</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pPr>
              <w:spacing w:after="0" w:line="240" w:lineRule="auto"/>
            </w:pPr>
            <w:r>
              <w:rPr>
                <w:b/>
                <w:sz w:val="17"/>
              </w:rPr>
              <w:t>Control area</w:t>
            </w:r>
          </w:p>
        </w:tc>
        <w:tc>
          <w:tcPr>
            <w:tcW w:type="dxa" w:w="4939"/>
            <w:shd w:fill="D9EAF7"/>
            <w:vAlign w:val="center"/>
          </w:tcPr>
          <w:p>
            <w:pPr>
              <w:spacing w:after="0" w:line="240" w:lineRule="auto"/>
            </w:pPr>
            <w:r>
              <w:rPr>
                <w:b/>
                <w:sz w:val="17"/>
              </w:rPr>
              <w:t>Required mechanism</w:t>
            </w:r>
          </w:p>
        </w:tc>
      </w:tr>
      <w:tr>
        <w:tc>
          <w:tcPr>
            <w:tcW w:type="dxa" w:w="4939"/>
            <w:vAlign w:val="center"/>
          </w:tcPr>
          <w:p>
            <w:pPr>
              <w:spacing w:after="0" w:line="240" w:lineRule="auto"/>
            </w:pPr>
            <w:r>
              <w:rPr>
                <w:sz w:val="17"/>
              </w:rPr>
              <w:t>Identity and access</w:t>
            </w:r>
          </w:p>
        </w:tc>
        <w:tc>
          <w:tcPr>
            <w:tcW w:type="dxa" w:w="4939"/>
            <w:vAlign w:val="center"/>
          </w:tcPr>
          <w:p>
            <w:pPr>
              <w:spacing w:after="0" w:line="240" w:lineRule="auto"/>
            </w:pPr>
            <w:r>
              <w:rPr>
                <w:sz w:val="17"/>
              </w:rPr>
              <w:t>OpenID Connect, role- and attribute-based authorization, multifactor authentication for privileged users.</w:t>
            </w:r>
          </w:p>
        </w:tc>
      </w:tr>
      <w:tr>
        <w:tc>
          <w:tcPr>
            <w:tcW w:type="dxa" w:w="4939"/>
            <w:vAlign w:val="center"/>
          </w:tcPr>
          <w:p>
            <w:pPr>
              <w:spacing w:after="0" w:line="240" w:lineRule="auto"/>
            </w:pPr>
            <w:r>
              <w:rPr>
                <w:sz w:val="17"/>
              </w:rPr>
              <w:t>Privacy</w:t>
            </w:r>
          </w:p>
        </w:tc>
        <w:tc>
          <w:tcPr>
            <w:tcW w:type="dxa" w:w="4939"/>
            <w:vAlign w:val="center"/>
          </w:tcPr>
          <w:p>
            <w:pPr>
              <w:spacing w:after="0" w:line="240" w:lineRule="auto"/>
            </w:pPr>
            <w:r>
              <w:rPr>
                <w:sz w:val="17"/>
              </w:rPr>
              <w:t>Data classification, minimization, masking, anonymization, retention, and restricted model-provider access.</w:t>
            </w:r>
          </w:p>
        </w:tc>
      </w:tr>
      <w:tr>
        <w:tc>
          <w:tcPr>
            <w:tcW w:type="dxa" w:w="4939"/>
            <w:vAlign w:val="center"/>
          </w:tcPr>
          <w:p>
            <w:pPr>
              <w:spacing w:after="0" w:line="240" w:lineRule="auto"/>
            </w:pPr>
            <w:r>
              <w:rPr>
                <w:sz w:val="17"/>
              </w:rPr>
              <w:t>Model governance</w:t>
            </w:r>
          </w:p>
        </w:tc>
        <w:tc>
          <w:tcPr>
            <w:tcW w:type="dxa" w:w="4939"/>
            <w:vAlign w:val="center"/>
          </w:tcPr>
          <w:p>
            <w:pPr>
              <w:spacing w:after="0" w:line="240" w:lineRule="auto"/>
            </w:pPr>
            <w:r>
              <w:rPr>
                <w:sz w:val="17"/>
              </w:rPr>
              <w:t>Model registry, approved purposes, benchmark results, version control, and regression testing.</w:t>
            </w:r>
          </w:p>
        </w:tc>
      </w:tr>
      <w:tr>
        <w:tc>
          <w:tcPr>
            <w:tcW w:type="dxa" w:w="4939"/>
            <w:vAlign w:val="center"/>
          </w:tcPr>
          <w:p>
            <w:pPr>
              <w:spacing w:after="0" w:line="240" w:lineRule="auto"/>
            </w:pPr>
            <w:r>
              <w:rPr>
                <w:sz w:val="17"/>
              </w:rPr>
              <w:t>Prompt security</w:t>
            </w:r>
          </w:p>
        </w:tc>
        <w:tc>
          <w:tcPr>
            <w:tcW w:type="dxa" w:w="4939"/>
            <w:vAlign w:val="center"/>
          </w:tcPr>
          <w:p>
            <w:pPr>
              <w:spacing w:after="0" w:line="240" w:lineRule="auto"/>
            </w:pPr>
            <w:r>
              <w:rPr>
                <w:sz w:val="17"/>
              </w:rPr>
              <w:t>Separation of system policy, user query, and untrusted document text; tool allowlists; output validation.</w:t>
            </w:r>
          </w:p>
        </w:tc>
      </w:tr>
      <w:tr>
        <w:tc>
          <w:tcPr>
            <w:tcW w:type="dxa" w:w="4939"/>
            <w:vAlign w:val="center"/>
          </w:tcPr>
          <w:p>
            <w:pPr>
              <w:spacing w:after="0" w:line="240" w:lineRule="auto"/>
            </w:pPr>
            <w:r>
              <w:rPr>
                <w:sz w:val="17"/>
              </w:rPr>
              <w:t>Human oversight</w:t>
            </w:r>
          </w:p>
        </w:tc>
        <w:tc>
          <w:tcPr>
            <w:tcW w:type="dxa" w:w="4939"/>
            <w:vAlign w:val="center"/>
          </w:tcPr>
          <w:p>
            <w:pPr>
              <w:spacing w:after="0" w:line="240" w:lineRule="auto"/>
            </w:pPr>
            <w:r>
              <w:rPr>
                <w:sz w:val="17"/>
              </w:rPr>
              <w:t>Review queues, evidence visibility, correction, rejection, escalation, and recorded approval.</w:t>
            </w:r>
          </w:p>
        </w:tc>
      </w:tr>
      <w:tr>
        <w:tc>
          <w:tcPr>
            <w:tcW w:type="dxa" w:w="4939"/>
            <w:vAlign w:val="center"/>
          </w:tcPr>
          <w:p>
            <w:pPr>
              <w:spacing w:after="0" w:line="240" w:lineRule="auto"/>
            </w:pPr>
            <w:r>
              <w:rPr>
                <w:sz w:val="17"/>
              </w:rPr>
              <w:t>Audit</w:t>
            </w:r>
          </w:p>
        </w:tc>
        <w:tc>
          <w:tcPr>
            <w:tcW w:type="dxa" w:w="4939"/>
            <w:vAlign w:val="center"/>
          </w:tcPr>
          <w:p>
            <w:pPr>
              <w:spacing w:after="0" w:line="240" w:lineRule="auto"/>
            </w:pPr>
            <w:r>
              <w:rPr>
                <w:sz w:val="17"/>
              </w:rPr>
              <w:t>Append-only records of queries, sources, scores, model versions, citations, verification, and reviewer actions.</w:t>
            </w:r>
          </w:p>
        </w:tc>
      </w:tr>
    </w:tbl>
    <w:p>
      <w:pPr>
        <w:spacing w:after="0"/>
      </w:pPr>
    </w:p>
    <w:p>
      <w:pPr>
        <w:spacing w:after="100" w:line="259" w:lineRule="auto"/>
      </w:pPr>
      <w:r>
        <w:rPr>
          <w:i w:val="0"/>
        </w:rPr>
        <w:t>Human oversight must be operational, not symbolic. Reviewers need access to original pages, source status, legal versions, conflicts, and verification results. The governance service—not the LLM—decides whether an answer is returned, warned, regenerated, blocked, or escalated.</w:t>
      </w:r>
    </w:p>
    <w:p>
      <w:pPr>
        <w:pStyle w:val="Heading1"/>
      </w:pPr>
      <w:r>
        <w:t>9. Evaluation Methodology</w:t>
      </w:r>
    </w:p>
    <w:p>
      <w:pPr>
        <w:spacing w:after="100" w:line="259" w:lineRule="auto"/>
      </w:pPr>
      <w:r>
        <w:rPr>
          <w:i w:val="0"/>
        </w:rPr>
        <w:t>Evaluation must separate document quality, retrieval, legal applicability, generation, verification, security, and professional usefulness. A Nepal benchmark should include current-law questions, historical-law questions, precedent search, conflicting authorities, multilingual queries, fabricated citations, unanswerable questions, and adversarial prompts.</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pPr>
              <w:spacing w:after="0" w:line="240" w:lineRule="auto"/>
            </w:pPr>
            <w:r>
              <w:rPr>
                <w:b/>
                <w:sz w:val="17"/>
              </w:rPr>
              <w:t>Evaluation layer</w:t>
            </w:r>
          </w:p>
        </w:tc>
        <w:tc>
          <w:tcPr>
            <w:tcW w:type="dxa" w:w="4939"/>
            <w:shd w:fill="D9EAF7"/>
            <w:vAlign w:val="center"/>
          </w:tcPr>
          <w:p>
            <w:pPr>
              <w:spacing w:after="0" w:line="240" w:lineRule="auto"/>
            </w:pPr>
            <w:r>
              <w:rPr>
                <w:b/>
                <w:sz w:val="17"/>
              </w:rPr>
              <w:t>Indicative measures</w:t>
            </w:r>
          </w:p>
        </w:tc>
      </w:tr>
      <w:tr>
        <w:tc>
          <w:tcPr>
            <w:tcW w:type="dxa" w:w="4939"/>
            <w:vAlign w:val="center"/>
          </w:tcPr>
          <w:p>
            <w:pPr>
              <w:spacing w:after="0" w:line="240" w:lineRule="auto"/>
            </w:pPr>
            <w:r>
              <w:rPr>
                <w:sz w:val="17"/>
              </w:rPr>
              <w:t>Document processing</w:t>
            </w:r>
          </w:p>
        </w:tc>
        <w:tc>
          <w:tcPr>
            <w:tcW w:type="dxa" w:w="4939"/>
            <w:vAlign w:val="center"/>
          </w:tcPr>
          <w:p>
            <w:pPr>
              <w:spacing w:after="0" w:line="240" w:lineRule="auto"/>
            </w:pPr>
            <w:r>
              <w:rPr>
                <w:sz w:val="17"/>
              </w:rPr>
              <w:t>Character/word error rate, structure extraction, critical metadata accuracy.</w:t>
            </w:r>
          </w:p>
        </w:tc>
      </w:tr>
      <w:tr>
        <w:tc>
          <w:tcPr>
            <w:tcW w:type="dxa" w:w="4939"/>
            <w:vAlign w:val="center"/>
          </w:tcPr>
          <w:p>
            <w:pPr>
              <w:spacing w:after="0" w:line="240" w:lineRule="auto"/>
            </w:pPr>
            <w:r>
              <w:rPr>
                <w:sz w:val="17"/>
              </w:rPr>
              <w:t>Retrieval</w:t>
            </w:r>
          </w:p>
        </w:tc>
        <w:tc>
          <w:tcPr>
            <w:tcW w:type="dxa" w:w="4939"/>
            <w:vAlign w:val="center"/>
          </w:tcPr>
          <w:p>
            <w:pPr>
              <w:spacing w:after="0" w:line="240" w:lineRule="auto"/>
            </w:pPr>
            <w:r>
              <w:rPr>
                <w:sz w:val="17"/>
              </w:rPr>
              <w:t>Recall@K, Precision@K, MRR, nDCG, passage and document hit rate.</w:t>
            </w:r>
          </w:p>
        </w:tc>
      </w:tr>
      <w:tr>
        <w:tc>
          <w:tcPr>
            <w:tcW w:type="dxa" w:w="4939"/>
            <w:vAlign w:val="center"/>
          </w:tcPr>
          <w:p>
            <w:pPr>
              <w:spacing w:after="0" w:line="240" w:lineRule="auto"/>
            </w:pPr>
            <w:r>
              <w:rPr>
                <w:sz w:val="17"/>
              </w:rPr>
              <w:t>Legal Intelligence</w:t>
            </w:r>
          </w:p>
        </w:tc>
        <w:tc>
          <w:tcPr>
            <w:tcW w:type="dxa" w:w="4939"/>
            <w:vAlign w:val="center"/>
          </w:tcPr>
          <w:p>
            <w:pPr>
              <w:spacing w:after="0" w:line="240" w:lineRule="auto"/>
            </w:pPr>
            <w:r>
              <w:rPr>
                <w:sz w:val="17"/>
              </w:rPr>
              <w:t>Jurisdiction, binding status, precedent treatment, applicable-version accuracy.</w:t>
            </w:r>
          </w:p>
        </w:tc>
      </w:tr>
      <w:tr>
        <w:tc>
          <w:tcPr>
            <w:tcW w:type="dxa" w:w="4939"/>
            <w:vAlign w:val="center"/>
          </w:tcPr>
          <w:p>
            <w:pPr>
              <w:spacing w:after="0" w:line="240" w:lineRule="auto"/>
            </w:pPr>
            <w:r>
              <w:rPr>
                <w:sz w:val="17"/>
              </w:rPr>
              <w:t>Statutory completeness</w:t>
            </w:r>
          </w:p>
        </w:tc>
        <w:tc>
          <w:tcPr>
            <w:tcW w:type="dxa" w:w="4939"/>
            <w:vAlign w:val="center"/>
          </w:tcPr>
          <w:p>
            <w:pPr>
              <w:spacing w:after="0" w:line="240" w:lineRule="auto"/>
            </w:pPr>
            <w:r>
              <w:rPr>
                <w:sz w:val="17"/>
              </w:rPr>
              <w:t>Coverage of definitions, exceptions, provisos, cross-references, and amendments.</w:t>
            </w:r>
          </w:p>
        </w:tc>
      </w:tr>
      <w:tr>
        <w:tc>
          <w:tcPr>
            <w:tcW w:type="dxa" w:w="4939"/>
            <w:vAlign w:val="center"/>
          </w:tcPr>
          <w:p>
            <w:pPr>
              <w:spacing w:after="0" w:line="240" w:lineRule="auto"/>
            </w:pPr>
            <w:r>
              <w:rPr>
                <w:sz w:val="17"/>
              </w:rPr>
              <w:t>Generation</w:t>
            </w:r>
          </w:p>
        </w:tc>
        <w:tc>
          <w:tcPr>
            <w:tcW w:type="dxa" w:w="4939"/>
            <w:vAlign w:val="center"/>
          </w:tcPr>
          <w:p>
            <w:pPr>
              <w:spacing w:after="0" w:line="240" w:lineRule="auto"/>
            </w:pPr>
            <w:r>
              <w:rPr>
                <w:sz w:val="17"/>
              </w:rPr>
              <w:t>Legal correctness, faithfulness, completeness, relevance, clarity, uncertainty handling.</w:t>
            </w:r>
          </w:p>
        </w:tc>
      </w:tr>
      <w:tr>
        <w:tc>
          <w:tcPr>
            <w:tcW w:type="dxa" w:w="4939"/>
            <w:vAlign w:val="center"/>
          </w:tcPr>
          <w:p>
            <w:pPr>
              <w:spacing w:after="0" w:line="240" w:lineRule="auto"/>
            </w:pPr>
            <w:r>
              <w:rPr>
                <w:sz w:val="17"/>
              </w:rPr>
              <w:t>Citation verification</w:t>
            </w:r>
          </w:p>
        </w:tc>
        <w:tc>
          <w:tcPr>
            <w:tcW w:type="dxa" w:w="4939"/>
            <w:vAlign w:val="center"/>
          </w:tcPr>
          <w:p>
            <w:pPr>
              <w:spacing w:after="0" w:line="240" w:lineRule="auto"/>
            </w:pPr>
            <w:r>
              <w:rPr>
                <w:sz w:val="17"/>
              </w:rPr>
              <w:t>Citation precision, claim coverage, fabricated citation acceptance, quotation accuracy.</w:t>
            </w:r>
          </w:p>
        </w:tc>
      </w:tr>
      <w:tr>
        <w:tc>
          <w:tcPr>
            <w:tcW w:type="dxa" w:w="4939"/>
            <w:vAlign w:val="center"/>
          </w:tcPr>
          <w:p>
            <w:pPr>
              <w:spacing w:after="0" w:line="240" w:lineRule="auto"/>
            </w:pPr>
            <w:r>
              <w:rPr>
                <w:sz w:val="17"/>
              </w:rPr>
              <w:t>Safety</w:t>
            </w:r>
          </w:p>
        </w:tc>
        <w:tc>
          <w:tcPr>
            <w:tcW w:type="dxa" w:w="4939"/>
            <w:vAlign w:val="center"/>
          </w:tcPr>
          <w:p>
            <w:pPr>
              <w:spacing w:after="0" w:line="240" w:lineRule="auto"/>
            </w:pPr>
            <w:r>
              <w:rPr>
                <w:sz w:val="17"/>
              </w:rPr>
              <w:t>Unauthorized retrieval, prompt-injection containment, safe-failure accuracy.</w:t>
            </w:r>
          </w:p>
        </w:tc>
      </w:tr>
      <w:tr>
        <w:tc>
          <w:tcPr>
            <w:tcW w:type="dxa" w:w="4939"/>
            <w:vAlign w:val="center"/>
          </w:tcPr>
          <w:p>
            <w:pPr>
              <w:spacing w:after="0" w:line="240" w:lineRule="auto"/>
            </w:pPr>
            <w:r>
              <w:rPr>
                <w:sz w:val="17"/>
              </w:rPr>
              <w:t>Human evaluation</w:t>
            </w:r>
          </w:p>
        </w:tc>
        <w:tc>
          <w:tcPr>
            <w:tcW w:type="dxa" w:w="4939"/>
            <w:vAlign w:val="center"/>
          </w:tcPr>
          <w:p>
            <w:pPr>
              <w:spacing w:after="0" w:line="240" w:lineRule="auto"/>
            </w:pPr>
            <w:r>
              <w:rPr>
                <w:sz w:val="17"/>
              </w:rPr>
              <w:t>Authority selection, professional usefulness, traceability, and trust calibration.</w:t>
            </w:r>
          </w:p>
        </w:tc>
      </w:tr>
    </w:tbl>
    <w:p>
      <w:pPr>
        <w:spacing w:after="0"/>
      </w:pPr>
    </w:p>
    <w:p>
      <w:pPr>
        <w:spacing w:after="100" w:line="259" w:lineRule="auto"/>
      </w:pPr>
      <w:r>
        <w:rPr>
          <w:i w:val="0"/>
        </w:rPr>
        <w:t>The prototype should compare BM25, dense retrieval, hybrid retrieval, hybrid retrieval with reranking, and the full authority-aware pipeline. This ablation design shows which components materially improve results. Initial targets may include at least 95% critical metadata accuracy, at least 85% Recall@10, at least 95% citation precision, no accepted fabricated citations, and zero unauthorized sensitive retrieval. These are proposed thresholds, not claimed results.</w:t>
      </w:r>
    </w:p>
    <w:p>
      <w:pPr>
        <w:pStyle w:val="Heading1"/>
      </w:pPr>
      <w:r>
        <w:t>10. Implementation Roadmap</w:t>
      </w:r>
    </w:p>
    <w:p>
      <w:pPr>
        <w:spacing w:after="100" w:line="259" w:lineRule="auto"/>
      </w:pPr>
      <w:r>
        <w:rPr>
          <w:i w:val="0"/>
        </w:rPr>
        <w:t>Implementation should proceed from a small verified prototype to a controlled institutional pilot.</w:t>
      </w:r>
    </w:p>
    <w:p>
      <w:pPr>
        <w:pStyle w:val="ListNumber"/>
        <w:spacing w:after="40"/>
      </w:pPr>
      <w:r>
        <w:t>Establish governance, permitted uses, authoritative sources, and success criteria.</w:t>
      </w:r>
    </w:p>
    <w:p>
      <w:pPr>
        <w:pStyle w:val="ListNumber"/>
        <w:spacing w:after="40"/>
      </w:pPr>
      <w:r>
        <w:t>Create a verified repository for the Constitution, selected statutes, amendments, and 50–100 Supreme Court judgments.</w:t>
      </w:r>
    </w:p>
    <w:p>
      <w:pPr>
        <w:pStyle w:val="ListNumber"/>
        <w:spacing w:after="40"/>
      </w:pPr>
      <w:r>
        <w:t>Implement OCR, legal structure extraction, metadata, versions, and citation relationships.</w:t>
      </w:r>
    </w:p>
    <w:p>
      <w:pPr>
        <w:pStyle w:val="ListNumber"/>
        <w:spacing w:after="40"/>
      </w:pPr>
      <w:r>
        <w:t>Build exact and filtered search, followed by multilingual hybrid retrieval and reranking.</w:t>
      </w:r>
    </w:p>
    <w:p>
      <w:pPr>
        <w:pStyle w:val="ListNumber"/>
        <w:spacing w:after="40"/>
      </w:pPr>
      <w:r>
        <w:t>Implement Legal Intelligence for authority, jurisdiction, temporal validity, and precedent treatment.</w:t>
      </w:r>
    </w:p>
    <w:p>
      <w:pPr>
        <w:pStyle w:val="ListNumber"/>
        <w:spacing w:after="40"/>
      </w:pPr>
      <w:r>
        <w:t>Add evidence packaging, grounded generation, claim verification, audit, and human review.</w:t>
      </w:r>
    </w:p>
    <w:p>
      <w:pPr>
        <w:pStyle w:val="ListNumber"/>
        <w:spacing w:after="40"/>
      </w:pPr>
      <w:r>
        <w:t>Evaluate through a Nepal-specific benchmark and legal-expert review.</w:t>
      </w:r>
    </w:p>
    <w:p>
      <w:pPr>
        <w:pStyle w:val="ListNumber"/>
        <w:spacing w:after="40"/>
      </w:pPr>
      <w:r>
        <w:t>Run a bounded institutional pilot before integration or national expansion.</w:t>
      </w:r>
    </w:p>
    <w:p>
      <w:pPr>
        <w:spacing w:after="100" w:line="259" w:lineRule="auto"/>
      </w:pPr>
      <w:r>
        <w:rPr>
          <w:i w:val="0"/>
        </w:rPr>
        <w:t>A practical prototype can use Angular, ASP.NET Core, Python/FastAPI, PostgreSQL with pgvector, OpenSearch, MinIO, RabbitMQ, Docker Compose, and standard monitoring tools. A dedicated graph database, specialized vector database, Kubernetes, or microservices should be introduced only when justified by scale, security isolation, or operational ownership.</w:t>
      </w:r>
    </w:p>
    <w:p>
      <w:pPr>
        <w:pStyle w:val="Heading1"/>
      </w:pPr>
      <w:r>
        <w:t>11. Discussion</w:t>
      </w:r>
    </w:p>
    <w:p>
      <w:pPr>
        <w:spacing w:after="100" w:line="259" w:lineRule="auto"/>
      </w:pPr>
      <w:r>
        <w:rPr>
          <w:i w:val="0"/>
        </w:rPr>
        <w:t>The framework deliberately trades speed and simplicity for traceability and legal reliability. Hybrid retrieval, authority assessment, version validation, verification, and review increase latency and maintenance effort, but they also make errors diagnosable and reduce the risk of fluent unsupported answers.</w:t>
      </w:r>
    </w:p>
    <w:p>
      <w:pPr>
        <w:spacing w:after="100" w:line="259" w:lineRule="auto"/>
      </w:pPr>
      <w:r>
        <w:rPr>
          <w:i w:val="0"/>
        </w:rPr>
        <w:t>The strongest form of explainability is not a model-generated explanation of its own reasoning. It is a reproducible record of which sources were retrieved, why they were ranked, which version was applied, what claims were verified, and where uncertainty remained. This process-based explanation is more useful to legal professionals and auditors.</w:t>
      </w:r>
    </w:p>
    <w:p>
      <w:pPr>
        <w:spacing w:after="100" w:line="259" w:lineRule="auto"/>
      </w:pPr>
      <w:r>
        <w:rPr>
          <w:i w:val="0"/>
        </w:rPr>
        <w:t>The architecture is generalizable at the engineering level but jurisdiction-specific at the legal level. Other countries may reuse the layered design, but court hierarchy, precedent doctrine, language, publication practice, and governance rules must be redesigned locally.</w:t>
      </w:r>
    </w:p>
    <w:p>
      <w:pPr>
        <w:pStyle w:val="Heading1"/>
      </w:pPr>
      <w:r>
        <w:t>12. Limitations</w:t>
      </w:r>
    </w:p>
    <w:p>
      <w:pPr>
        <w:spacing w:after="100" w:line="259" w:lineRule="auto"/>
      </w:pPr>
      <w:r>
        <w:rPr>
          <w:i w:val="0"/>
        </w:rPr>
        <w:t>This is a conceptual and technical framework, not an empirical claim of production readiness. Nepal lacks a large public benchmark for multilingual legal retrieval, authority classification, temporal validity, and claim verification. Official legal data may also contain missing judgments, inconsistent citation formats, poor scans, uncertain amendment histories, and incomplete precedent status.</w:t>
      </w:r>
    </w:p>
    <w:p>
      <w:pPr>
        <w:spacing w:after="100" w:line="259" w:lineRule="auto"/>
      </w:pPr>
      <w:r>
        <w:rPr>
          <w:i w:val="0"/>
        </w:rPr>
        <w:t>Some legal authority questions cannot be fully automated because they depend on factual distinctions, bench composition, procedural context, and professional interpretation. Multilingual models may also lose legal nuance, and human review requires sustained expert participation. Infrastructure, security, policy, and institutional capacity may limit deployment. The framework can improve reliability but cannot make every legal question mechanically determinable.</w:t>
      </w:r>
    </w:p>
    <w:p>
      <w:pPr>
        <w:pStyle w:val="Heading1"/>
      </w:pPr>
      <w:r>
        <w:t>13. Future Research</w:t>
      </w:r>
    </w:p>
    <w:p>
      <w:pPr>
        <w:pStyle w:val="ListBullet"/>
        <w:spacing w:after="40" w:line="245" w:lineRule="auto"/>
      </w:pPr>
      <w:r>
        <w:t>Build and publish a Nepal Judicial AI benchmark with expert-approved evidence sets.</w:t>
      </w:r>
    </w:p>
    <w:p>
      <w:pPr>
        <w:pStyle w:val="ListBullet"/>
        <w:spacing w:after="40" w:line="245" w:lineRule="auto"/>
      </w:pPr>
      <w:r>
        <w:t>Implement and evaluate a limited prototype using selected statutes and Supreme Court judgments.</w:t>
      </w:r>
    </w:p>
    <w:p>
      <w:pPr>
        <w:pStyle w:val="ListBullet"/>
        <w:spacing w:after="40" w:line="245" w:lineRule="auto"/>
      </w:pPr>
      <w:r>
        <w:t>Validate authority ranking and identify which factors should be rules, filters, or tunable weights.</w:t>
      </w:r>
    </w:p>
    <w:p>
      <w:pPr>
        <w:pStyle w:val="ListBullet"/>
        <w:spacing w:after="40" w:line="245" w:lineRule="auto"/>
      </w:pPr>
      <w:r>
        <w:t>Develop temporal legal models for amendments, commencement, repeal, and transitional provisions.</w:t>
      </w:r>
    </w:p>
    <w:p>
      <w:pPr>
        <w:pStyle w:val="ListBullet"/>
        <w:spacing w:after="40" w:line="245" w:lineRule="auto"/>
      </w:pPr>
      <w:r>
        <w:t>Evaluate Nepalese legal embeddings, rerankers, OCR, cross-lingual retrieval, and translation quality.</w:t>
      </w:r>
    </w:p>
    <w:p>
      <w:pPr>
        <w:pStyle w:val="ListBullet"/>
        <w:spacing w:after="40" w:line="245" w:lineRule="auto"/>
      </w:pPr>
      <w:r>
        <w:t>Extract precedent treatment and build a legal citation graph.</w:t>
      </w:r>
    </w:p>
    <w:p>
      <w:pPr>
        <w:pStyle w:val="ListBullet"/>
        <w:spacing w:after="40" w:line="245" w:lineRule="auto"/>
      </w:pPr>
      <w:r>
        <w:t>Study human-AI interaction, automation bias, governance readiness, and privacy-preserving deployment.</w:t>
      </w:r>
    </w:p>
    <w:p>
      <w:pPr>
        <w:pStyle w:val="ListBullet"/>
        <w:spacing w:after="40" w:line="245" w:lineRule="auto"/>
      </w:pPr>
      <w:r>
        <w:t>Test scalability and federated integration with existing judicial and legal repositories.</w:t>
      </w:r>
    </w:p>
    <w:p>
      <w:pPr>
        <w:pStyle w:val="Heading1"/>
      </w:pPr>
      <w:r>
        <w:t>14. Contributions</w:t>
      </w:r>
    </w:p>
    <w:p>
      <w:pPr>
        <w:pStyle w:val="ListNumber"/>
        <w:spacing w:after="40"/>
      </w:pPr>
      <w:r>
        <w:t>A Nepal-focused Judicial AI framework grounded in the country’s legal and institutional context.</w:t>
      </w:r>
    </w:p>
    <w:p>
      <w:pPr>
        <w:pStyle w:val="ListNumber"/>
        <w:spacing w:after="40"/>
      </w:pPr>
      <w:r>
        <w:t>Authority-Aware Judicial RAG that combines relevance, jurisdiction, authority, precedent, temporal validity, and evidence sufficiency.</w:t>
      </w:r>
    </w:p>
    <w:p>
      <w:pPr>
        <w:pStyle w:val="ListNumber"/>
        <w:spacing w:after="40"/>
      </w:pPr>
      <w:r>
        <w:t>An integrated architecture covering ingestion, metadata, retrieval, Legal Intelligence, grounded generation, verification, governance, and audit.</w:t>
      </w:r>
    </w:p>
    <w:p>
      <w:pPr>
        <w:pStyle w:val="ListNumber"/>
        <w:spacing w:after="40"/>
      </w:pPr>
      <w:r>
        <w:t>A phased roadmap from research prototype to controlled institutional pilot.</w:t>
      </w:r>
    </w:p>
    <w:p>
      <w:pPr>
        <w:pStyle w:val="ListNumber"/>
        <w:spacing w:after="40"/>
      </w:pPr>
      <w:r>
        <w:t>A measurable evaluation framework for retrieval, legal applicability, citations, multilingual performance, safety, and expert usefulness.</w:t>
      </w:r>
    </w:p>
    <w:p>
      <w:pPr>
        <w:pStyle w:val="Heading1"/>
      </w:pPr>
      <w:r>
        <w:t>15. Conclusion</w:t>
      </w:r>
    </w:p>
    <w:p>
      <w:pPr>
        <w:spacing w:after="100" w:line="259" w:lineRule="auto"/>
      </w:pPr>
      <w:r>
        <w:rPr>
          <w:i w:val="0"/>
        </w:rPr>
        <w:t>Nepal has a growing digital legal-information foundation and a clear opportunity to improve legal research, precedent discovery, statutory analysis, and public access. Yet trustworthy Judicial AI cannot be achieved by connecting a general LLM directly to legal documents.</w:t>
      </w:r>
    </w:p>
    <w:p>
      <w:pPr>
        <w:spacing w:after="100" w:line="259" w:lineRule="auto"/>
      </w:pPr>
      <w:r>
        <w:rPr>
          <w:i w:val="0"/>
        </w:rPr>
        <w:t>The proposed framework places verified legal knowledge, authority assessment, temporal validity, evidence sufficiency, independent citation verification, governance, and human oversight around the language model. Its core principle is that legal trust should arise from evidence and institutional process—not from the confidence or fluency of AI-generated language.</w:t>
      </w:r>
    </w:p>
    <w:p>
      <w:pPr>
        <w:spacing w:after="100" w:line="259" w:lineRule="auto"/>
      </w:pPr>
      <w:r>
        <w:rPr>
          <w:i w:val="0"/>
        </w:rPr>
        <w:t>The immediate next step is a small, governed prototype evaluated with Nepalese legal materials and expert-reviewed benchmarks. The resulting empirical evidence can support the main publication and future institutional adoption.</w:t>
      </w:r>
    </w:p>
    <w:p>
      <w:pPr>
        <w:pStyle w:val="Heading1"/>
      </w:pPr>
      <w:r>
        <w:t>References</w:t>
      </w:r>
    </w:p>
    <w:p>
      <w:pPr>
        <w:spacing w:after="60"/>
        <w:ind w:left="317" w:hanging="317"/>
      </w:pPr>
      <w:r>
        <w:t xml:space="preserve">[1] Lewis, P. et al. (2020). Retrieval-Augmented Generation for Knowledge-Intensive NLP Tasks. NeurIPS. </w:t>
      </w:r>
      <w:hyperlink r:id="rId9">
        <w:r>
          <w:rPr>
            <w:color w:val="0563C1"/>
            <w:u w:val="single"/>
          </w:rPr>
          <w:t>Source</w:t>
        </w:r>
      </w:hyperlink>
    </w:p>
    <w:p>
      <w:pPr>
        <w:spacing w:after="60"/>
        <w:ind w:left="317" w:hanging="317"/>
      </w:pPr>
      <w:r>
        <w:t xml:space="preserve">[2] Chalkidis, I. et al. (2020). LEGAL-BERT: The Muppets Straight Out of Law School. Findings of EMNLP. </w:t>
      </w:r>
      <w:hyperlink r:id="rId10">
        <w:r>
          <w:rPr>
            <w:color w:val="0563C1"/>
            <w:u w:val="single"/>
          </w:rPr>
          <w:t>Source</w:t>
        </w:r>
      </w:hyperlink>
    </w:p>
    <w:p>
      <w:pPr>
        <w:spacing w:after="60"/>
        <w:ind w:left="317" w:hanging="317"/>
      </w:pPr>
      <w:r>
        <w:t xml:space="preserve">[3] NIST (2023). Artificial Intelligence Risk Management Framework (AI RMF 1.0). </w:t>
      </w:r>
      <w:hyperlink r:id="rId11">
        <w:r>
          <w:rPr>
            <w:color w:val="0563C1"/>
            <w:u w:val="single"/>
          </w:rPr>
          <w:t>Source</w:t>
        </w:r>
      </w:hyperlink>
    </w:p>
    <w:p>
      <w:pPr>
        <w:spacing w:after="60"/>
        <w:ind w:left="317" w:hanging="317"/>
      </w:pPr>
      <w:r>
        <w:t xml:space="preserve">[4] NIST (2024). Generative Artificial Intelligence Profile. </w:t>
      </w:r>
      <w:hyperlink r:id="rId12">
        <w:r>
          <w:rPr>
            <w:color w:val="0563C1"/>
            <w:u w:val="single"/>
          </w:rPr>
          <w:t>Source</w:t>
        </w:r>
      </w:hyperlink>
    </w:p>
    <w:p>
      <w:pPr>
        <w:spacing w:after="60"/>
        <w:ind w:left="317" w:hanging="317"/>
      </w:pPr>
      <w:r>
        <w:t xml:space="preserve">[5] CEPEJ (2018). European Ethical Charter on the Use of Artificial Intelligence in Judicial Systems. </w:t>
      </w:r>
      <w:hyperlink r:id="rId13">
        <w:r>
          <w:rPr>
            <w:color w:val="0563C1"/>
            <w:u w:val="single"/>
          </w:rPr>
          <w:t>Source</w:t>
        </w:r>
      </w:hyperlink>
    </w:p>
    <w:p>
      <w:pPr>
        <w:spacing w:after="60"/>
        <w:ind w:left="317" w:hanging="317"/>
      </w:pPr>
      <w:r>
        <w:t xml:space="preserve">[6] UNESCO (2025). Guidelines for the Use of AI Systems in Courts and Tribunals. </w:t>
      </w:r>
      <w:hyperlink r:id="rId14">
        <w:r>
          <w:rPr>
            <w:color w:val="0563C1"/>
            <w:u w:val="single"/>
          </w:rPr>
          <w:t>Source</w:t>
        </w:r>
      </w:hyperlink>
    </w:p>
    <w:p>
      <w:pPr>
        <w:spacing w:after="60"/>
        <w:ind w:left="317" w:hanging="317"/>
      </w:pPr>
      <w:r>
        <w:t xml:space="preserve">[7] Supreme Court of Nepal. Fifth Five-Year Strategic Plan for the Judiciary, 2081/82-2085/86. </w:t>
      </w:r>
      <w:hyperlink r:id="rId15">
        <w:r>
          <w:rPr>
            <w:color w:val="0563C1"/>
            <w:u w:val="single"/>
          </w:rPr>
          <w:t>Source</w:t>
        </w:r>
      </w:hyperlink>
    </w:p>
    <w:p>
      <w:pPr>
        <w:spacing w:after="60"/>
        <w:ind w:left="317" w:hanging="317"/>
      </w:pPr>
      <w:r>
        <w:t xml:space="preserve">[8] Nepal Law Commission. Official repository of prevailing and repealed laws. </w:t>
      </w:r>
      <w:hyperlink r:id="rId16">
        <w:r>
          <w:rPr>
            <w:color w:val="0563C1"/>
            <w:u w:val="single"/>
          </w:rPr>
          <w:t>Source</w:t>
        </w:r>
      </w:hyperlink>
    </w:p>
    <w:p>
      <w:pPr>
        <w:spacing w:after="60"/>
        <w:ind w:left="317" w:hanging="317"/>
      </w:pPr>
      <w:r>
        <w:t xml:space="preserve">[9] Supreme Court of Nepal. Official judgments, case information, annual reports, and judicial services. </w:t>
      </w:r>
      <w:hyperlink r:id="rId17">
        <w:r>
          <w:rPr>
            <w:color w:val="0563C1"/>
            <w:u w:val="single"/>
          </w:rPr>
          <w:t>Source</w:t>
        </w:r>
      </w:hyperlink>
    </w:p>
    <w:p>
      <w:pPr>
        <w:spacing w:after="60"/>
        <w:ind w:left="317" w:hanging="317"/>
      </w:pPr>
      <w:r>
        <w:t xml:space="preserve">[10] LegalBench-RAG (2025). A benchmark for precise legal retrieval. </w:t>
      </w:r>
      <w:hyperlink r:id="rId18">
        <w:r>
          <w:rPr>
            <w:color w:val="0563C1"/>
            <w:u w:val="single"/>
          </w:rPr>
          <w:t>Source</w:t>
        </w:r>
      </w:hyperlink>
    </w:p>
    <w:p>
      <w:pPr>
        <w:spacing w:after="60"/>
        <w:ind w:left="317" w:hanging="317"/>
      </w:pPr>
      <w:r>
        <w:t xml:space="preserve">[11] CLERC (2025). A benchmark for long-context legal case retrieval and analysis. </w:t>
      </w:r>
      <w:hyperlink r:id="rId19">
        <w:r>
          <w:rPr>
            <w:color w:val="0563C1"/>
            <w:u w:val="single"/>
          </w:rPr>
          <w:t>Source</w:t>
        </w:r>
      </w:hyperlink>
    </w:p>
    <w:p>
      <w:pPr>
        <w:spacing w:after="60"/>
        <w:ind w:left="317" w:hanging="317"/>
      </w:pPr>
      <w:r>
        <w:t xml:space="preserve">[12] HyPA-RAG (2025). Hybrid parameter-adaptive retrieval-augmented generation for legal question answering. </w:t>
      </w:r>
      <w:hyperlink r:id="rId20">
        <w:r>
          <w:rPr>
            <w:color w:val="0563C1"/>
            <w:u w:val="single"/>
          </w:rPr>
          <w:t>Source</w:t>
        </w:r>
      </w:hyperlink>
    </w:p>
    <w:p>
      <w:pPr>
        <w:spacing w:after="60"/>
        <w:ind w:left="317" w:hanging="317"/>
      </w:pPr>
      <w:r>
        <w:t xml:space="preserve">[13] COLIEE. Competition on Legal Information Extraction and Entailment. </w:t>
      </w:r>
      <w:hyperlink r:id="rId21">
        <w:r>
          <w:rPr>
            <w:color w:val="0563C1"/>
            <w:u w:val="single"/>
          </w:rPr>
          <w:t>Source</w:t>
        </w:r>
      </w:hyperlink>
    </w:p>
    <w:p>
      <w:pPr>
        <w:spacing w:after="60"/>
        <w:ind w:left="317" w:hanging="317"/>
      </w:pPr>
      <w:r>
        <w:t xml:space="preserve">[14] OWASP. Top 10 for Large Language Model Applications. </w:t>
      </w:r>
      <w:hyperlink r:id="rId22">
        <w:r>
          <w:rPr>
            <w:color w:val="0563C1"/>
            <w:u w:val="single"/>
          </w:rPr>
          <w:t>Source</w:t>
        </w:r>
      </w:hyperlink>
    </w:p>
    <w:p>
      <w:pPr>
        <w:spacing w:after="60"/>
        <w:ind w:left="317" w:hanging="317"/>
      </w:pPr>
      <w:r>
        <w:t xml:space="preserve">[15] Nepal, Privacy Act, 2075. </w:t>
      </w:r>
      <w:hyperlink r:id="rId23">
        <w:r>
          <w:rPr>
            <w:color w:val="0563C1"/>
            <w:u w:val="single"/>
          </w:rPr>
          <w:t>Source</w:t>
        </w:r>
      </w:hyperlink>
    </w:p>
    <w:p>
      <w:pPr>
        <w:spacing w:after="60"/>
        <w:ind w:left="317" w:hanging="317"/>
      </w:pPr>
      <w:r>
        <w:t xml:space="preserve">[16] Nepal, Electronic Transactions Act, 2063. </w:t>
      </w:r>
      <w:hyperlink r:id="rId24">
        <w:r>
          <w:rPr>
            <w:color w:val="0563C1"/>
            <w:u w:val="single"/>
          </w:rPr>
          <w:t>Source</w:t>
        </w:r>
      </w:hyperlink>
    </w:p>
    <w:sectPr w:rsidR="00FC693F" w:rsidRPr="0006063C" w:rsidSect="00034616">
      <w:headerReference w:type="default" r:id="rId25"/>
      <w:footerReference w:type="default" r:id="rId26"/>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Judicial AI for Nepal - Condensed Concept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005.11401" TargetMode="External"/><Relationship Id="rId10" Type="http://schemas.openxmlformats.org/officeDocument/2006/relationships/hyperlink" Target="https://aclanthology.org/2020.findings-emnlp.261/" TargetMode="External"/><Relationship Id="rId11" Type="http://schemas.openxmlformats.org/officeDocument/2006/relationships/hyperlink" Target="https://www.nist.gov/itl/ai-risk-management-framework" TargetMode="External"/><Relationship Id="rId12" Type="http://schemas.openxmlformats.org/officeDocument/2006/relationships/hyperlink" Target="https://www.nist.gov/publications/artificial-intelligence-risk-management-framework-generative-artificial-intelligence" TargetMode="External"/><Relationship Id="rId13" Type="http://schemas.openxmlformats.org/officeDocument/2006/relationships/hyperlink" Target="https://www.coe.int/en/web/cepej/cepej-european-ethical-charter-on-the-use-of-artificial-intelligence-ai-in-judicial-systems-and-their-environment" TargetMode="External"/><Relationship Id="rId14" Type="http://schemas.openxmlformats.org/officeDocument/2006/relationships/hyperlink" Target="https://www.unesco.org/en/articles/guidelines-use-ai-systems-courts-and-tribunals" TargetMode="External"/><Relationship Id="rId15" Type="http://schemas.openxmlformats.org/officeDocument/2006/relationships/hyperlink" Target="https://supremecourt.gov.np/web/assets/downloads/5th%20Strategic%20Plan%20-%20Supreme%20Court.pdf" TargetMode="External"/><Relationship Id="rId16" Type="http://schemas.openxmlformats.org/officeDocument/2006/relationships/hyperlink" Target="https://lawcommission.gov.np/" TargetMode="External"/><Relationship Id="rId17" Type="http://schemas.openxmlformats.org/officeDocument/2006/relationships/hyperlink" Target="https://supremecourt.gov.np/" TargetMode="External"/><Relationship Id="rId18" Type="http://schemas.openxmlformats.org/officeDocument/2006/relationships/hyperlink" Target="https://aclanthology.org/2025.nllp-1.3/" TargetMode="External"/><Relationship Id="rId19" Type="http://schemas.openxmlformats.org/officeDocument/2006/relationships/hyperlink" Target="https://aclanthology.org/2025.findings-naacl.441/" TargetMode="External"/><Relationship Id="rId20" Type="http://schemas.openxmlformats.org/officeDocument/2006/relationships/hyperlink" Target="https://aclanthology.org/2025.naacl-industry.79/" TargetMode="External"/><Relationship Id="rId21" Type="http://schemas.openxmlformats.org/officeDocument/2006/relationships/hyperlink" Target="https://coliee.org/" TargetMode="External"/><Relationship Id="rId22" Type="http://schemas.openxmlformats.org/officeDocument/2006/relationships/hyperlink" Target="https://owasp.org/www-project-top-10-for-large-language-model-applications/" TargetMode="External"/><Relationship Id="rId23" Type="http://schemas.openxmlformats.org/officeDocument/2006/relationships/hyperlink" Target="https://lawcommission.gov.np/content/12261/12261-the-privacy-act-2075/" TargetMode="External"/><Relationship Id="rId24" Type="http://schemas.openxmlformats.org/officeDocument/2006/relationships/hyperlink" Target="https://lawcommission.gov.np/content/13397/" TargetMode="External"/><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Judicial AI for Nepal: Condensed Concept Paper</dc:title>
  <dc:subject>Authority-Aware Judicial AI architecture for Nepal</dc:subject>
  <dc:creator>python-docx</dc:creator>
  <cp:keywords/>
  <dc:description>Condensed to remove repetition and overlapping content.</dc:description>
  <cp:lastModifiedBy/>
  <cp:revision>1</cp:revision>
  <dcterms:created xsi:type="dcterms:W3CDTF">2013-12-23T23:15:00Z</dcterms:created>
  <dcterms:modified xsi:type="dcterms:W3CDTF">2013-12-23T23:15:00Z</dcterms:modified>
  <cp:category/>
</cp:coreProperties>
</file>