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Licensing and self pub way forward meeting: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Self-Publishing Discovery Strategy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Amazon Kindle Unlimited best-selling lists as primary source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70-80% of self-published authors use KDP platform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Monthly pulls yield ~3,000 titles, ~300 relevant after filtering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40-50% replacement rate month-over-month creates opportunity for historical data mining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Validation through dual rating systems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Amazon sales data + Goodreads ratings as cross-reference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Prefer high engagement (many ratings) over perfect scores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3.8-3.9 rating acceptable if volume is strong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Author catalog expansion approach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Initial title contact often leads to author offering entire catalog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Genre-specific authors typically have multiple series in same category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Historical Amazon data mining could unlock previously trending titles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Commissioning Process &amp; Team Structure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Business team taking ownership of licensing deals (previously handled by licensing partners)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Julie left January, Daniel brief tenure, now Molly (NYC-based, limited context)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Budget allocated for direct commissioning within defined parameters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Lead management through centralized email system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Common inbox for all correspondence and historical context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Molly handles initial author calls, escalation to business team for advanced negotiations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AI-powered contact discovery for author email/social media outreach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Commercial Framework &amp; Contract Terms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Nine-tier pricing structure based on three dimensions: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Goodreads ratings volume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Series length (higher value for longer series)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Catalog fit (existing trope gaps vs. similar themes)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Dual compensation model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Flat licensing fee/minimum guarantee (varies by tier)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Gross revenue percentage (switched from net after publisher pushback on cost transparency)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Key negotiation points authors consistently raise: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AI usage rights across production/marketing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Exclusivity terms (audio rights only)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Contract duration (3-10 years range, minimum 3 years)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Operational Scaling &amp; Tools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Template standardization to handle volume increase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Email outreach templates with personalization variables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Standard contract framework with plug-and-play clauses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Legal team developing modular agreement structure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Gmask tool for bulk email campaigns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Gmail plugin with personalization capabilities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Open rate tracking and follow-up insights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Challenge: Each author requires individual negotiation vs. publisher catalog access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Potential mitigation through author collaboration networks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161516"/>
        </w:rPr>
        <w:t xml:space="preserve">◦</w:t>
      </w: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Cross-referral opportunities emerging from initial outreach</w:t>
      </w:r>
    </w:p>
    <w:p>
      <w:pPr/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161516"/>
        </w:rPr>
        <w:t xml:space="preserve">Licensing Process (Step by step breakdown):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Step-by-step licensing process for self‑pub titles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Catalog fit / trope need-gap vs. existing Pocket FM catalog.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Place each title/author into one of nine commercial tiers.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Map each tier to: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A flat licensing fee / minimum guarantee range.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A revenue-share% range on gross revenue.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b/>
          <w:color w:val="161516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Collect author contact details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Use ops + AI tools to find: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Email addresses (preferred).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Social handles (fallback).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Build a consolidated author contact sheet.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b/>
          <w:color w:val="161516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Initial outreach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Use a standardized email template sent from a common team inbox.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Personalize name, series name, and commercial band.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Clearly explain: Pocket FM format (episodic, not just standard audiobooks).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That you want audio rights to specific series (and potentially their wider catalog).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The broad commercial offer (flat fee + revenue share) upfront.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b/>
          <w:color w:val="161516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Track engagement &amp; follow up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Use Gmass (or similar) for mail-merge, personalization, and open‑rate tracking.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Schedule follow-ups for:</w:t>
      </w:r>
    </w:p>
    <w:p>
      <w:pPr>
        <w:ind w:left="216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Opened but no reply.</w:t>
      </w:r>
    </w:p>
    <w:p>
      <w:pPr>
        <w:ind w:left="216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Not opened (consider alternate channel / resend).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b/>
          <w:color w:val="161516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Qualify interest &amp; expand catalog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When an author responds positively: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Validate rights availability (especially audio).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Ask about other series in their catalog in similar or adjacent tropes.</w:t>
      </w:r>
    </w:p>
    <w:p>
      <w:pPr>
        <w:ind w:left="144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Let them suggest better/bigger series if relevant.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Commercial negotiation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Start with banded flat fee + revenue share on </w:t>
      </w:r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gross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Adjust within allowed ranges based on: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Tier (ratings, length, fit).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Size/importance of the author.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Handle most business + money topics on calls/emails from the business team (not just licensing ops) to reduce back‑and‑forth.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Address standard negotiation topics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161516"/>
        </w:rPr>
        <w:t xml:space="preserve">AI usage (production, marketing, any asset creation):</w:t>
      </w:r>
    </w:p>
    <w:p>
      <w:pPr/>
      <w:r>
        <w:rPr>
          <w:rFonts w:ascii="Times" w:hAnsi="Times" w:cs="Times"/>
          <w:sz w:val="24"/>
          <w:sz-cs w:val="24"/>
          <w:spacing w:val="0"/>
          <w:color w:val="161516"/>
        </w:rPr>
        <w:t xml:space="preserve">Either full allowance or carve-outs depending on author comfort.</w:t>
      </w:r>
    </w:p>
    <w:p>
      <w:pPr/>
      <w:r>
        <w:rPr>
          <w:rFonts w:ascii="Times" w:hAnsi="Times" w:cs="Times"/>
          <w:sz w:val="24"/>
          <w:sz-cs w:val="24"/>
          <w:spacing w:val="0"/>
          <w:color w:val="161516"/>
        </w:rPr>
        <w:t xml:space="preserve">Exclusivity: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Typically ask for </w:t>
      </w:r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exclusive audio rights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; be ready to negotiate.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Term: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Aim for longer (up to ~10 years), but prepared to go down to ~3 years.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Clarify geography and formats as needed.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b/>
          <w:color w:val="16151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Contract generation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Use a standard modular agreement template: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Predefined clauses for rights, AI, exclusivity, term, revenue share on gross, MG, reporting, etc.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Plug in author-specific choices from an intake form (e.g., AI preferences, exclusivity, territory).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Legal finalizes language and validates non‑standard asks.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b/>
          <w:color w:val="161516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  <w:color w:val="161516"/>
        </w:rPr>
        <w:t xml:space="preserve">Execution &amp; handoff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Send contract from the central inbox for signature.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Once signed: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Confirm delivery expectations (manuscript, metadata, assets).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Hand over to production/content teams for adaptation.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color w:val="16151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>Set up internal tracking for payments and revenue share reporting.</w:t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>
        <w:ind w:left="720"/>
        <w:spacing w:after="40"/>
      </w:pP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Chat with meeting transcript: </w:t>
      </w:r>
      <w:r>
        <w:rPr>
          <w:rFonts w:ascii="Times" w:hAnsi="Times" w:cs="Times"/>
          <w:sz w:val="24"/>
          <w:sz-cs w:val="24"/>
          <w:spacing w:val="0"/>
          <w:color w:val="124F92"/>
        </w:rPr>
        <w:t xml:space="preserve">https://notes.granola.ai/t/1a541776-37df-47c0-9e25-9b9285591c01</w:t>
      </w:r>
      <w:r>
        <w:rPr>
          <w:rFonts w:ascii="Times" w:hAnsi="Times" w:cs="Times"/>
          <w:sz w:val="24"/>
          <w:sz-cs w:val="24"/>
          <w:spacing w:val="0"/>
          <w:color w:val="161516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