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rFonts w:hint="default" w:ascii="Calibri" w:hAnsi="Calibri" w:cs="Calibri"/>
          <w:b/>
          <w:sz w:val="32"/>
          <w:szCs w:val="32"/>
        </w:rPr>
      </w:pPr>
      <w:r>
        <w:rPr>
          <w:rFonts w:hint="default" w:ascii="Calibri" w:hAnsi="Calibri" w:cs="Calibri"/>
          <w:b/>
          <w:sz w:val="32"/>
          <w:szCs w:val="32"/>
        </w:rPr>
        <w:t>Project Design Phase</w:t>
      </w:r>
    </w:p>
    <w:p w14:paraId="0E538A2F">
      <w:pPr>
        <w:spacing w:after="0"/>
        <w:jc w:val="center"/>
        <w:rPr>
          <w:rFonts w:hint="default" w:ascii="Calibri" w:hAnsi="Calibri" w:cs="Calibri"/>
          <w:b/>
          <w:sz w:val="28"/>
          <w:szCs w:val="28"/>
        </w:rPr>
      </w:pPr>
      <w:r>
        <w:rPr>
          <w:rFonts w:hint="default" w:ascii="Calibri" w:hAnsi="Calibri" w:cs="Calibri"/>
          <w:b/>
          <w:sz w:val="28"/>
          <w:szCs w:val="28"/>
        </w:rPr>
        <w:t>Proposed Solution Template</w:t>
      </w:r>
    </w:p>
    <w:p w14:paraId="35E8E725">
      <w:pPr>
        <w:spacing w:after="0"/>
        <w:jc w:val="center"/>
        <w:rPr>
          <w:rFonts w:hint="default" w:ascii="Calibri" w:hAnsi="Calibri" w:cs="Calibri"/>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4695" w:type="dxa"/>
          </w:tcPr>
          <w:p w14:paraId="42F84784">
            <w:pPr>
              <w:spacing w:after="0" w:line="240" w:lineRule="auto"/>
              <w:rPr>
                <w:rFonts w:hint="default" w:ascii="Calibri" w:hAnsi="Calibri" w:cs="Calibri"/>
              </w:rPr>
            </w:pPr>
            <w:r>
              <w:rPr>
                <w:rFonts w:hint="default" w:ascii="Calibri" w:hAnsi="Calibri" w:cs="Calibri"/>
              </w:rPr>
              <w:t>Date</w:t>
            </w:r>
          </w:p>
        </w:tc>
        <w:tc>
          <w:tcPr>
            <w:tcW w:w="4335" w:type="dxa"/>
          </w:tcPr>
          <w:p w14:paraId="49DC5AF5">
            <w:pPr>
              <w:spacing w:after="0" w:line="240" w:lineRule="auto"/>
              <w:rPr>
                <w:rFonts w:hint="default" w:ascii="Calibri" w:hAnsi="Calibri" w:cs="Calibri"/>
              </w:rPr>
            </w:pPr>
            <w:r>
              <w:rPr>
                <w:rFonts w:hint="default" w:ascii="Calibri" w:hAnsi="Calibri" w:cs="Calibri"/>
                <w:lang w:val="en-US"/>
              </w:rPr>
              <w:t>27 June</w:t>
            </w:r>
            <w:r>
              <w:rPr>
                <w:rFonts w:hint="default" w:ascii="Calibri" w:hAnsi="Calibri" w:cs="Calibri"/>
              </w:rPr>
              <w:t xml:space="preserv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tcW w:w="4695" w:type="dxa"/>
          </w:tcPr>
          <w:p w14:paraId="2D366549">
            <w:pPr>
              <w:spacing w:after="0" w:line="240" w:lineRule="auto"/>
              <w:rPr>
                <w:rFonts w:hint="default" w:ascii="Calibri" w:hAnsi="Calibri" w:cs="Calibri"/>
              </w:rPr>
            </w:pPr>
            <w:r>
              <w:rPr>
                <w:rFonts w:hint="default" w:ascii="Calibri" w:hAnsi="Calibri" w:cs="Calibri"/>
              </w:rPr>
              <w:t>Team ID</w:t>
            </w:r>
          </w:p>
        </w:tc>
        <w:tc>
          <w:tcPr>
            <w:tcW w:w="4335" w:type="dxa"/>
          </w:tcPr>
          <w:p w14:paraId="1AD8634F">
            <w:pPr>
              <w:spacing w:after="0" w:line="240" w:lineRule="auto"/>
              <w:rPr>
                <w:rFonts w:hint="default" w:ascii="Calibri" w:hAnsi="Calibri" w:cs="Calibri"/>
              </w:rPr>
            </w:pPr>
            <w:r>
              <w:rPr>
                <w:rFonts w:hint="default" w:ascii="Calibri" w:hAnsi="Calibri" w:cs="Calibri"/>
              </w:rPr>
              <w:t>LTVIP2025TMID29152</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4695" w:type="dxa"/>
          </w:tcPr>
          <w:p w14:paraId="4C398D34">
            <w:pPr>
              <w:spacing w:after="0" w:line="240" w:lineRule="auto"/>
              <w:rPr>
                <w:rFonts w:hint="default" w:ascii="Calibri" w:hAnsi="Calibri" w:cs="Calibri"/>
              </w:rPr>
            </w:pPr>
            <w:r>
              <w:rPr>
                <w:rFonts w:hint="default" w:ascii="Calibri" w:hAnsi="Calibri" w:cs="Calibri"/>
              </w:rPr>
              <w:t>Project Name</w:t>
            </w:r>
          </w:p>
        </w:tc>
        <w:tc>
          <w:tcPr>
            <w:tcW w:w="4335" w:type="dxa"/>
          </w:tcPr>
          <w:p w14:paraId="56EAF34F">
            <w:pPr>
              <w:spacing w:after="0" w:line="240" w:lineRule="auto"/>
              <w:rPr>
                <w:rFonts w:hint="default" w:ascii="Calibri" w:hAnsi="Calibri" w:cs="Calibri"/>
              </w:rPr>
            </w:pPr>
            <w:r>
              <w:rPr>
                <w:rFonts w:hint="default" w:ascii="Calibri" w:hAnsi="Calibri" w:cs="Calibri"/>
              </w:rPr>
              <w:t>SmartSDLC – AI-Enhanced Software Development Lifecycle</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trPr>
        <w:tc>
          <w:tcPr>
            <w:tcW w:w="4695" w:type="dxa"/>
          </w:tcPr>
          <w:p w14:paraId="1EABD436">
            <w:pPr>
              <w:spacing w:after="0" w:line="240" w:lineRule="auto"/>
              <w:rPr>
                <w:rFonts w:hint="default" w:ascii="Calibri" w:hAnsi="Calibri" w:cs="Calibri"/>
              </w:rPr>
            </w:pPr>
            <w:r>
              <w:rPr>
                <w:rFonts w:hint="default" w:ascii="Calibri" w:hAnsi="Calibri" w:cs="Calibri"/>
              </w:rPr>
              <w:t>Maximum Marks</w:t>
            </w:r>
          </w:p>
        </w:tc>
        <w:tc>
          <w:tcPr>
            <w:tcW w:w="4335" w:type="dxa"/>
          </w:tcPr>
          <w:p w14:paraId="40F8E2A6">
            <w:pPr>
              <w:spacing w:after="0" w:line="240" w:lineRule="auto"/>
              <w:rPr>
                <w:rFonts w:hint="default" w:ascii="Calibri" w:hAnsi="Calibri" w:cs="Calibri"/>
              </w:rPr>
            </w:pPr>
            <w:r>
              <w:rPr>
                <w:rFonts w:hint="default" w:ascii="Calibri" w:hAnsi="Calibri" w:cs="Calibri"/>
              </w:rPr>
              <w:t>2 Marks</w:t>
            </w:r>
          </w:p>
        </w:tc>
      </w:tr>
    </w:tbl>
    <w:p w14:paraId="72C5D42E">
      <w:pPr>
        <w:rPr>
          <w:rFonts w:hint="default" w:ascii="Calibri" w:hAnsi="Calibri" w:cs="Calibri"/>
          <w:b/>
        </w:rPr>
      </w:pPr>
    </w:p>
    <w:p w14:paraId="2A69CBFE">
      <w:pPr>
        <w:rPr>
          <w:rFonts w:hint="default" w:ascii="Calibri" w:hAnsi="Calibri" w:cs="Calibri"/>
          <w:b/>
          <w:sz w:val="28"/>
          <w:szCs w:val="28"/>
          <w:u w:val="single"/>
        </w:rPr>
      </w:pPr>
      <w:r>
        <w:rPr>
          <w:rFonts w:hint="default" w:ascii="Calibri" w:hAnsi="Calibri" w:cs="Calibri"/>
          <w:b/>
          <w:sz w:val="28"/>
          <w:szCs w:val="28"/>
          <w:u w:val="single"/>
        </w:rPr>
        <w:t>Proposed Solution Template:</w:t>
      </w:r>
      <w:bookmarkStart w:id="0" w:name="_GoBack"/>
      <w:bookmarkEnd w:id="0"/>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2166"/>
        <w:gridCol w:w="6000"/>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360" w:lineRule="auto"/>
              <w:rPr>
                <w:rFonts w:hint="default" w:ascii="Calibri" w:hAnsi="Calibri" w:cs="Calibri"/>
                <w:b/>
              </w:rPr>
            </w:pPr>
            <w:r>
              <w:rPr>
                <w:rFonts w:hint="default" w:ascii="Calibri" w:hAnsi="Calibri" w:cs="Calibri"/>
                <w:b/>
              </w:rPr>
              <w:t>S.No.</w:t>
            </w:r>
          </w:p>
        </w:tc>
        <w:tc>
          <w:tcPr>
            <w:tcW w:w="2166" w:type="dxa"/>
          </w:tcPr>
          <w:p w14:paraId="4E4913CB">
            <w:pPr>
              <w:spacing w:after="0" w:line="360" w:lineRule="auto"/>
              <w:rPr>
                <w:rFonts w:hint="default" w:ascii="Calibri" w:hAnsi="Calibri" w:cs="Calibri"/>
                <w:b/>
              </w:rPr>
            </w:pPr>
            <w:r>
              <w:rPr>
                <w:rFonts w:hint="default" w:ascii="Calibri" w:hAnsi="Calibri" w:cs="Calibri"/>
                <w:b/>
              </w:rPr>
              <w:t>Parameter</w:t>
            </w:r>
          </w:p>
        </w:tc>
        <w:tc>
          <w:tcPr>
            <w:tcW w:w="6000" w:type="dxa"/>
          </w:tcPr>
          <w:p w14:paraId="64892F81">
            <w:pPr>
              <w:spacing w:after="0" w:line="360" w:lineRule="auto"/>
              <w:rPr>
                <w:rFonts w:hint="default" w:ascii="Calibri" w:hAnsi="Calibri" w:cs="Calibri"/>
                <w:b/>
              </w:rPr>
            </w:pPr>
            <w:r>
              <w:rPr>
                <w:rFonts w:hint="default" w:ascii="Calibri" w:hAnsi="Calibri" w:cs="Calibri"/>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3FF28270">
            <w:pPr>
              <w:spacing w:after="0" w:line="360" w:lineRule="auto"/>
              <w:jc w:val="left"/>
              <w:rPr>
                <w:rFonts w:hint="default" w:ascii="Calibri" w:hAnsi="Calibri" w:cs="Calibri"/>
                <w:sz w:val="24"/>
                <w:szCs w:val="24"/>
              </w:rPr>
            </w:pPr>
            <w:r>
              <w:rPr>
                <w:rFonts w:hint="default" w:ascii="Calibri" w:hAnsi="Calibri" w:cs="Calibri"/>
                <w:color w:val="222222"/>
                <w:sz w:val="24"/>
                <w:szCs w:val="24"/>
              </w:rPr>
              <w:t>Problem Statement (Problem to be solved)</w:t>
            </w:r>
          </w:p>
        </w:tc>
        <w:tc>
          <w:tcPr>
            <w:tcW w:w="6000" w:type="dxa"/>
          </w:tcPr>
          <w:p w14:paraId="5582DE8C">
            <w:pPr>
              <w:spacing w:after="0" w:line="360" w:lineRule="auto"/>
              <w:jc w:val="both"/>
              <w:rPr>
                <w:rFonts w:hint="default" w:ascii="Calibri" w:hAnsi="Calibri" w:cs="Calibri"/>
                <w:sz w:val="24"/>
                <w:szCs w:val="24"/>
              </w:rPr>
            </w:pPr>
            <w:r>
              <w:rPr>
                <w:rFonts w:hint="default" w:ascii="Calibri" w:hAnsi="Calibri" w:eastAsia="SimSun" w:cs="Calibri"/>
                <w:sz w:val="24"/>
                <w:szCs w:val="24"/>
              </w:rPr>
              <w:t>Developers and students spend significant time manually performing repetitive software development lifecycle (SDLC) tasks like writing code, generating test cases, debugging, and understanding large codebases. This leads to inefficiencies, delays, and lower productivity.</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2E5677B7">
            <w:pPr>
              <w:spacing w:after="0" w:line="360" w:lineRule="auto"/>
              <w:jc w:val="left"/>
              <w:rPr>
                <w:rFonts w:hint="default" w:ascii="Calibri" w:hAnsi="Calibri" w:cs="Calibri"/>
                <w:sz w:val="24"/>
                <w:szCs w:val="24"/>
              </w:rPr>
            </w:pPr>
            <w:r>
              <w:rPr>
                <w:rFonts w:hint="default" w:ascii="Calibri" w:hAnsi="Calibri" w:cs="Calibri"/>
                <w:color w:val="222222"/>
                <w:sz w:val="24"/>
                <w:szCs w:val="24"/>
              </w:rPr>
              <w:t>Idea / Solution description</w:t>
            </w:r>
          </w:p>
        </w:tc>
        <w:tc>
          <w:tcPr>
            <w:tcW w:w="6000" w:type="dxa"/>
          </w:tcPr>
          <w:p w14:paraId="463B60E0">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is an AI-powered platform that automates major SDLC phases. It uses IBM Watsonx to generate code from task descriptions, auto-generate test cases, detect and fix bugs, summarize source code, and classify PDF documents into SDLC phases—all integrated through a user-friendly Streamlit frontend and FastAPI backend.</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0CE12A68">
            <w:pPr>
              <w:spacing w:after="0" w:line="360" w:lineRule="auto"/>
              <w:jc w:val="left"/>
              <w:rPr>
                <w:rFonts w:hint="default" w:ascii="Calibri" w:hAnsi="Calibri" w:cs="Calibri"/>
                <w:sz w:val="24"/>
                <w:szCs w:val="24"/>
              </w:rPr>
            </w:pPr>
            <w:r>
              <w:rPr>
                <w:rFonts w:hint="default" w:ascii="Calibri" w:hAnsi="Calibri" w:cs="Calibri"/>
                <w:color w:val="222222"/>
                <w:sz w:val="24"/>
                <w:szCs w:val="24"/>
              </w:rPr>
              <w:t xml:space="preserve">Novelty / Uniqueness </w:t>
            </w:r>
          </w:p>
        </w:tc>
        <w:tc>
          <w:tcPr>
            <w:tcW w:w="6000" w:type="dxa"/>
          </w:tcPr>
          <w:p w14:paraId="352499F2">
            <w:pPr>
              <w:spacing w:after="0" w:line="360" w:lineRule="auto"/>
              <w:jc w:val="both"/>
              <w:rPr>
                <w:rFonts w:hint="default" w:ascii="Calibri" w:hAnsi="Calibri" w:cs="Calibri"/>
                <w:sz w:val="24"/>
                <w:szCs w:val="24"/>
              </w:rPr>
            </w:pPr>
            <w:r>
              <w:rPr>
                <w:rFonts w:hint="default" w:ascii="Calibri" w:hAnsi="Calibri" w:eastAsia="SimSun" w:cs="Calibri"/>
                <w:sz w:val="24"/>
                <w:szCs w:val="24"/>
              </w:rPr>
              <w:t xml:space="preserve">Unlike traditional code assistants that focus only on code generation, SmartSDLC offers an </w:t>
            </w:r>
            <w:r>
              <w:rPr>
                <w:rStyle w:val="11"/>
                <w:rFonts w:hint="default" w:ascii="Calibri" w:hAnsi="Calibri" w:eastAsia="SimSun" w:cs="Calibri"/>
                <w:sz w:val="24"/>
                <w:szCs w:val="24"/>
              </w:rPr>
              <w:t>end-to-end SDLC automation suite</w:t>
            </w:r>
            <w:r>
              <w:rPr>
                <w:rFonts w:hint="default" w:ascii="Calibri" w:hAnsi="Calibri" w:eastAsia="SimSun" w:cs="Calibri"/>
                <w:sz w:val="24"/>
                <w:szCs w:val="24"/>
              </w:rPr>
              <w:t>—covering code, testing, debugging, summarization, and documentation. It unifies multiple AI services into one seamless platform and uses Watsonx for enterprise-grade reliability.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5282EBA1">
            <w:pPr>
              <w:spacing w:after="0" w:line="360" w:lineRule="auto"/>
              <w:jc w:val="left"/>
              <w:rPr>
                <w:rFonts w:hint="default" w:ascii="Calibri" w:hAnsi="Calibri" w:cs="Calibri"/>
                <w:sz w:val="24"/>
                <w:szCs w:val="24"/>
              </w:rPr>
            </w:pPr>
            <w:r>
              <w:rPr>
                <w:rFonts w:hint="default" w:ascii="Calibri" w:hAnsi="Calibri" w:cs="Calibri"/>
                <w:color w:val="222222"/>
                <w:sz w:val="24"/>
                <w:szCs w:val="24"/>
              </w:rPr>
              <w:t>Social Impact / Customer Satisfaction</w:t>
            </w:r>
          </w:p>
        </w:tc>
        <w:tc>
          <w:tcPr>
            <w:tcW w:w="6000" w:type="dxa"/>
          </w:tcPr>
          <w:p w14:paraId="039671E8">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saves time and reduces stress for students, developers, and IT professionals by automating complex development tasks. It supports learning and productivity, making it especially beneficial for educational institutions, freelancers, and startups with limited resources.</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27E95CC0">
            <w:pPr>
              <w:spacing w:after="0" w:line="360" w:lineRule="auto"/>
              <w:jc w:val="left"/>
              <w:rPr>
                <w:rFonts w:hint="default" w:ascii="Calibri" w:hAnsi="Calibri" w:cs="Calibri"/>
                <w:sz w:val="24"/>
                <w:szCs w:val="24"/>
              </w:rPr>
            </w:pPr>
            <w:r>
              <w:rPr>
                <w:rFonts w:hint="default" w:ascii="Calibri" w:hAnsi="Calibri" w:cs="Calibri"/>
                <w:color w:val="222222"/>
                <w:sz w:val="24"/>
                <w:szCs w:val="24"/>
              </w:rPr>
              <w:t>Business Model (Revenue Model)</w:t>
            </w:r>
          </w:p>
        </w:tc>
        <w:tc>
          <w:tcPr>
            <w:tcW w:w="6000" w:type="dxa"/>
          </w:tcPr>
          <w:p w14:paraId="3E97F94F">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can adopt a Freemium SaaS model: offer core features for free, and charge for premium features like multi-language support, API access, and cloud-based PDF storage. It can also license to institutions for academic or internal use.</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54EBFC13">
            <w:pPr>
              <w:spacing w:after="0" w:line="360" w:lineRule="auto"/>
              <w:jc w:val="left"/>
              <w:rPr>
                <w:rFonts w:hint="default" w:ascii="Calibri" w:hAnsi="Calibri" w:cs="Calibri"/>
                <w:color w:val="222222"/>
                <w:sz w:val="24"/>
                <w:szCs w:val="24"/>
              </w:rPr>
            </w:pPr>
            <w:r>
              <w:rPr>
                <w:rFonts w:hint="default" w:ascii="Calibri" w:hAnsi="Calibri" w:cs="Calibri"/>
                <w:color w:val="222222"/>
                <w:sz w:val="24"/>
                <w:szCs w:val="24"/>
              </w:rPr>
              <w:t>Scalability of the Solution</w:t>
            </w:r>
          </w:p>
        </w:tc>
        <w:tc>
          <w:tcPr>
            <w:tcW w:w="6000" w:type="dxa"/>
          </w:tcPr>
          <w:p w14:paraId="7C323FF0">
            <w:pPr>
              <w:spacing w:after="0" w:line="360" w:lineRule="auto"/>
              <w:jc w:val="both"/>
              <w:rPr>
                <w:rFonts w:hint="default" w:ascii="Calibri" w:hAnsi="Calibri" w:cs="Calibri"/>
                <w:sz w:val="24"/>
                <w:szCs w:val="24"/>
              </w:rPr>
            </w:pPr>
            <w:r>
              <w:rPr>
                <w:rFonts w:hint="default" w:ascii="Calibri" w:hAnsi="Calibri" w:eastAsia="SimSun" w:cs="Calibri"/>
                <w:sz w:val="24"/>
                <w:szCs w:val="24"/>
              </w:rPr>
              <w:t>The architecture is modular and cloud-ready. It can easily be scaled by integrating additional LLMs (like GPT-4, IBM Granite, etc.), supporting more programming languages, or expanding to enterprise APIs. It’s deployable on local servers or cloud platforms like AWS, Azure, or IBM Cloud.</w:t>
            </w:r>
          </w:p>
        </w:tc>
      </w:tr>
    </w:tbl>
    <w:p w14:paraId="5BC2B474">
      <w:pPr>
        <w:spacing w:line="360" w:lineRule="auto"/>
        <w:jc w:val="both"/>
        <w:rPr>
          <w:rFonts w:hint="default" w:ascii="Calibri" w:hAnsi="Calibri" w:cs="Calibri"/>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C27B72"/>
    <w:rsid w:val="00D90E76"/>
    <w:rsid w:val="62C315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400</Characters>
  <Lines>3</Lines>
  <Paragraphs>1</Paragraphs>
  <TotalTime>7</TotalTime>
  <ScaleCrop>false</ScaleCrop>
  <LinksUpToDate>false</LinksUpToDate>
  <CharactersWithSpaces>469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hp</cp:lastModifiedBy>
  <dcterms:modified xsi:type="dcterms:W3CDTF">2025-06-29T14:26:04Z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33A4C780413044FE9D87F506FD607ACC_12</vt:lpwstr>
  </property>
</Properties>
</file>