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ng" ContentType="image/png"/>
  <Default Extension="psmdcp" ContentType="application/vnd.openxmlformats-package.core-properties+xml"/>
  <Default Extension="rels" ContentType="application/vnd.openxmlformats-package.relationship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e9187bc306f45e2" /><Relationship Type="http://schemas.openxmlformats.org/package/2006/relationships/metadata/core-properties" Target="/package/services/metadata/core-properties/4f5373228a7047e68d8f6654320210c2.psmdcp" Id="R2f9139c84fe54849" 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Resin Swirl Techniques Playlist</w:t>
      </w:r>
    </w:p>
    <w:p>
      <w:pPr>
        <w:pStyle w:val="heading1"/>
      </w:pPr>
      <w:bookmarkStart w:name="resin_swirl_techniques_playlist" w:id="1"/>
      <w:r>
        <w:t>Resin Swirl Techniques Playlist</w:t>
      </w:r>
      <w:bookmarkEnd w:id="1"/>
    </w:p>
    <w:p>
      <w:r>
        <w:t xml:space="preserve">A curated reference page for the three major resin swirl-pour techniques used in pen-blank casting. This page is designed for inclusion in the </w:t>
      </w:r>
      <w:r>
        <w:rPr>
          <w:rStyle w:val="Code"/>
        </w:rPr>
        <w:t>shop-notes</w:t>
      </w:r>
      <w:r>
        <w:t xml:space="preserve"> repository.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1_pour_down_the_sides_technique" w:id="2"/>
      <w:r>
        <w:t>1. Pour-Down-the-Sides Technique</w:t>
      </w:r>
      <w:bookmarkEnd w:id="2"/>
    </w:p>
    <w:p>
      <w:r>
        <w:t>This method uses the inner wall of a vertical mold to guide resin gently downward, preserving color separation and preventing muddy blending.</w:t>
      </w:r>
    </w:p>
    <w:p>
      <w:pPr>
        <w:pStyle w:val="heading3"/>
      </w:pPr>
      <w:bookmarkStart w:name="purpose" w:id="3"/>
      <w:r>
        <w:t>Purpose</w:t>
      </w:r>
      <w:bookmarkEnd w:id="3"/>
    </w:p>
    <w:p>
      <w:pPr>
        <w:pStyle w:val="ListParagraph"/>
        <w:numPr>
          <w:ilvl w:val="0"/>
          <w:numId w:val="1"/>
        </w:numPr>
      </w:pPr>
      <w:r>
        <w:t>Maintain clean, distinct color ribbons</w:t>
      </w:r>
    </w:p>
    <w:p>
      <w:pPr>
        <w:pStyle w:val="ListParagraph"/>
        <w:numPr>
          <w:ilvl w:val="0"/>
          <w:numId w:val="1"/>
        </w:numPr>
      </w:pPr>
      <w:r>
        <w:t>Reduce turbulence during pour</w:t>
      </w:r>
    </w:p>
    <w:p>
      <w:pPr>
        <w:pStyle w:val="ListParagraph"/>
        <w:numPr>
          <w:ilvl w:val="0"/>
          <w:numId w:val="1"/>
        </w:numPr>
      </w:pPr>
      <w:r>
        <w:t>Ideal for high-contrast blanks (e.g., red/black/white)</w:t>
      </w:r>
    </w:p>
    <w:p>
      <w:pPr>
        <w:pStyle w:val="heading3"/>
      </w:pPr>
      <w:bookmarkStart w:name="reference_video" w:id="4"/>
      <w:r>
        <w:t>Reference Video</w:t>
      </w:r>
      <w:bookmarkEnd w:id="4"/>
    </w:p>
    <w:p>
      <w:r>
        <w:rPr>
          <w:b/>
        </w:rPr>
        <w:t>Title:</w:t>
      </w:r>
      <w:r>
        <w:t xml:space="preserve"> Swirl Resin Without Blending Colors - Jake Thompson</w:t>
      </w:r>
      <w:r>
        <w:br/>
      </w:r>
      <w:r>
        <w:rPr>
          <w:b/>
        </w:rPr>
        <w:t>Platform:</w:t>
      </w:r>
      <w:r>
        <w:t xml:space="preserve"> YouTube</w:t>
      </w:r>
      <w:r>
        <w:br/>
      </w:r>
      <w:r>
        <w:rPr>
          <w:b/>
        </w:rPr>
        <w:t>Technique Demonstrated:</w:t>
      </w:r>
      <w:r>
        <w:t xml:space="preserve"> Controlled laminar flow, wall-guided pouring, viscosity timing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2_center_pour_ribbon_technique" w:id="5"/>
      <w:r>
        <w:t>2. Center-Pour Ribbon Technique</w:t>
      </w:r>
      <w:bookmarkEnd w:id="5"/>
    </w:p>
    <w:p>
      <w:r>
        <w:t>A method where thickened resin is poured directly through the center of the mold to create bold, ribbon-like streaks.</w:t>
      </w:r>
    </w:p>
    <w:p>
      <w:pPr>
        <w:pStyle w:val="heading3"/>
      </w:pPr>
      <w:bookmarkStart w:name="purpose_2" w:id="6"/>
      <w:r>
        <w:t>Purpose</w:t>
      </w:r>
      <w:bookmarkEnd w:id="6"/>
    </w:p>
    <w:p>
      <w:pPr>
        <w:pStyle w:val="ListParagraph"/>
        <w:numPr>
          <w:ilvl w:val="0"/>
          <w:numId w:val="2"/>
        </w:numPr>
      </w:pPr>
      <w:r>
        <w:t>Produce dramatic, high-contrast ribbons</w:t>
      </w:r>
    </w:p>
    <w:p>
      <w:pPr>
        <w:pStyle w:val="ListParagraph"/>
        <w:numPr>
          <w:ilvl w:val="0"/>
          <w:numId w:val="2"/>
        </w:numPr>
      </w:pPr>
      <w:r>
        <w:t>Use resin viscosity to control swirl integrity</w:t>
      </w:r>
    </w:p>
    <w:p>
      <w:pPr>
        <w:pStyle w:val="ListParagraph"/>
        <w:numPr>
          <w:ilvl w:val="0"/>
          <w:numId w:val="2"/>
        </w:numPr>
      </w:pPr>
      <w:r>
        <w:t>Works well with metallic or pearlescent pigments</w:t>
      </w:r>
    </w:p>
    <w:p>
      <w:pPr>
        <w:pStyle w:val="heading3"/>
      </w:pPr>
      <w:bookmarkStart w:name="reference_video_2" w:id="7"/>
      <w:r>
        <w:t>Reference Video</w:t>
      </w:r>
      <w:bookmarkEnd w:id="7"/>
    </w:p>
    <w:p>
      <w:r>
        <w:rPr>
          <w:b/>
        </w:rPr>
        <w:t>Title:</w:t>
      </w:r>
      <w:r>
        <w:t xml:space="preserve"> Creating &amp; Keeping Swirls in Resin - Nick Zammeti</w:t>
      </w:r>
      <w:r>
        <w:br/>
      </w:r>
      <w:r>
        <w:rPr>
          <w:b/>
        </w:rPr>
        <w:t>Platform:</w:t>
      </w:r>
      <w:r>
        <w:t xml:space="preserve"> YouTube</w:t>
      </w:r>
      <w:r>
        <w:br/>
      </w:r>
      <w:r>
        <w:rPr>
          <w:b/>
        </w:rPr>
        <w:t>Technique Demonstrated:</w:t>
      </w:r>
      <w:r>
        <w:t xml:space="preserve"> Center-stream pouring, timing for “warm honey” viscosity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3_layer_stack_technique" w:id="8"/>
      <w:r>
        <w:t>3. Layer-Stack Technique</w:t>
      </w:r>
      <w:bookmarkEnd w:id="8"/>
    </w:p>
    <w:p>
      <w:r>
        <w:t>A sequential layering method used to create clean, distinct resin bands or controlled gradients.</w:t>
      </w:r>
    </w:p>
    <w:p>
      <w:pPr>
        <w:pStyle w:val="heading3"/>
      </w:pPr>
      <w:bookmarkStart w:name="purpose_3" w:id="9"/>
      <w:r>
        <w:t>Purpose</w:t>
      </w:r>
      <w:bookmarkEnd w:id="9"/>
    </w:p>
    <w:p>
      <w:pPr>
        <w:pStyle w:val="ListParagraph"/>
        <w:numPr>
          <w:ilvl w:val="0"/>
          <w:numId w:val="3"/>
        </w:numPr>
      </w:pPr>
      <w:r>
        <w:t>Achieve crisp, non-blended layers</w:t>
      </w:r>
    </w:p>
    <w:p>
      <w:pPr>
        <w:pStyle w:val="ListParagraph"/>
        <w:numPr>
          <w:ilvl w:val="0"/>
          <w:numId w:val="3"/>
        </w:numPr>
      </w:pPr>
      <w:r>
        <w:t>Useful for segmented or striped blanks</w:t>
      </w:r>
    </w:p>
    <w:p>
      <w:pPr>
        <w:pStyle w:val="ListParagraph"/>
        <w:numPr>
          <w:ilvl w:val="0"/>
          <w:numId w:val="3"/>
        </w:numPr>
      </w:pPr>
      <w:r>
        <w:t>Allows precise color placement</w:t>
      </w:r>
    </w:p>
    <w:p>
      <w:pPr>
        <w:pStyle w:val="heading3"/>
      </w:pPr>
      <w:bookmarkStart w:name="reference_video_3" w:id="10"/>
      <w:r>
        <w:t>Reference Video</w:t>
      </w:r>
      <w:bookmarkEnd w:id="10"/>
    </w:p>
    <w:p>
      <w:r>
        <w:rPr>
          <w:b/>
        </w:rPr>
        <w:t>Title:</w:t>
      </w:r>
      <w:r>
        <w:t xml:space="preserve"> How Do You Pour Multiple Resin Layers? - ArtResin</w:t>
      </w:r>
      <w:r>
        <w:br/>
      </w:r>
      <w:r>
        <w:rPr>
          <w:b/>
        </w:rPr>
        <w:t>Platform:</w:t>
      </w:r>
      <w:r>
        <w:t xml:space="preserve"> YouTube</w:t>
      </w:r>
      <w:r>
        <w:br/>
      </w:r>
      <w:r>
        <w:rPr>
          <w:b/>
        </w:rPr>
        <w:t>Technique Demonstrated:</w:t>
      </w:r>
      <w:r>
        <w:t xml:space="preserve"> Layer curing, sequential pours, color isolation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h_4_vertical_casting_swirl_behavior_supplemental" w:id="11"/>
      <w:r>
        <w:t>4. Vertical Casting &amp; Swirl Behavior (Supplemental)</w:t>
      </w:r>
      <w:bookmarkEnd w:id="11"/>
    </w:p>
    <w:p>
      <w:r>
        <w:t>A long-form demonstration covering vertical tube behavior, swirl timing, and color control.</w:t>
      </w:r>
    </w:p>
    <w:p>
      <w:pPr>
        <w:pStyle w:val="heading3"/>
      </w:pPr>
      <w:bookmarkStart w:name="reference_video_4" w:id="12"/>
      <w:r>
        <w:t>Reference Video</w:t>
      </w:r>
      <w:bookmarkEnd w:id="12"/>
    </w:p>
    <w:p>
      <w:r>
        <w:rPr>
          <w:b/>
        </w:rPr>
        <w:t>Title:</w:t>
      </w:r>
      <w:r>
        <w:t xml:space="preserve"> Vertical Casting Tips - Turners TV</w:t>
      </w:r>
      <w:r>
        <w:br/>
      </w:r>
      <w:r>
        <w:rPr>
          <w:b/>
        </w:rPr>
        <w:t>Platform:</w:t>
      </w:r>
      <w:r>
        <w:t xml:space="preserve"> YouTube</w:t>
      </w:r>
      <w:r>
        <w:br/>
      </w:r>
      <w:r>
        <w:rPr>
          <w:b/>
        </w:rPr>
        <w:t>Technique Demonstrated:</w:t>
      </w:r>
      <w:r>
        <w:t xml:space="preserve"> Vertical mold handling, swirl formation, resin behavior under pressure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usage_notes" w:id="13"/>
      <w:r>
        <w:t>Usage Notes</w:t>
      </w:r>
      <w:bookmarkEnd w:id="13"/>
    </w:p>
    <w:p>
      <w:pPr>
        <w:pStyle w:val="ListParagraph"/>
        <w:numPr>
          <w:ilvl w:val="0"/>
          <w:numId w:val="4"/>
        </w:numPr>
      </w:pPr>
      <w:r>
        <w:t>These videos illustrate the underlying physics and timing of swirl formation.</w:t>
      </w:r>
    </w:p>
    <w:p>
      <w:pPr>
        <w:pStyle w:val="ListParagraph"/>
        <w:numPr>
          <w:ilvl w:val="0"/>
          <w:numId w:val="4"/>
        </w:numPr>
      </w:pPr>
      <w:r>
        <w:t>Techniques can be adapted for Alumilite Clear Slow, epoxy systems, and hybrid blanks.</w:t>
      </w:r>
    </w:p>
    <w:p>
      <w:pPr>
        <w:pStyle w:val="ListParagraph"/>
        <w:numPr>
          <w:ilvl w:val="0"/>
          <w:numId w:val="4"/>
        </w:numPr>
      </w:pPr>
      <w:r>
        <w:t>For best results, combine video study with controlled test pours.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pPr>
        <w:pStyle w:val="heading2"/>
      </w:pPr>
      <w:bookmarkStart w:name="related_shop_notes" w:id="14"/>
      <w:r>
        <w:t>Related Shop Notes</w:t>
      </w:r>
      <w:bookmarkEnd w:id="14"/>
    </w:p>
    <w:p>
      <w:pPr>
        <w:pStyle w:val="ListParagraph"/>
        <w:numPr>
          <w:ilvl w:val="0"/>
          <w:numId w:val="5"/>
        </w:numPr>
      </w:pPr>
      <w:r>
        <w:rPr>
          <w:rStyle w:val="Code"/>
        </w:rPr>
        <w:t>resin/huskers-pour-recipe.md</w:t>
      </w:r>
    </w:p>
    <w:p>
      <w:pPr>
        <w:pStyle w:val="ListParagraph"/>
        <w:numPr>
          <w:ilvl w:val="0"/>
          <w:numId w:val="5"/>
        </w:numPr>
      </w:pPr>
      <w:r>
        <w:rPr>
          <w:rStyle w:val="Code"/>
        </w:rPr>
        <w:t>resin/pigment-measurements.md</w:t>
      </w:r>
    </w:p>
    <w:p>
      <w:pPr>
        <w:pStyle w:val="ListParagraph"/>
        <w:numPr>
          <w:ilvl w:val="0"/>
          <w:numId w:val="5"/>
        </w:numPr>
      </w:pPr>
      <w:r>
        <w:rPr>
          <w:rStyle w:val="Code"/>
        </w:rPr>
        <w:t>resin/vertical-tube-casting.md</w:t>
      </w:r>
    </w:p>
    <w:p>
      <w:r>
        <w:pict>
          <v:rect xmlns:o="urn:schemas-microsoft-com:office:office" xmlns:v="urn:schemas-microsoft-com:vml" style="height:.05pt;mso-width-percent:1000" o:hr="true" o:hrstd="true" o:hralign="center" fillcolor="A0A0A0" stroked="false"/>
        </w:pict>
      </w:r>
    </w:p>
    <w:p>
      <w:r>
        <w:t>This page is intended as a quick reference for resin-casting technique review and training within the shop-notes system.</w:t>
      </w:r>
    </w:p>
    <w:sectPr>
      <w:footerReference xmlns:r="http://schemas.openxmlformats.org/officeDocument/2006/relationships" w:type="default" r:id="footer1"/>
      <w:pgSz w:w="12240" w:h="15840"/>
      <w:pgMar w:top="1440" w:right="1440" w:bottom="1440" w:left="1440" w:header="540" w:footer="540" w:gutter="0"/>
    </w:sectPr>
  </w:body>
</w:document>
</file>

<file path=word/footer1.xml><?xml version="1.0" encoding="utf-8"?>
<w:ftr xmlns:w="http://schemas.openxmlformats.org/wordprocessingml/2006/main">
  <w:p>
    <w:pPr>
      <w:pStyle w:val="Footer"/>
      <w:ind w:left="4000"/>
    </w:pPr>
    <w:r>
      <w:drawing>
        <wp:anchor xmlns:wp="http://schemas.openxmlformats.org/drawingml/2006/wordprocessingDrawing" distT="0" distB="0" distL="114300" distR="114300" simplePos="0" relativeHeight="251658240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731520" cy="179705"/>
          <wp:effectExtent l="0" t="0" r="0" b="0"/>
          <wp:wrapSquare wrapText="bothSides"/>
          <wp:docPr id="20250715" name="Copilo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50715" name="Copilot Logo"/>
                  <pic:cNvPicPr/>
                </pic:nvPicPr>
                <pic:blipFill>
                  <a:blip xmlns:r="http://schemas.openxmlformats.org/officeDocument/2006/relationships" r:embed="copilotLogo1">
                    <a:extLst>
                      <a:ext uri="{28A0092B-C50C-407E-A947-70E740481C1C}"/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1797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>Copilot may make mistakes</w:t>
    </w:r>
    <w:r>
      <w:ptab w:alignment="right" w:relativeTo="margin" w:leader="none"/>
    </w:r>
    <w:r>
      <w:fldSimple w:instr="PAGE"/>
    </w:r>
  </w:p>
</w:ft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left"/>
      <w:pPr>
        <w:ind w:left="1080" w:hanging="360"/>
      </w:pPr>
    </w:lvl>
  </w:abstractNum>
  <w:abstractNum w:abstractNumId="1">
    <w:multiLevelType w:val="multilevel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</w:abstractNum>
  <w:abstractNum w:abstractNumId="2">
    <w:multiLevelType w:val="multilevel"/>
    <w:lvl w:ilvl="0">
      <w:start w:val="1"/>
      <w:numFmt w:val="bullet"/>
      <w:lvlText w:val=""/>
      <w:lvlJc w:val="left"/>
      <w:pPr>
        <w:ind w:left="0"/>
      </w:pPr>
    </w:lvl>
    <w:lvl w:ilvl="1">
      <w:start w:val="1"/>
      <w:numFmt w:val="bullet"/>
      <w:lvlText w:val=""/>
      <w:lvlJc w:val="left"/>
      <w:pPr>
        <w:ind w:left="360"/>
      </w:pPr>
    </w:lvl>
    <w:lvl w:ilvl="2">
      <w:start w:val="1"/>
      <w:numFmt w:val="bullet"/>
      <w:lvlText w:val=""/>
      <w:lvlJc w:val="left"/>
      <w:pPr>
        <w:ind w:left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</w:numbering>
</file>

<file path=word/settings.xml><?xml version="1.0" encoding="utf-8"?>
<w:settings xmlns:w="http://schemas.openxmlformats.org/wordprocessingml/2006/main">
  <w:hideGrammaticalErrors/>
  <w:hideSpellingErrors/>
  <w:proofState w:spelling="clean" w:grammar="clean"/>
</w:settings>
</file>

<file path=word/styles.xml><?xml version="1.0" encoding="utf-8"?>
<w:styles xmlns:w="http://schemas.openxmlformats.org/wordprocessingml/2006/main">
  <w:docDefaults>
    <w:rPrDefault>
      <w:rPr>
        <w:sz w:val="24"/>
        <w:rFonts w:ascii="Arial" w:hAnsi="Arial"/>
      </w:rPr>
    </w:rPrDefault>
    <w:pPrDefault>
      <w:pPr>
        <w:spacing w:before="60" w:after="60" w:line="360" w:lineRule="auto"/>
      </w:pPr>
    </w:pPrDefault>
  </w:docDefaults>
  <w:style w:type="paragraph" w:styleId="Normal" w:default="true">
    <w:name w:val="Normal"/>
    <w:qFormat/>
  </w:style>
  <w:style w:type="paragraph" w:styleId="heading1">
    <w:name w:val="Heading 1"/>
    <w:basedOn w:val="Normal"/>
    <w:qFormat/>
    <w:rPr>
      <w:sz w:val="28"/>
      <w:b/>
    </w:rPr>
    <w:pPr>
      <w:spacing w:before="360"/>
    </w:pPr>
  </w:style>
  <w:style w:type="paragraph" w:styleId="heading2">
    <w:name w:val="Heading 2"/>
    <w:basedOn w:val="Normal"/>
    <w:qFormat/>
    <w:rPr>
      <w:sz w:val="24"/>
      <w:b/>
    </w:rPr>
    <w:pPr>
      <w:spacing w:before="360"/>
    </w:pPr>
  </w:style>
  <w:style w:type="paragraph" w:styleId="heading3">
    <w:name w:val="Heading 3"/>
    <w:qFormat/>
    <w:basedOn w:val="Normal"/>
    <w:rPr>
      <w:sz w:val="24"/>
      <w:b/>
    </w:rPr>
    <w:pPr>
      <w:spacing w:before="360"/>
    </w:pPr>
  </w:style>
  <w:style w:type="paragraph" w:styleId="ListParagraph">
    <w:name w:val="List Paragraph"/>
    <w:basedOn w:val="Normal"/>
    <w:qFormat/>
    <w:pPr>
      <w:ind w:left="360"/>
      <w:contextualSpacing/>
    </w:pPr>
  </w:style>
  <w:style w:type="character" w:styleId="Code" w:customStyle="true">
    <w:name w:val="Code"/>
    <w:basedOn w:val="Normal"/>
    <w:qFormat/>
    <w:rPr>
      <w:rFonts w:ascii="Consolas"/>
      <w:shd w:val="clear" w:color="auto" w:fill="E1E2E4"/>
    </w:rPr>
  </w:style>
  <w:style w:type="table" w:styleId="CodeBlock">
    <w:name w:val="Code Block"/>
    <w:qFormat/>
    <w:pPr>
      <w:spacing w:line="240" w:lineRule="auto"/>
    </w:pPr>
    <w:rPr>
      <w:sz w:val="20"/>
      <w:rFonts w:ascii="Consolas"/>
    </w:rPr>
    <w:tblPr>
      <w:jc w:val="left"/>
    </w:tblPr>
    <w:tcPr>
      <w:shd w:val="clear" w:color="auto" w:fill="E1E2E4"/>
      <w:tcMar>
        <w:top w:w="60" w:type="dxa"/>
        <w:left w:w="150" w:type="dxa"/>
        <w:bottom w:w="60" w:type="dxa"/>
        <w:right w:w="150" w:type="dxa"/>
      </w:tcMar>
    </w:tcPr>
  </w:style>
  <w:style w:type="table" w:styleId="TableGrid">
    <w:name w:val="Table Grid"/>
    <w:qFormat/>
    <w:rPr>
      <w:sz w:val="20"/>
    </w:rPr>
    <w:tblPr>
      <w:jc w:val="left"/>
      <w:tblW w:w="0" w:type="auto"/>
      <w:tblBorders>
        <w:top w:val="single" w:color="E8E0DC" w:sz="4" w:space="0"/>
        <w:left w:val="single" w:color="E8E0DC" w:sz="4" w:space="0"/>
        <w:bottom w:val="single" w:color="E8E0DC" w:sz="4" w:space="0"/>
        <w:right w:val="single" w:color="E8E0DC" w:sz="4" w:space="0"/>
        <w:insideH w:val="single" w:color="E8E0DC" w:sz="4" w:space="0"/>
        <w:insideV w:val="single" w:color="E8E0DC" w:sz="4" w:space="0"/>
      </w:tblBorders>
    </w:tblPr>
    <w:tcPr>
      <w:tcMar>
        <w:top w:w="90" w:type="dxa"/>
        <w:left w:w="120" w:type="dxa"/>
        <w:bottom w:w="0" w:type="dxa"/>
        <w:right w:w="120" w:type="dxa"/>
      </w:tcMar>
      <w:vAlign w:val="center"/>
    </w:tcPr>
    <w:tblStylePr w:type="firstRow">
      <w:tcPr>
        <w:shd w:val="clear" w:color="auto" w:fill="F4EFED"/>
      </w:tcPr>
    </w:tblStylePr>
  </w:style>
  <w:style w:type="paragraph" w:styleId="Title">
    <w:name w:val="Title"/>
    <w:basedOn w:val="Normal"/>
    <w:qFormat/>
    <w:rPr>
      <w:sz w:val="32"/>
      <w:b/>
    </w:rPr>
    <w:pPr>
      <w:jc w:val="center"/>
      <w:spacing w:before="240" w:after="240"/>
    </w:pPr>
  </w:style>
  <w:style w:type="character" w:styleId="Hyperlink">
    <w:name w:val="Hyperlink"/>
    <w:rPr>
      <w:color w:val="0563C1"/>
      <w:u w:val="single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/word/footer1.xml" Id="footer1" /><Relationship Type="http://schemas.openxmlformats.org/officeDocument/2006/relationships/numbering" Target="/word/numbering.xml" Id="R23e904f6a3804fd7" /><Relationship Type="http://schemas.openxmlformats.org/officeDocument/2006/relationships/settings" Target="/word/settings.xml" Id="R01dc356318d840cc" /><Relationship Type="http://schemas.openxmlformats.org/officeDocument/2006/relationships/styles" Target="/word/styles.xml" Id="R7d140f90bc0c41c0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image" Target="/media/image.png" Id="copilotLogo1" /></Relationships>
</file>