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ectionLabel"/>
      </w:pPr>
      <w:r>
        <w:t>ATTACHMENT A</w:t>
      </w:r>
    </w:p>
    <w:p>
      <w:pPr>
        <w:pStyle w:val="Title"/>
        <w:jc w:val="left"/>
      </w:pPr>
      <w:r>
        <w:t>RFP-25-0606BC Submittal Packet</w:t>
      </w:r>
    </w:p>
    <w:p>
      <w:pPr>
        <w:pStyle w:val="ProposalSubtitle"/>
        <w:jc w:val="left"/>
      </w:pPr>
      <w:r>
        <w:t>Web Design Hosting and CMS Solution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88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Packet information</w:t>
            </w:r>
          </w:p>
        </w:tc>
        <w:tc>
          <w:tcPr>
            <w:tcW w:type="dxa" w:w="748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Response</w:t>
            </w:r>
          </w:p>
        </w:tc>
      </w:tr>
      <w:tr>
        <w:tc>
          <w:tcPr>
            <w:tcW w:type="dxa" w:w="2880"/>
            <w:vAlign w:val="center"/>
            <w:tcMar>
              <w:top w:w="80" w:type="dxa"/>
              <w:start w:w="120" w:type="dxa"/>
              <w:bottom w:w="80" w:type="dxa"/>
              <w:end w:w="120" w:type="dxa"/>
            </w:tcMar>
          </w:tcPr>
          <w:p>
            <w:pPr>
              <w:spacing w:after="0" w:line="259" w:lineRule="auto"/>
              <w:jc w:val="left"/>
            </w:pPr>
            <w:r>
              <w:rPr>
                <w:rFonts w:ascii="Arial" w:hAnsi="Arial"/>
                <w:b/>
                <w:color w:val="17242A"/>
                <w:sz w:val="19"/>
              </w:rPr>
              <w:t>Solicitation</w:t>
            </w:r>
          </w:p>
        </w:tc>
        <w:tc>
          <w:tcPr>
            <w:tcW w:type="dxa" w:w="7488"/>
            <w:vAlign w:val="center"/>
            <w:tcMar>
              <w:top w:w="80" w:type="dxa"/>
              <w:start w:w="120" w:type="dxa"/>
              <w:bottom w:w="80" w:type="dxa"/>
              <w:end w:w="120" w:type="dxa"/>
            </w:tcMar>
          </w:tcPr>
          <w:p>
            <w:pPr>
              <w:spacing w:after="0" w:line="259" w:lineRule="auto"/>
              <w:jc w:val="left"/>
            </w:pPr>
            <w:r>
              <w:rPr>
                <w:rFonts w:ascii="Arial" w:hAnsi="Arial"/>
                <w:b w:val="0"/>
                <w:color w:val="17242A"/>
                <w:sz w:val="19"/>
              </w:rPr>
              <w:t>RFP-25-0606BC</w:t>
            </w:r>
          </w:p>
        </w:tc>
      </w:tr>
      <w:tr>
        <w:tc>
          <w:tcPr>
            <w:tcW w:type="dxa" w:w="288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9"/>
              </w:rPr>
              <w:t>Attachment</w:t>
            </w:r>
          </w:p>
        </w:tc>
        <w:tc>
          <w:tcPr>
            <w:tcW w:type="dxa" w:w="74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9"/>
              </w:rPr>
              <w:t>Attachment A Submittal Packet</w:t>
            </w:r>
          </w:p>
        </w:tc>
      </w:tr>
      <w:tr>
        <w:tc>
          <w:tcPr>
            <w:tcW w:type="dxa" w:w="2880"/>
            <w:vAlign w:val="center"/>
            <w:tcMar>
              <w:top w:w="80" w:type="dxa"/>
              <w:start w:w="120" w:type="dxa"/>
              <w:bottom w:w="80" w:type="dxa"/>
              <w:end w:w="120" w:type="dxa"/>
            </w:tcMar>
          </w:tcPr>
          <w:p>
            <w:pPr>
              <w:spacing w:after="0" w:line="259" w:lineRule="auto"/>
              <w:jc w:val="left"/>
            </w:pPr>
            <w:r>
              <w:rPr>
                <w:rFonts w:ascii="Arial" w:hAnsi="Arial"/>
                <w:b/>
                <w:color w:val="17242A"/>
                <w:sz w:val="19"/>
              </w:rPr>
              <w:t>Prepared for</w:t>
            </w:r>
          </w:p>
        </w:tc>
        <w:tc>
          <w:tcPr>
            <w:tcW w:type="dxa" w:w="7488"/>
            <w:vAlign w:val="center"/>
            <w:tcMar>
              <w:top w:w="80" w:type="dxa"/>
              <w:start w:w="120" w:type="dxa"/>
              <w:bottom w:w="80" w:type="dxa"/>
              <w:end w:w="120" w:type="dxa"/>
            </w:tcMar>
          </w:tcPr>
          <w:p>
            <w:pPr>
              <w:spacing w:after="0" w:line="259" w:lineRule="auto"/>
              <w:jc w:val="left"/>
            </w:pPr>
            <w:r>
              <w:rPr>
                <w:rFonts w:ascii="Arial" w:hAnsi="Arial"/>
                <w:b w:val="0"/>
                <w:color w:val="17242A"/>
                <w:sz w:val="19"/>
              </w:rPr>
              <w:t>Snohomish County</w:t>
            </w:r>
          </w:p>
        </w:tc>
      </w:tr>
      <w:tr>
        <w:tc>
          <w:tcPr>
            <w:tcW w:type="dxa" w:w="288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9"/>
              </w:rPr>
              <w:t>Submitted by</w:t>
            </w:r>
          </w:p>
        </w:tc>
        <w:tc>
          <w:tcPr>
            <w:tcW w:type="dxa" w:w="74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9"/>
              </w:rPr>
              <w:t>Alpath Engineering</w:t>
            </w:r>
          </w:p>
        </w:tc>
      </w:tr>
      <w:tr>
        <w:tc>
          <w:tcPr>
            <w:tcW w:type="dxa" w:w="2880"/>
            <w:vAlign w:val="center"/>
            <w:tcMar>
              <w:top w:w="80" w:type="dxa"/>
              <w:start w:w="120" w:type="dxa"/>
              <w:bottom w:w="80" w:type="dxa"/>
              <w:end w:w="120" w:type="dxa"/>
            </w:tcMar>
          </w:tcPr>
          <w:p>
            <w:pPr>
              <w:spacing w:after="0" w:line="259" w:lineRule="auto"/>
              <w:jc w:val="left"/>
            </w:pPr>
            <w:r>
              <w:rPr>
                <w:rFonts w:ascii="Arial" w:hAnsi="Arial"/>
                <w:b/>
                <w:color w:val="17242A"/>
                <w:sz w:val="19"/>
              </w:rPr>
              <w:t>Document status</w:t>
            </w:r>
          </w:p>
        </w:tc>
        <w:tc>
          <w:tcPr>
            <w:tcW w:type="dxa" w:w="7488"/>
            <w:vAlign w:val="center"/>
            <w:tcMar>
              <w:top w:w="80" w:type="dxa"/>
              <w:start w:w="120" w:type="dxa"/>
              <w:bottom w:w="80" w:type="dxa"/>
              <w:end w:w="120" w:type="dxa"/>
            </w:tcMar>
          </w:tcPr>
          <w:p>
            <w:pPr>
              <w:spacing w:after="0" w:line="259" w:lineRule="auto"/>
              <w:jc w:val="left"/>
            </w:pPr>
            <w:r>
              <w:rPr>
                <w:rFonts w:ascii="Arial" w:hAnsi="Arial"/>
                <w:b w:val="0"/>
                <w:color w:val="17242A"/>
                <w:sz w:val="19"/>
              </w:rPr>
              <w:t>REVIEW DRAFT - OWNER CONFIRMATIONS REQUIRED</w:t>
            </w:r>
          </w:p>
        </w:tc>
      </w:tr>
    </w:tbl>
    <w:p>
      <w:pPr>
        <w:spacing w:after="20"/>
      </w:pPr>
    </w:p>
    <w:p>
      <w:pPr>
        <w:jc w:val="left"/>
      </w:pPr>
      <w:r>
        <w:rPr>
          <w:rFonts w:ascii="Arial" w:hAnsi="Arial"/>
          <w:color w:val="17242A"/>
          <w:sz w:val="21"/>
        </w:rPr>
        <w:t>Proposers shall complete and submit the entire Submittal Packet.</w:t>
      </w:r>
    </w:p>
    <w:p>
      <w:pPr>
        <w:jc w:val="left"/>
      </w:pPr>
      <w:r>
        <w:rPr>
          <w:rFonts w:ascii="Arial" w:hAnsi="Arial"/>
          <w:color w:val="17242A"/>
          <w:sz w:val="21"/>
        </w:rPr>
        <w:t>Text boxes may be expanded to allow space to sufficiently respond to questions.</w:t>
      </w:r>
    </w:p>
    <w:p>
      <w:pPr>
        <w:pStyle w:val="SectionLabel"/>
      </w:pPr>
      <w:r>
        <w:t>SECTION 14A</w:t>
      </w:r>
    </w:p>
    <w:p>
      <w:pPr>
        <w:pStyle w:val="Heading1"/>
      </w:pPr>
      <w:r>
        <w:t>Transmittal Section and Original or Digital Signature</w:t>
      </w:r>
    </w:p>
    <w:p>
      <w:pPr>
        <w:jc w:val="left"/>
      </w:pPr>
      <w:r>
        <w:rPr>
          <w:rFonts w:ascii="Arial" w:hAnsi="Arial"/>
          <w:color w:val="17242A"/>
          <w:sz w:val="21"/>
        </w:rPr>
        <w:t>PROPOSERS SHALL COMPLETE AND SIGN THE FORM BELOW. We acknowledge that all Addenda ([TO CONFIRM] through [TO CONFIRM]) have been examined as part of the Proposal documents. By submitting a proposal, proposer certifies that it complies with all requirements defined in the RFP documents.</w:t>
      </w:r>
    </w:p>
    <w:p>
      <w:pPr>
        <w:pStyle w:val="Confirmation"/>
      </w:pPr>
      <w:r>
        <w:rPr>
          <w:highlight w:val="yellow"/>
        </w:rPr>
        <w:t>[TO CONFIRM: identify the first and last addendum reviewed, or state NONE]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951"/>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Required field</w:t>
            </w:r>
          </w:p>
        </w:tc>
        <w:tc>
          <w:tcPr>
            <w:tcW w:type="dxa" w:w="7416"/>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Response</w:t>
            </w:r>
          </w:p>
        </w:tc>
      </w:tr>
      <w:tr>
        <w:tc>
          <w:tcPr>
            <w:tcW w:type="dxa" w:w="2951"/>
            <w:vAlign w:val="center"/>
            <w:tcMar>
              <w:top w:w="80" w:type="dxa"/>
              <w:start w:w="120" w:type="dxa"/>
              <w:bottom w:w="80" w:type="dxa"/>
              <w:end w:w="120" w:type="dxa"/>
            </w:tcMar>
          </w:tcPr>
          <w:p>
            <w:pPr>
              <w:spacing w:after="0" w:line="259" w:lineRule="auto"/>
              <w:jc w:val="left"/>
            </w:pPr>
            <w:r>
              <w:rPr>
                <w:rFonts w:ascii="Arial" w:hAnsi="Arial"/>
                <w:b/>
                <w:color w:val="17242A"/>
                <w:sz w:val="19"/>
              </w:rPr>
              <w:t>Company name</w:t>
            </w:r>
          </w:p>
        </w:tc>
        <w:tc>
          <w:tcPr>
            <w:tcW w:type="dxa" w:w="7416"/>
            <w:vAlign w:val="center"/>
            <w:tcMar>
              <w:top w:w="80" w:type="dxa"/>
              <w:start w:w="120" w:type="dxa"/>
              <w:bottom w:w="80" w:type="dxa"/>
              <w:end w:w="120" w:type="dxa"/>
            </w:tcMar>
          </w:tcPr>
          <w:p>
            <w:pPr>
              <w:spacing w:after="0" w:line="259" w:lineRule="auto"/>
              <w:jc w:val="left"/>
            </w:pPr>
            <w:r>
              <w:rPr>
                <w:rFonts w:ascii="Arial" w:hAnsi="Arial"/>
                <w:b w:val="0"/>
                <w:color w:val="17242A"/>
                <w:sz w:val="19"/>
              </w:rPr>
              <w:t>Alpath Engineering</w:t>
            </w:r>
          </w:p>
        </w:tc>
      </w:tr>
      <w:tr>
        <w:tc>
          <w:tcPr>
            <w:tcW w:type="dxa" w:w="2951"/>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9"/>
              </w:rPr>
              <w:t>Business address</w:t>
            </w:r>
          </w:p>
        </w:tc>
        <w:tc>
          <w:tcPr>
            <w:tcW w:type="dxa" w:w="74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9"/>
              </w:rPr>
              <w:t>[TO CONFIRM: complete business mailing address]</w:t>
            </w:r>
          </w:p>
        </w:tc>
      </w:tr>
      <w:tr>
        <w:tc>
          <w:tcPr>
            <w:tcW w:type="dxa" w:w="2951"/>
            <w:vAlign w:val="center"/>
            <w:tcMar>
              <w:top w:w="80" w:type="dxa"/>
              <w:start w:w="120" w:type="dxa"/>
              <w:bottom w:w="80" w:type="dxa"/>
              <w:end w:w="120" w:type="dxa"/>
            </w:tcMar>
          </w:tcPr>
          <w:p>
            <w:pPr>
              <w:spacing w:after="0" w:line="259" w:lineRule="auto"/>
              <w:jc w:val="left"/>
            </w:pPr>
            <w:r>
              <w:rPr>
                <w:rFonts w:ascii="Arial" w:hAnsi="Arial"/>
                <w:b/>
                <w:color w:val="17242A"/>
                <w:sz w:val="19"/>
              </w:rPr>
              <w:t>City state ZIP</w:t>
            </w:r>
          </w:p>
        </w:tc>
        <w:tc>
          <w:tcPr>
            <w:tcW w:type="dxa" w:w="7416"/>
            <w:vAlign w:val="center"/>
            <w:tcMar>
              <w:top w:w="80" w:type="dxa"/>
              <w:start w:w="120" w:type="dxa"/>
              <w:bottom w:w="80" w:type="dxa"/>
              <w:end w:w="120" w:type="dxa"/>
            </w:tcMar>
          </w:tcPr>
          <w:p>
            <w:pPr>
              <w:spacing w:after="0" w:line="259" w:lineRule="auto"/>
              <w:jc w:val="left"/>
            </w:pPr>
            <w:r>
              <w:rPr>
                <w:rFonts w:ascii="Arial" w:hAnsi="Arial"/>
                <w:b w:val="0"/>
                <w:color w:val="17242A"/>
                <w:sz w:val="19"/>
              </w:rPr>
              <w:t>[TO CONFIRM: city, state, and ZIP code]</w:t>
            </w:r>
          </w:p>
        </w:tc>
      </w:tr>
      <w:tr>
        <w:tc>
          <w:tcPr>
            <w:tcW w:type="dxa" w:w="2951"/>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9"/>
              </w:rPr>
              <w:t>Authorized representative</w:t>
            </w:r>
          </w:p>
        </w:tc>
        <w:tc>
          <w:tcPr>
            <w:tcW w:type="dxa" w:w="74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9"/>
              </w:rPr>
              <w:t>Matt Puleri, Founder and Principal Engineer</w:t>
            </w:r>
          </w:p>
        </w:tc>
      </w:tr>
      <w:tr>
        <w:tc>
          <w:tcPr>
            <w:tcW w:type="dxa" w:w="2951"/>
            <w:vAlign w:val="center"/>
            <w:tcMar>
              <w:top w:w="80" w:type="dxa"/>
              <w:start w:w="120" w:type="dxa"/>
              <w:bottom w:w="80" w:type="dxa"/>
              <w:end w:w="120" w:type="dxa"/>
            </w:tcMar>
          </w:tcPr>
          <w:p>
            <w:pPr>
              <w:spacing w:after="0" w:line="259" w:lineRule="auto"/>
              <w:jc w:val="left"/>
            </w:pPr>
            <w:r>
              <w:rPr>
                <w:rFonts w:ascii="Arial" w:hAnsi="Arial"/>
                <w:b/>
                <w:color w:val="17242A"/>
                <w:sz w:val="19"/>
              </w:rPr>
              <w:t>Phone</w:t>
            </w:r>
          </w:p>
        </w:tc>
        <w:tc>
          <w:tcPr>
            <w:tcW w:type="dxa" w:w="7416"/>
            <w:vAlign w:val="center"/>
            <w:tcMar>
              <w:top w:w="80" w:type="dxa"/>
              <w:start w:w="120" w:type="dxa"/>
              <w:bottom w:w="80" w:type="dxa"/>
              <w:end w:w="120" w:type="dxa"/>
            </w:tcMar>
          </w:tcPr>
          <w:p>
            <w:pPr>
              <w:spacing w:after="0" w:line="259" w:lineRule="auto"/>
              <w:jc w:val="left"/>
            </w:pPr>
            <w:r>
              <w:rPr>
                <w:rFonts w:ascii="Arial" w:hAnsi="Arial"/>
                <w:b w:val="0"/>
                <w:color w:val="17242A"/>
                <w:sz w:val="19"/>
              </w:rPr>
              <w:t>(360) 447-8757</w:t>
            </w:r>
          </w:p>
        </w:tc>
      </w:tr>
      <w:tr>
        <w:tc>
          <w:tcPr>
            <w:tcW w:type="dxa" w:w="2951"/>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9"/>
              </w:rPr>
              <w:t>Email</w:t>
            </w:r>
          </w:p>
        </w:tc>
        <w:tc>
          <w:tcPr>
            <w:tcW w:type="dxa" w:w="74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9"/>
              </w:rPr>
              <w:t>matt@alpathengineering.com</w:t>
            </w:r>
          </w:p>
        </w:tc>
      </w:tr>
    </w:tbl>
    <w:p>
      <w:pPr>
        <w:spacing w:after="20"/>
      </w:pPr>
    </w:p>
    <w:p>
      <w:pPr>
        <w:spacing w:before="140" w:after="80"/>
      </w:pPr>
      <w:r>
        <w:rPr>
          <w:rFonts w:ascii="Arial" w:hAnsi="Arial"/>
          <w:b/>
          <w:color w:val="49585D"/>
          <w:sz w:val="18"/>
        </w:rPr>
        <w:t>Original or digital signature</w:t>
      </w:r>
    </w:p>
    <w:p>
      <w:pPr>
        <w:spacing w:after="60"/>
      </w:pPr>
      <w:r>
        <w:rPr>
          <w:rFonts w:ascii="Arial" w:hAnsi="Arial"/>
          <w:color w:val="17242A"/>
          <w:sz w:val="21"/>
        </w:rPr>
        <w:t>____________________________________________________________</w:t>
      </w:r>
    </w:p>
    <w:p>
      <w:pPr>
        <w:pStyle w:val="Confirmation"/>
      </w:pPr>
      <w:r>
        <w:rPr>
          <w:highlight w:val="yellow"/>
        </w:rPr>
        <w:t>[TO CONFIRM: Matt Puleri must apply an original or authorized digital signature before submission]</w:t>
      </w:r>
    </w:p>
    <w:p>
      <w:r>
        <w:br w:type="page"/>
      </w:r>
    </w:p>
    <w:p>
      <w:pPr>
        <w:pStyle w:val="SectionLabel"/>
      </w:pPr>
      <w:r>
        <w:t>SECTION 14B</w:t>
      </w:r>
    </w:p>
    <w:p>
      <w:pPr>
        <w:pStyle w:val="Heading1"/>
      </w:pPr>
      <w:r>
        <w:t>Experience and Qualifications</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2F3F2" w:val="clear"/>
            <w:tcMar>
              <w:top w:w="120" w:type="dxa"/>
              <w:start w:w="140" w:type="dxa"/>
              <w:bottom w:w="120" w:type="dxa"/>
              <w:end w:w="140" w:type="dxa"/>
            </w:tcMar>
          </w:tcPr>
          <w:p>
            <w:pPr>
              <w:pStyle w:val="QuestionPrompt"/>
            </w:pPr>
            <w:r>
              <w:rPr>
                <w:rFonts w:ascii="Arial" w:hAnsi="Arial"/>
                <w:b/>
                <w:color w:val="17242A"/>
                <w:sz w:val="20"/>
              </w:rPr>
              <w:t>14B.1 Describe your firm’s qualifications and experience in providing this service, especially for entities similar to Snohomish County’s Evergreen State Fair Park and Paine Field Airport.</w:t>
            </w:r>
          </w:p>
        </w:tc>
      </w:tr>
    </w:tbl>
    <w:p>
      <w:pPr>
        <w:spacing w:after="20"/>
      </w:pPr>
    </w:p>
    <w:p>
      <w:pPr>
        <w:jc w:val="left"/>
      </w:pPr>
      <w:r>
        <w:rPr>
          <w:rFonts w:ascii="Arial" w:hAnsi="Arial"/>
          <w:color w:val="17242A"/>
          <w:sz w:val="21"/>
        </w:rPr>
        <w:t>Alpath Engineering is a Pacific Northwest digital consultancy built around software engineering, modern web architecture, experience design, content systems, integrations, analytics, and ongoing technical stewardship. We approach a public website as the visible layer of a larger operating system: content authors need safe publishing tools, the public needs clear paths to services, and the organization needs maintainable connections among the website, forms, event and operational data, notifications, and administrative workflows.</w:t>
      </w:r>
    </w:p>
    <w:p>
      <w:pPr>
        <w:jc w:val="left"/>
      </w:pPr>
      <w:r>
        <w:rPr>
          <w:rFonts w:ascii="Arial" w:hAnsi="Arial"/>
          <w:color w:val="17242A"/>
          <w:sz w:val="21"/>
        </w:rPr>
        <w:t>Matt Puleri, Founder and Principal Engineer, has more than 16,000 industry hours planning, building, migrating, improving, and supporting websites. Alpath’s current work includes content-rich migrations, CMS transitions, responsive front-end engineering, accessible page patterns, performance optimization, technical SEO, analytics, custom utilities, deployment, troubleshooting, and post-launch support.</w:t>
      </w:r>
    </w:p>
    <w:p>
      <w:pPr>
        <w:pStyle w:val="Heading2"/>
      </w:pPr>
      <w:r>
        <w:t>Capabilities relevant to the requested services</w:t>
      </w:r>
    </w:p>
    <w:p>
      <w:pPr>
        <w:spacing w:after="80"/>
        <w:ind w:left="288" w:hanging="230"/>
        <w:jc w:val="left"/>
      </w:pPr>
      <w:r>
        <w:rPr>
          <w:rFonts w:ascii="Arial" w:hAnsi="Arial"/>
          <w:b/>
          <w:color w:val="B3262E"/>
          <w:sz w:val="21"/>
        </w:rPr>
        <w:t xml:space="preserve">•  </w:t>
      </w:r>
      <w:r>
        <w:rPr>
          <w:rFonts w:ascii="Arial" w:hAnsi="Arial"/>
          <w:color w:val="17242A"/>
          <w:sz w:val="21"/>
        </w:rPr>
        <w:t>Information architecture and resident- or visitor-intent navigation that helps people reach services without learning an organization chart.</w:t>
      </w:r>
    </w:p>
    <w:p>
      <w:pPr>
        <w:spacing w:after="80"/>
        <w:ind w:left="288" w:hanging="230"/>
        <w:jc w:val="left"/>
      </w:pPr>
      <w:r>
        <w:rPr>
          <w:rFonts w:ascii="Arial" w:hAnsi="Arial"/>
          <w:b/>
          <w:color w:val="B3262E"/>
          <w:sz w:val="21"/>
        </w:rPr>
        <w:t xml:space="preserve">•  </w:t>
      </w:r>
      <w:r>
        <w:rPr>
          <w:rFonts w:ascii="Arial" w:hAnsi="Arial"/>
          <w:color w:val="17242A"/>
          <w:sz w:val="21"/>
        </w:rPr>
        <w:t>CMS selection and implementation criteria covering usability, accessibility, security, permissions, integration, ownership, support, and total operating cost.</w:t>
      </w:r>
    </w:p>
    <w:p>
      <w:pPr>
        <w:spacing w:after="80"/>
        <w:ind w:left="288" w:hanging="230"/>
        <w:jc w:val="left"/>
      </w:pPr>
      <w:r>
        <w:rPr>
          <w:rFonts w:ascii="Arial" w:hAnsi="Arial"/>
          <w:b/>
          <w:color w:val="B3262E"/>
          <w:sz w:val="21"/>
        </w:rPr>
        <w:t xml:space="preserve">•  </w:t>
      </w:r>
      <w:r>
        <w:rPr>
          <w:rFonts w:ascii="Arial" w:hAnsi="Arial"/>
          <w:color w:val="17242A"/>
          <w:sz w:val="21"/>
        </w:rPr>
        <w:t>Content and asset migration with inventory, disposition decisions, redirects, quality control, and search-preservation planning.</w:t>
      </w:r>
    </w:p>
    <w:p>
      <w:pPr>
        <w:spacing w:after="80"/>
        <w:ind w:left="288" w:hanging="230"/>
        <w:jc w:val="left"/>
      </w:pPr>
      <w:r>
        <w:rPr>
          <w:rFonts w:ascii="Arial" w:hAnsi="Arial"/>
          <w:b/>
          <w:color w:val="B3262E"/>
          <w:sz w:val="21"/>
        </w:rPr>
        <w:t xml:space="preserve">•  </w:t>
      </w:r>
      <w:r>
        <w:rPr>
          <w:rFonts w:ascii="Arial" w:hAnsi="Arial"/>
          <w:color w:val="17242A"/>
          <w:sz w:val="21"/>
        </w:rPr>
        <w:t>Custom web applications and API integrations for guided service experiences, forms, data lookup, routing, status, and approved external systems.</w:t>
      </w:r>
    </w:p>
    <w:p>
      <w:pPr>
        <w:spacing w:after="80"/>
        <w:ind w:left="288" w:hanging="230"/>
        <w:jc w:val="left"/>
      </w:pPr>
      <w:r>
        <w:rPr>
          <w:rFonts w:ascii="Arial" w:hAnsi="Arial"/>
          <w:b/>
          <w:color w:val="B3262E"/>
          <w:sz w:val="21"/>
        </w:rPr>
        <w:t xml:space="preserve">•  </w:t>
      </w:r>
      <w:r>
        <w:rPr>
          <w:rFonts w:ascii="Arial" w:hAnsi="Arial"/>
          <w:color w:val="17242A"/>
          <w:sz w:val="21"/>
        </w:rPr>
        <w:t>Accessible, mobile-first interfaces designed around WCAG-aligned patterns, plain language, keyboard use, assistive technology, and document quality.</w:t>
      </w:r>
    </w:p>
    <w:p>
      <w:pPr>
        <w:spacing w:after="80"/>
        <w:ind w:left="288" w:hanging="230"/>
        <w:jc w:val="left"/>
      </w:pPr>
      <w:r>
        <w:rPr>
          <w:rFonts w:ascii="Arial" w:hAnsi="Arial"/>
          <w:b/>
          <w:color w:val="B3262E"/>
          <w:sz w:val="21"/>
        </w:rPr>
        <w:t xml:space="preserve">•  </w:t>
      </w:r>
      <w:r>
        <w:rPr>
          <w:rFonts w:ascii="Arial" w:hAnsi="Arial"/>
          <w:color w:val="17242A"/>
          <w:sz w:val="21"/>
        </w:rPr>
        <w:t>Hosting, monitoring, backups, recovery, environment separation, role-based access, least privilege, release controls, and documented operational ownership.</w:t>
      </w:r>
    </w:p>
    <w:p>
      <w:pPr>
        <w:spacing w:after="80"/>
        <w:ind w:left="288" w:hanging="230"/>
        <w:jc w:val="left"/>
      </w:pPr>
      <w:r>
        <w:rPr>
          <w:rFonts w:ascii="Arial" w:hAnsi="Arial"/>
          <w:b/>
          <w:color w:val="B3262E"/>
          <w:sz w:val="21"/>
        </w:rPr>
        <w:t xml:space="preserve">•  </w:t>
      </w:r>
      <w:r>
        <w:rPr>
          <w:rFonts w:ascii="Arial" w:hAnsi="Arial"/>
          <w:color w:val="17242A"/>
          <w:sz w:val="21"/>
        </w:rPr>
        <w:t>Analytics and optimization that connect technical health, search visibility, visitor behavior, service completion, and content improvement.</w:t>
      </w:r>
    </w:p>
    <w:p>
      <w:pPr>
        <w:jc w:val="left"/>
      </w:pPr>
      <w:r>
        <w:rPr>
          <w:rFonts w:ascii="Arial" w:hAnsi="Arial"/>
          <w:color w:val="17242A"/>
          <w:sz w:val="21"/>
        </w:rPr>
        <w:t>For high-traffic and seasonal County destinations, the proposed approach emphasizes campaign-ready templates, rapid publishing for real-time updates, clear calls to action, resilient performance during traffic peaks, integrations that reduce duplicate entry, and analytics that help staff improve content and service completion. Final requirements and platform choices remain subject to the complete RFP and discovery.</w:t>
      </w:r>
    </w:p>
    <w:p>
      <w:pPr>
        <w:pStyle w:val="Heading2"/>
      </w:pPr>
      <w:r>
        <w:t>Relevant evidence</w:t>
      </w:r>
    </w:p>
    <w:p>
      <w:pPr>
        <w:jc w:val="left"/>
      </w:pPr>
      <w:r>
        <w:rPr>
          <w:rFonts w:ascii="Arial" w:hAnsi="Arial"/>
          <w:color w:val="17242A"/>
          <w:sz w:val="21"/>
        </w:rPr>
        <w:t>For Lockhart Suver, Alpath moved a large WordPress website to a modern platform while preserving the experience users already knew. Matt also built a custom recovery utility when the prior system could not export its image library cleanly, improved accessibility, managed launch, and continues to support the website.</w:t>
      </w:r>
    </w:p>
    <w:p>
      <w:pPr>
        <w:jc w:val="left"/>
      </w:pPr>
      <w:r>
        <w:rPr>
          <w:rFonts w:ascii="Arial" w:hAnsi="Arial"/>
          <w:color w:val="17242A"/>
          <w:sz w:val="21"/>
        </w:rPr>
        <w:t>For Lennon Window Cleaning, Alpath reorganized a service website around user intent, simplified the path from discovery to estimate request, implemented analytics, and continues to optimize the experience. The website generated more than 300 leads in its first year.</w:t>
      </w:r>
    </w:p>
    <w:p>
      <w:pPr>
        <w:jc w:val="left"/>
      </w:pPr>
      <w:r>
        <w:rPr>
          <w:rFonts w:ascii="Arial" w:hAnsi="Arial"/>
          <w:color w:val="17242A"/>
          <w:sz w:val="21"/>
        </w:rPr>
        <w:t>For Distinctive Glass, Alpath learned and documented an inherited website after the prior developer became unavailable, completed urgent updates, and established a dependable support path without forcing an unnecessary rebuild.</w:t>
      </w:r>
    </w:p>
    <w:p>
      <w:pPr>
        <w:jc w:val="left"/>
      </w:pPr>
      <w:r>
        <w:rPr>
          <w:rFonts w:ascii="Arial" w:hAnsi="Arial"/>
          <w:color w:val="17242A"/>
          <w:sz w:val="21"/>
        </w:rPr>
        <w:t>These are private-sector engagements. Alpath does not represent them as County, airport, fairground, or other public-sector projects. They are relevant at the competency level: organizing public information, migrating content safely, connecting experience and engineering, improving accessibility and performance, and remaining accountable after launch.</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2F3F2" w:val="clear"/>
            <w:tcMar>
              <w:top w:w="120" w:type="dxa"/>
              <w:start w:w="140" w:type="dxa"/>
              <w:bottom w:w="120" w:type="dxa"/>
              <w:end w:w="140" w:type="dxa"/>
            </w:tcMar>
          </w:tcPr>
          <w:p>
            <w:pPr>
              <w:pStyle w:val="QuestionPrompt"/>
            </w:pPr>
            <w:r>
              <w:rPr>
                <w:rFonts w:ascii="Arial" w:hAnsi="Arial"/>
                <w:b/>
                <w:color w:val="17242A"/>
                <w:sz w:val="20"/>
              </w:rPr>
              <w:t>14B.2 Describe your approach to resourcing this project, including individual roles and responsibilities as they relate to the identified scope.</w:t>
            </w:r>
          </w:p>
        </w:tc>
      </w:tr>
    </w:tbl>
    <w:p>
      <w:pPr>
        <w:spacing w:after="20"/>
      </w:pPr>
    </w:p>
    <w:p>
      <w:pPr>
        <w:jc w:val="left"/>
      </w:pPr>
      <w:r>
        <w:rPr>
          <w:rFonts w:ascii="Arial" w:hAnsi="Arial"/>
          <w:color w:val="17242A"/>
          <w:sz w:val="21"/>
        </w:rPr>
        <w:t>Alpath proposes a senior-led delivery model with Matt Puleri as the primary accountable technical lead from discovery through stabilization. This keeps project management, user experience, architecture, engineering, migration, and operational decisions connected. County stakeholders retain approval authority at defined gates before major implementation work proceeds.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08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Workstream</w:t>
            </w:r>
          </w:p>
        </w:tc>
        <w:tc>
          <w:tcPr>
            <w:tcW w:type="dxa" w:w="208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Accountable lead</w:t>
            </w:r>
          </w:p>
        </w:tc>
        <w:tc>
          <w:tcPr>
            <w:tcW w:type="dxa" w:w="6192"/>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Proposed responsibility and support</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7"/>
              </w:rPr>
              <w:t>Project management</w:t>
            </w:r>
          </w:p>
        </w:tc>
        <w:tc>
          <w:tcPr>
            <w:tcW w:type="dxa" w:w="2088"/>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vAlign w:val="center"/>
            <w:tcMar>
              <w:top w:w="80" w:type="dxa"/>
              <w:start w:w="120" w:type="dxa"/>
              <w:bottom w:w="80" w:type="dxa"/>
              <w:end w:w="120" w:type="dxa"/>
            </w:tcMar>
          </w:tcPr>
          <w:p>
            <w:pPr>
              <w:spacing w:after="0" w:line="259" w:lineRule="auto"/>
              <w:jc w:val="left"/>
            </w:pPr>
            <w:r>
              <w:rPr>
                <w:rFonts w:ascii="Arial" w:hAnsi="Arial"/>
                <w:b w:val="0"/>
                <w:color w:val="17242A"/>
                <w:sz w:val="17"/>
              </w:rPr>
              <w:t>Plan work, maintain decisions and risks, coordinate reviews, report progress, and manage change control.</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7"/>
              </w:rPr>
              <w:t>User experience</w:t>
            </w:r>
          </w:p>
        </w:tc>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Lead stakeholder discovery, service journeys, information architecture, prototypes, accessibility, and validation. Anthony Damico is available for confirmed graphic-design support.</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7"/>
              </w:rPr>
              <w:t>Technical architecture</w:t>
            </w:r>
          </w:p>
        </w:tc>
        <w:tc>
          <w:tcPr>
            <w:tcW w:type="dxa" w:w="2088"/>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vAlign w:val="center"/>
            <w:tcMar>
              <w:top w:w="80" w:type="dxa"/>
              <w:start w:w="120" w:type="dxa"/>
              <w:bottom w:w="80" w:type="dxa"/>
              <w:end w:w="120" w:type="dxa"/>
            </w:tcMar>
          </w:tcPr>
          <w:p>
            <w:pPr>
              <w:spacing w:after="0" w:line="259" w:lineRule="auto"/>
              <w:jc w:val="left"/>
            </w:pPr>
            <w:r>
              <w:rPr>
                <w:rFonts w:ascii="Arial" w:hAnsi="Arial"/>
                <w:b w:val="0"/>
                <w:color w:val="17242A"/>
                <w:sz w:val="17"/>
              </w:rPr>
              <w:t>Define platform criteria, environments, integration boundaries, identity, data flow, security controls, monitoring, and ownership with designated IT/security stakeholders.</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7"/>
              </w:rPr>
              <w:t>CMS and web engineering</w:t>
            </w:r>
          </w:p>
        </w:tc>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Configure the approved CMS, implement reusable templates, develop integrations and custom applications, and manage deployment.</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7"/>
              </w:rPr>
              <w:t>Migration</w:t>
            </w:r>
          </w:p>
        </w:tc>
        <w:tc>
          <w:tcPr>
            <w:tcW w:type="dxa" w:w="2088"/>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vAlign w:val="center"/>
            <w:tcMar>
              <w:top w:w="80" w:type="dxa"/>
              <w:start w:w="120" w:type="dxa"/>
              <w:bottom w:w="80" w:type="dxa"/>
              <w:end w:w="120" w:type="dxa"/>
            </w:tcMar>
          </w:tcPr>
          <w:p>
            <w:pPr>
              <w:spacing w:after="0" w:line="259" w:lineRule="auto"/>
              <w:jc w:val="left"/>
            </w:pPr>
            <w:r>
              <w:rPr>
                <w:rFonts w:ascii="Arial" w:hAnsi="Arial"/>
                <w:b w:val="0"/>
                <w:color w:val="17242A"/>
                <w:sz w:val="17"/>
              </w:rPr>
              <w:t>Inventory and map content, coordinate owner decisions, migrate approved material, preserve links, and verify output with content owners.</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7"/>
              </w:rPr>
              <w:t>Platform and integration specialist work</w:t>
            </w:r>
          </w:p>
        </w:tc>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Retain accountability; engage a qualified platform or integration specialist only when the selected product or final scope requires it [TO CONFIRM].</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7"/>
              </w:rPr>
              <w:t>Quality and accessibility</w:t>
            </w:r>
          </w:p>
        </w:tc>
        <w:tc>
          <w:tcPr>
            <w:tcW w:type="dxa" w:w="2088"/>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vAlign w:val="center"/>
            <w:tcMar>
              <w:top w:w="80" w:type="dxa"/>
              <w:start w:w="120" w:type="dxa"/>
              <w:bottom w:w="80" w:type="dxa"/>
              <w:end w:w="120" w:type="dxa"/>
            </w:tcMar>
          </w:tcPr>
          <w:p>
            <w:pPr>
              <w:spacing w:after="0" w:line="259" w:lineRule="auto"/>
              <w:jc w:val="left"/>
            </w:pPr>
            <w:r>
              <w:rPr>
                <w:rFonts w:ascii="Arial" w:hAnsi="Arial"/>
                <w:b w:val="0"/>
                <w:color w:val="17242A"/>
                <w:sz w:val="17"/>
              </w:rPr>
              <w:t>Coordinate automated and hands-on testing. Independent or specialist testing support is [TO CONFIRM].</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7"/>
              </w:rPr>
              <w:t>Training and support</w:t>
            </w:r>
          </w:p>
        </w:tc>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Matt Puleri</w:t>
            </w:r>
          </w:p>
        </w:tc>
        <w:tc>
          <w:tcPr>
            <w:tcW w:type="dxa" w:w="6192"/>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7"/>
              </w:rPr>
              <w:t>Provide role-specific training, operating documentation, launch support, stabilization, and an agreed ongoing-support model.</w:t>
            </w:r>
          </w:p>
        </w:tc>
      </w:tr>
    </w:tbl>
    <w:p>
      <w:pPr>
        <w:spacing w:after="20"/>
      </w:pPr>
    </w:p>
    <w:p>
      <w:pPr>
        <w:jc w:val="left"/>
      </w:pPr>
      <w:r>
        <w:rPr>
          <w:rFonts w:ascii="Arial" w:hAnsi="Arial"/>
          <w:color w:val="17242A"/>
          <w:sz w:val="21"/>
        </w:rPr>
        <w:t>Any additional team member, subcontractor, platform specialist, security reviewer, or accessibility tester will be named with qualifications, role, availability, and commercial effect before assignment. Alpath will not imply that an unconfirmed person or capability is already committed.</w:t>
      </w:r>
      <w:r>
        <w:br w:type="page"/>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2F3F2" w:val="clear"/>
            <w:tcMar>
              <w:top w:w="120" w:type="dxa"/>
              <w:start w:w="140" w:type="dxa"/>
              <w:bottom w:w="120" w:type="dxa"/>
              <w:end w:w="140" w:type="dxa"/>
            </w:tcMar>
          </w:tcPr>
          <w:p>
            <w:pPr>
              <w:pStyle w:val="QuestionPrompt"/>
            </w:pPr>
            <w:r>
              <w:rPr>
                <w:rFonts w:ascii="Arial" w:hAnsi="Arial"/>
                <w:b/>
                <w:color w:val="17242A"/>
                <w:sz w:val="20"/>
              </w:rPr>
              <w:t>14B.3 Please provide links, to a minimum of two websites your firm has created that have similar functions as those defined in Section 5 Scope of Services.</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664"/>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Website</w:t>
            </w:r>
          </w:p>
        </w:tc>
        <w:tc>
          <w:tcPr>
            <w:tcW w:type="dxa" w:w="7703"/>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Relevant functions</w:t>
            </w:r>
          </w:p>
        </w:tc>
      </w:tr>
      <w:tr>
        <w:tc>
          <w:tcPr>
            <w:tcW w:type="dxa" w:w="2664"/>
            <w:vAlign w:val="center"/>
            <w:tcMar>
              <w:top w:w="80" w:type="dxa"/>
              <w:start w:w="120" w:type="dxa"/>
              <w:bottom w:w="80" w:type="dxa"/>
              <w:end w:w="120" w:type="dxa"/>
            </w:tcMar>
          </w:tcPr>
          <w:p>
            <w:pPr>
              <w:spacing w:after="0" w:line="259" w:lineRule="auto"/>
              <w:jc w:val="left"/>
            </w:pPr>
            <w:r>
              <w:rPr>
                <w:rFonts w:ascii="Arial" w:hAnsi="Arial"/>
                <w:b/>
                <w:color w:val="B3262E"/>
                <w:sz w:val="18"/>
              </w:rPr>
            </w:r>
            <w:hyperlink r:id="rId17">
              <w:r>
                <w:rPr>
                  <w:color w:val="B3262E"/>
                  <w:u w:val="single"/>
                </w:rPr>
                <w:t>lockhartsuver.com/</w:t>
              </w:r>
            </w:hyperlink>
          </w:p>
        </w:tc>
        <w:tc>
          <w:tcPr>
            <w:tcW w:type="dxa" w:w="7703"/>
            <w:vAlign w:val="center"/>
            <w:tcMar>
              <w:top w:w="80" w:type="dxa"/>
              <w:start w:w="120" w:type="dxa"/>
              <w:bottom w:w="80" w:type="dxa"/>
              <w:end w:w="120" w:type="dxa"/>
            </w:tcMar>
          </w:tcPr>
          <w:p>
            <w:pPr>
              <w:spacing w:after="0" w:line="259" w:lineRule="auto"/>
              <w:jc w:val="left"/>
            </w:pPr>
            <w:r>
              <w:rPr>
                <w:rFonts w:ascii="Arial" w:hAnsi="Arial"/>
                <w:b w:val="0"/>
                <w:color w:val="17242A"/>
                <w:sz w:val="18"/>
              </w:rPr>
              <w:t>Content-rich migration, CMS transition, responsive development, accessibility improvement, custom recovery tooling, deployment, and continuing support.</w:t>
            </w:r>
          </w:p>
        </w:tc>
      </w:tr>
      <w:tr>
        <w:tc>
          <w:tcPr>
            <w:tcW w:type="dxa" w:w="2664"/>
            <w:shd w:fill="F2F3F2" w:val="clear"/>
            <w:vAlign w:val="center"/>
            <w:tcMar>
              <w:top w:w="80" w:type="dxa"/>
              <w:start w:w="120" w:type="dxa"/>
              <w:bottom w:w="80" w:type="dxa"/>
              <w:end w:w="120" w:type="dxa"/>
            </w:tcMar>
          </w:tcPr>
          <w:p>
            <w:pPr>
              <w:spacing w:after="0" w:line="259" w:lineRule="auto"/>
              <w:jc w:val="left"/>
            </w:pPr>
            <w:r>
              <w:rPr>
                <w:rFonts w:ascii="Arial" w:hAnsi="Arial"/>
                <w:b/>
                <w:color w:val="B3262E"/>
                <w:sz w:val="18"/>
              </w:rPr>
            </w:r>
            <w:hyperlink r:id="rId18">
              <w:r>
                <w:rPr>
                  <w:color w:val="B3262E"/>
                  <w:u w:val="single"/>
                </w:rPr>
                <w:t>lennonwc.com/</w:t>
              </w:r>
            </w:hyperlink>
          </w:p>
        </w:tc>
        <w:tc>
          <w:tcPr>
            <w:tcW w:type="dxa" w:w="7703"/>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Intent-based information architecture, mobile UX, service content, estimate-request pathway, analytics, local search, and ongoing optimization.</w:t>
            </w:r>
          </w:p>
        </w:tc>
      </w:tr>
      <w:tr>
        <w:tc>
          <w:tcPr>
            <w:tcW w:type="dxa" w:w="2664"/>
            <w:vAlign w:val="center"/>
            <w:tcMar>
              <w:top w:w="80" w:type="dxa"/>
              <w:start w:w="120" w:type="dxa"/>
              <w:bottom w:w="80" w:type="dxa"/>
              <w:end w:w="120" w:type="dxa"/>
            </w:tcMar>
          </w:tcPr>
          <w:p>
            <w:pPr>
              <w:spacing w:after="0" w:line="259" w:lineRule="auto"/>
              <w:jc w:val="left"/>
            </w:pPr>
            <w:r>
              <w:rPr>
                <w:rFonts w:ascii="Arial" w:hAnsi="Arial"/>
                <w:b/>
                <w:color w:val="B3262E"/>
                <w:sz w:val="18"/>
              </w:rPr>
            </w:r>
            <w:hyperlink r:id="rId19">
              <w:r>
                <w:rPr>
                  <w:color w:val="B3262E"/>
                  <w:u w:val="single"/>
                </w:rPr>
                <w:t>distinctiveglass.com/</w:t>
              </w:r>
            </w:hyperlink>
          </w:p>
        </w:tc>
        <w:tc>
          <w:tcPr>
            <w:tcW w:type="dxa" w:w="7703"/>
            <w:vAlign w:val="center"/>
            <w:tcMar>
              <w:top w:w="80" w:type="dxa"/>
              <w:start w:w="120" w:type="dxa"/>
              <w:bottom w:w="80" w:type="dxa"/>
              <w:end w:w="120" w:type="dxa"/>
            </w:tcMar>
          </w:tcPr>
          <w:p>
            <w:pPr>
              <w:spacing w:after="0" w:line="259" w:lineRule="auto"/>
              <w:jc w:val="left"/>
            </w:pPr>
            <w:r>
              <w:rPr>
                <w:rFonts w:ascii="Arial" w:hAnsi="Arial"/>
                <w:b w:val="0"/>
                <w:color w:val="17242A"/>
                <w:sz w:val="18"/>
              </w:rPr>
              <w:t>Inherited-system onboarding, content maintenance, troubleshooting, controlled releases, documentation, and ongoing technical continuity.</w:t>
            </w:r>
          </w:p>
        </w:tc>
      </w:tr>
    </w:tbl>
    <w:p>
      <w:pPr>
        <w:spacing w:after="20"/>
      </w:pPr>
    </w:p>
    <w:p>
      <w:pPr>
        <w:jc w:val="left"/>
      </w:pPr>
      <w:r>
        <w:rPr>
          <w:rFonts w:ascii="Arial" w:hAnsi="Arial"/>
          <w:color w:val="17242A"/>
          <w:sz w:val="21"/>
        </w:rPr>
        <w:t>The full Section 5 Scope of Services was not included in the supplied Attachment A file. Functional comparisons must be reviewed against the complete RFP before submission.</w:t>
      </w:r>
    </w:p>
    <w:p>
      <w:pPr>
        <w:pStyle w:val="SectionLabel"/>
      </w:pPr>
      <w:r>
        <w:t>SECTION 14C</w:t>
      </w:r>
    </w:p>
    <w:p>
      <w:pPr>
        <w:pStyle w:val="Heading1"/>
      </w:pPr>
      <w:r>
        <w:t>References and Similar Projects</w:t>
      </w:r>
    </w:p>
    <w:p>
      <w:pPr>
        <w:jc w:val="left"/>
      </w:pPr>
      <w:r>
        <w:rPr>
          <w:rFonts w:ascii="Arial" w:hAnsi="Arial"/>
          <w:color w:val="17242A"/>
          <w:sz w:val="21"/>
        </w:rPr>
        <w:t>Provide at least three (3) references preferably customer/projects similar to Snohomish County and this project. Briefly describe each of the three projects, note the similarities and provide up-to-date contact information including name, title, e-mail address, and phone number. Provide information on the contract length and whether the contract is currently active.</w:t>
      </w:r>
    </w:p>
    <w:p>
      <w:pPr>
        <w:jc w:val="left"/>
      </w:pPr>
      <w:r>
        <w:rPr>
          <w:rFonts w:ascii="Arial" w:hAnsi="Arial"/>
          <w:color w:val="17242A"/>
          <w:sz w:val="21"/>
        </w:rPr>
        <w:t>The contacts below come from Alpath’s existing qualification materials. Relationship details, project authorization, contract dates, and current status require confirmation before submission.</w:t>
      </w:r>
    </w:p>
    <w:p>
      <w:pPr>
        <w:pStyle w:val="Heading2"/>
      </w:pPr>
      <w:r>
        <w:t>Reference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52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Required field</w:t>
            </w:r>
          </w:p>
        </w:tc>
        <w:tc>
          <w:tcPr>
            <w:tcW w:type="dxa" w:w="784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Response</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Project</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Lockhart Suver website migration and ongoing technical support [confirm contact relationship]</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Similarities</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Content-rich migration, CMS transition, accessibility and performance, custom tooling, deployment, and continuing support.</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Company</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Lockhart Suver / Secure Back Office [TO CONFIRM relationship]</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name</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Brad Kulkin</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title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Consultant, Secure Back Office</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email</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brad@securebackoffice.com</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phone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206-659-8490</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Contract length</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Reported 2026 to present [TO CONFIRM exact dates]</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Contract active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Reported as ongoing [TO CONFIRM]</w:t>
            </w:r>
          </w:p>
        </w:tc>
      </w:tr>
    </w:tbl>
    <w:p>
      <w:pPr>
        <w:spacing w:after="20"/>
      </w:pPr>
    </w:p>
    <w:p>
      <w:pPr>
        <w:pStyle w:val="Heading2"/>
      </w:pPr>
      <w:r>
        <w:t>Reference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52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Required field</w:t>
            </w:r>
          </w:p>
        </w:tc>
        <w:tc>
          <w:tcPr>
            <w:tcW w:type="dxa" w:w="784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Response</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Project</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Pro3 Accounting website and digital services [TO CONFIRM exact scope]</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Similarities</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Professional-services information architecture, offer clarity, inquiry quality, website implementation, and continuing digital support [TO CONFIRM].</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Company</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Pro3 Accounting</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name</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Michael Neese</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title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Operator</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email</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michael@pro3accounting.com</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phone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319-594-8979</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Contract length</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[TO CONFIRM]</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Contract active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[TO CONFIRM]</w:t>
            </w:r>
          </w:p>
        </w:tc>
      </w:tr>
    </w:tbl>
    <w:p>
      <w:pPr>
        <w:spacing w:after="20"/>
      </w:pPr>
    </w:p>
    <w:p>
      <w:pPr>
        <w:pStyle w:val="Heading2"/>
      </w:pPr>
      <w:r>
        <w:t>Reference 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52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Required field</w:t>
            </w:r>
          </w:p>
        </w:tc>
        <w:tc>
          <w:tcPr>
            <w:tcW w:type="dxa" w:w="784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Response</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Project</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Alpath business advisory relationship; professional reference rather than a customer project</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Similarities</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Independent professional reference familiar with Alpath’s business and delivery approach [TO CONFIRM exact basis and permission].</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Company</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Washington Small Business Development Center</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name</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Supo Techagumthorn</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title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Certified Business Advisor</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Contact email</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supo@wsu.edu</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Contact phone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425-331-9775</w:t>
            </w:r>
          </w:p>
        </w:tc>
      </w:tr>
      <w:tr>
        <w:tc>
          <w:tcPr>
            <w:tcW w:type="dxa" w:w="2520"/>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t>Contract length</w:t>
            </w:r>
          </w:p>
        </w:tc>
        <w:tc>
          <w:tcPr>
            <w:tcW w:type="dxa" w:w="7848"/>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t>Not applicable to an advisory relationship [TO CONFIRM]</w:t>
            </w:r>
          </w:p>
        </w:tc>
      </w:tr>
      <w:tr>
        <w:tc>
          <w:tcPr>
            <w:tcW w:type="dxa" w:w="2520"/>
            <w:vAlign w:val="center"/>
            <w:tcMar>
              <w:top w:w="80" w:type="dxa"/>
              <w:start w:w="120" w:type="dxa"/>
              <w:bottom w:w="80" w:type="dxa"/>
              <w:end w:w="120" w:type="dxa"/>
            </w:tcMar>
          </w:tcPr>
          <w:p>
            <w:pPr>
              <w:spacing w:after="0" w:line="259" w:lineRule="auto"/>
              <w:jc w:val="left"/>
            </w:pPr>
            <w:r>
              <w:rPr>
                <w:rFonts w:ascii="Arial" w:hAnsi="Arial"/>
                <w:b/>
                <w:color w:val="17242A"/>
                <w:sz w:val="18"/>
              </w:rPr>
              <w:t>Contract active</w:t>
            </w:r>
          </w:p>
        </w:tc>
        <w:tc>
          <w:tcPr>
            <w:tcW w:type="dxa" w:w="7848"/>
            <w:vAlign w:val="center"/>
            <w:tcMar>
              <w:top w:w="80" w:type="dxa"/>
              <w:start w:w="120" w:type="dxa"/>
              <w:bottom w:w="80" w:type="dxa"/>
              <w:end w:w="120" w:type="dxa"/>
            </w:tcMar>
          </w:tcPr>
          <w:p>
            <w:pPr>
              <w:spacing w:after="0" w:line="259" w:lineRule="auto"/>
              <w:jc w:val="left"/>
            </w:pPr>
            <w:r>
              <w:rPr>
                <w:rFonts w:ascii="Arial" w:hAnsi="Arial"/>
                <w:b w:val="0"/>
                <w:color w:val="17242A"/>
                <w:sz w:val="18"/>
              </w:rPr>
              <w:t>[TO CONFIRM]</w:t>
            </w:r>
          </w:p>
        </w:tc>
      </w:tr>
    </w:tbl>
    <w:p>
      <w:pPr>
        <w:spacing w:after="20"/>
      </w:pPr>
    </w:p>
    <w:p>
      <w:pPr>
        <w:pStyle w:val="Confirmation"/>
      </w:pPr>
      <w:r>
        <w:rPr>
          <w:highlight w:val="yellow"/>
        </w:rPr>
        <w:t>[TO CONFIRM: obtain permission from all references and verify every contact, relationship, date, and status]</w:t>
      </w:r>
    </w:p>
    <w:p>
      <w:pPr>
        <w:pStyle w:val="SectionLabel"/>
      </w:pPr>
      <w:r>
        <w:t>SECTION 14D</w:t>
      </w:r>
    </w:p>
    <w:p>
      <w:pPr>
        <w:pStyle w:val="Heading1"/>
      </w:pPr>
      <w:r>
        <w:t>Methodology Plan and Timeline</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2F3F2" w:val="clear"/>
            <w:tcMar>
              <w:top w:w="120" w:type="dxa"/>
              <w:start w:w="140" w:type="dxa"/>
              <w:bottom w:w="120" w:type="dxa"/>
              <w:end w:w="140" w:type="dxa"/>
            </w:tcMar>
          </w:tcPr>
          <w:p>
            <w:pPr>
              <w:pStyle w:val="QuestionPrompt"/>
            </w:pPr>
            <w:r>
              <w:rPr>
                <w:rFonts w:ascii="Arial" w:hAnsi="Arial"/>
                <w:b/>
                <w:color w:val="17242A"/>
                <w:sz w:val="20"/>
              </w:rPr>
              <w:t>14D.1 Provide a detailed narrative of the proposer’s methodology to successfully meet the tasks identified in Section 5 Scope of Services from beginning to completion.</w:t>
            </w:r>
          </w:p>
        </w:tc>
      </w:tr>
    </w:tbl>
    <w:p>
      <w:pPr>
        <w:spacing w:after="20"/>
      </w:pPr>
    </w:p>
    <w:p>
      <w:pPr>
        <w:jc w:val="left"/>
      </w:pPr>
      <w:r>
        <w:rPr>
          <w:rFonts w:ascii="Arial" w:hAnsi="Arial"/>
          <w:color w:val="17242A"/>
          <w:sz w:val="21"/>
        </w:rPr>
        <w:t>Alpath proposes an approval-gated delivery method that connects public experience, content operations, hosting, integrations, security, analytics, and long-term ownership. Each phase produces usable evidence for the next decision. Discovery findings, design direction, architecture, prototypes, migrated content, and launch readiness are reviewed before dependent work advances.</w:t>
      </w:r>
    </w:p>
    <w:p>
      <w:pPr>
        <w:spacing w:after="120"/>
        <w:ind w:left="360" w:hanging="360"/>
        <w:jc w:val="left"/>
      </w:pPr>
      <w:r>
        <w:rPr>
          <w:rFonts w:ascii="Arial" w:hAnsi="Arial"/>
          <w:b/>
          <w:color w:val="B3262E"/>
          <w:sz w:val="21"/>
        </w:rPr>
        <w:t xml:space="preserve">1.  </w:t>
      </w:r>
      <w:r>
        <w:rPr>
          <w:rFonts w:ascii="Arial" w:hAnsi="Arial"/>
          <w:b/>
          <w:color w:val="17242A"/>
          <w:sz w:val="21"/>
        </w:rPr>
        <w:t xml:space="preserve">Discovery and system mapping. </w:t>
      </w:r>
      <w:r>
        <w:rPr>
          <w:rFonts w:ascii="Arial" w:hAnsi="Arial"/>
          <w:color w:val="17242A"/>
          <w:sz w:val="21"/>
        </w:rPr>
        <w:t>Confirm audiences, public tasks, content, current platforms, publishing and operational workflows, integrations, analytics, hosting constraints, accessibility findings, risks, decision owners, and measurable outcomes. Produce a current-state map, prioritized requirements, content and system inventories, and a decision log.</w:t>
      </w:r>
    </w:p>
    <w:p>
      <w:pPr>
        <w:spacing w:after="120"/>
        <w:ind w:left="360" w:hanging="360"/>
        <w:jc w:val="left"/>
      </w:pPr>
      <w:r>
        <w:rPr>
          <w:rFonts w:ascii="Arial" w:hAnsi="Arial"/>
          <w:b/>
          <w:color w:val="B3262E"/>
          <w:sz w:val="21"/>
        </w:rPr>
        <w:t xml:space="preserve">2.  </w:t>
      </w:r>
      <w:r>
        <w:rPr>
          <w:rFonts w:ascii="Arial" w:hAnsi="Arial"/>
          <w:b/>
          <w:color w:val="17242A"/>
          <w:sz w:val="21"/>
        </w:rPr>
        <w:t xml:space="preserve">User experience and technical architecture. </w:t>
      </w:r>
      <w:r>
        <w:rPr>
          <w:rFonts w:ascii="Arial" w:hAnsi="Arial"/>
          <w:color w:val="17242A"/>
          <w:sz w:val="21"/>
        </w:rPr>
        <w:t>Organize the public experience around visitor intent; define navigation, search, page types, service journeys, CMS content models, publishing governance, platform evaluation criteria, environment strategy, identity and permission needs, integration boundaries, data ownership, monitoring, backup, recovery, and migration approach.</w:t>
      </w:r>
    </w:p>
    <w:p>
      <w:pPr>
        <w:spacing w:after="120"/>
        <w:ind w:left="360" w:hanging="360"/>
        <w:jc w:val="left"/>
      </w:pPr>
      <w:r>
        <w:rPr>
          <w:rFonts w:ascii="Arial" w:hAnsi="Arial"/>
          <w:b/>
          <w:color w:val="B3262E"/>
          <w:sz w:val="21"/>
        </w:rPr>
        <w:t xml:space="preserve">3.  </w:t>
      </w:r>
      <w:r>
        <w:rPr>
          <w:rFonts w:ascii="Arial" w:hAnsi="Arial"/>
          <w:b/>
          <w:color w:val="17242A"/>
          <w:sz w:val="21"/>
        </w:rPr>
        <w:t xml:space="preserve">Prototype and validation. </w:t>
      </w:r>
      <w:r>
        <w:rPr>
          <w:rFonts w:ascii="Arial" w:hAnsi="Arial"/>
          <w:color w:val="17242A"/>
          <w:sz w:val="21"/>
        </w:rPr>
        <w:t>Build representative prototypes for high-value public and staff workflows. Test plain-language comprehension, mobile behavior, keyboard access, assistive-technology patterns, editor usability, content governance, data assumptions, and technical feasibility before full implementation.</w:t>
      </w:r>
    </w:p>
    <w:p>
      <w:pPr>
        <w:spacing w:after="120"/>
        <w:ind w:left="360" w:hanging="360"/>
        <w:jc w:val="left"/>
      </w:pPr>
      <w:r>
        <w:rPr>
          <w:rFonts w:ascii="Arial" w:hAnsi="Arial"/>
          <w:b/>
          <w:color w:val="B3262E"/>
          <w:sz w:val="21"/>
        </w:rPr>
        <w:t xml:space="preserve">4.  </w:t>
      </w:r>
      <w:r>
        <w:rPr>
          <w:rFonts w:ascii="Arial" w:hAnsi="Arial"/>
          <w:b/>
          <w:color w:val="17242A"/>
          <w:sz w:val="21"/>
        </w:rPr>
        <w:t xml:space="preserve">Build configure and integrate. </w:t>
      </w:r>
      <w:r>
        <w:rPr>
          <w:rFonts w:ascii="Arial" w:hAnsi="Arial"/>
          <w:color w:val="17242A"/>
          <w:sz w:val="21"/>
        </w:rPr>
        <w:t>Configure the approved CMS and hosting environments; implement reusable templates, search, forms, analytics, accessibility patterns, permissions, approved integrations, and any confirmed custom applications. Deliver working increments for stakeholder review rather than waiting for a single final reveal.</w:t>
      </w:r>
    </w:p>
    <w:p>
      <w:pPr>
        <w:spacing w:after="120"/>
        <w:ind w:left="360" w:hanging="360"/>
        <w:jc w:val="left"/>
      </w:pPr>
      <w:r>
        <w:rPr>
          <w:rFonts w:ascii="Arial" w:hAnsi="Arial"/>
          <w:b/>
          <w:color w:val="B3262E"/>
          <w:sz w:val="21"/>
        </w:rPr>
        <w:t xml:space="preserve">5.  </w:t>
      </w:r>
      <w:r>
        <w:rPr>
          <w:rFonts w:ascii="Arial" w:hAnsi="Arial"/>
          <w:b/>
          <w:color w:val="17242A"/>
          <w:sz w:val="21"/>
        </w:rPr>
        <w:t xml:space="preserve">Migration and testing. </w:t>
      </w:r>
      <w:r>
        <w:rPr>
          <w:rFonts w:ascii="Arial" w:hAnsi="Arial"/>
          <w:color w:val="17242A"/>
          <w:sz w:val="21"/>
        </w:rPr>
        <w:t>Inventory and classify source content; decide what to retain, revise, archive, or redirect; migrate in controlled groups; validate links and metadata; and test responsive behavior, accessibility, performance, security, integrations, permissions, analytics, backups, recovery, and common user tasks.</w:t>
      </w:r>
    </w:p>
    <w:p>
      <w:pPr>
        <w:spacing w:after="120"/>
        <w:ind w:left="360" w:hanging="360"/>
        <w:jc w:val="left"/>
      </w:pPr>
      <w:r>
        <w:rPr>
          <w:rFonts w:ascii="Arial" w:hAnsi="Arial"/>
          <w:b/>
          <w:color w:val="B3262E"/>
          <w:sz w:val="21"/>
        </w:rPr>
        <w:t xml:space="preserve">6.  </w:t>
      </w:r>
      <w:r>
        <w:rPr>
          <w:rFonts w:ascii="Arial" w:hAnsi="Arial"/>
          <w:b/>
          <w:color w:val="17242A"/>
          <w:sz w:val="21"/>
        </w:rPr>
        <w:t xml:space="preserve">Training and launch. </w:t>
      </w:r>
      <w:r>
        <w:rPr>
          <w:rFonts w:ascii="Arial" w:hAnsi="Arial"/>
          <w:color w:val="17242A"/>
          <w:sz w:val="21"/>
        </w:rPr>
        <w:t>Train editors, approvers, administrators, and support staff by role. Provide operating documentation, publishing guidance, architecture and integration maps, a launch checklist, rollback and recovery procedures, and a final readiness record. Launch in a controlled sequence with monitoring and clearly assigned response roles.</w:t>
      </w:r>
    </w:p>
    <w:p>
      <w:pPr>
        <w:spacing w:after="120"/>
        <w:ind w:left="360" w:hanging="360"/>
        <w:jc w:val="left"/>
      </w:pPr>
      <w:r>
        <w:rPr>
          <w:rFonts w:ascii="Arial" w:hAnsi="Arial"/>
          <w:b/>
          <w:color w:val="B3262E"/>
          <w:sz w:val="21"/>
        </w:rPr>
        <w:t xml:space="preserve">7.  </w:t>
      </w:r>
      <w:r>
        <w:rPr>
          <w:rFonts w:ascii="Arial" w:hAnsi="Arial"/>
          <w:b/>
          <w:color w:val="17242A"/>
          <w:sz w:val="21"/>
        </w:rPr>
        <w:t xml:space="preserve">Stabilization and ongoing support. </w:t>
      </w:r>
      <w:r>
        <w:rPr>
          <w:rFonts w:ascii="Arial" w:hAnsi="Arial"/>
          <w:color w:val="17242A"/>
          <w:sz w:val="21"/>
        </w:rPr>
        <w:t>Resolve launch findings, review analytics and support issues, confirm ownership transfer, prioritize improvements, and operate under an agreed maintenance and support model. Documentation remains current as the system changes.</w:t>
      </w:r>
    </w:p>
    <w:p>
      <w:pPr>
        <w:pStyle w:val="Heading2"/>
      </w:pPr>
      <w:r>
        <w:t>Quality and governance throughout delivery</w:t>
      </w:r>
    </w:p>
    <w:p>
      <w:pPr>
        <w:spacing w:after="80"/>
        <w:ind w:left="288" w:hanging="230"/>
        <w:jc w:val="left"/>
      </w:pPr>
      <w:r>
        <w:rPr>
          <w:rFonts w:ascii="Arial" w:hAnsi="Arial"/>
          <w:b/>
          <w:color w:val="B3262E"/>
          <w:sz w:val="21"/>
        </w:rPr>
        <w:t xml:space="preserve">•  </w:t>
      </w:r>
      <w:r>
        <w:rPr>
          <w:rFonts w:ascii="Arial" w:hAnsi="Arial"/>
          <w:color w:val="17242A"/>
          <w:sz w:val="21"/>
        </w:rPr>
        <w:t>Maintain a shared record of requirements, assumptions, decisions, risks, owners, approvals, and change requests.</w:t>
      </w:r>
    </w:p>
    <w:p>
      <w:pPr>
        <w:spacing w:after="80"/>
        <w:ind w:left="288" w:hanging="230"/>
        <w:jc w:val="left"/>
      </w:pPr>
      <w:r>
        <w:rPr>
          <w:rFonts w:ascii="Arial" w:hAnsi="Arial"/>
          <w:b/>
          <w:color w:val="B3262E"/>
          <w:sz w:val="21"/>
        </w:rPr>
        <w:t xml:space="preserve">•  </w:t>
      </w:r>
      <w:r>
        <w:rPr>
          <w:rFonts w:ascii="Arial" w:hAnsi="Arial"/>
          <w:color w:val="17242A"/>
          <w:sz w:val="21"/>
        </w:rPr>
        <w:t>Define acceptance criteria before implementation and connect each criterion to evidence produced during testing.</w:t>
      </w:r>
    </w:p>
    <w:p>
      <w:pPr>
        <w:spacing w:after="80"/>
        <w:ind w:left="288" w:hanging="230"/>
        <w:jc w:val="left"/>
      </w:pPr>
      <w:r>
        <w:rPr>
          <w:rFonts w:ascii="Arial" w:hAnsi="Arial"/>
          <w:b/>
          <w:color w:val="B3262E"/>
          <w:sz w:val="21"/>
        </w:rPr>
        <w:t xml:space="preserve">•  </w:t>
      </w:r>
      <w:r>
        <w:rPr>
          <w:rFonts w:ascii="Arial" w:hAnsi="Arial"/>
          <w:color w:val="17242A"/>
          <w:sz w:val="21"/>
        </w:rPr>
        <w:t>Use separate development, testing, and production environments with controlled releases and least-privilege access.</w:t>
      </w:r>
    </w:p>
    <w:p>
      <w:pPr>
        <w:spacing w:after="80"/>
        <w:ind w:left="288" w:hanging="230"/>
        <w:jc w:val="left"/>
      </w:pPr>
      <w:r>
        <w:rPr>
          <w:rFonts w:ascii="Arial" w:hAnsi="Arial"/>
          <w:b/>
          <w:color w:val="B3262E"/>
          <w:sz w:val="21"/>
        </w:rPr>
        <w:t xml:space="preserve">•  </w:t>
      </w:r>
      <w:r>
        <w:rPr>
          <w:rFonts w:ascii="Arial" w:hAnsi="Arial"/>
          <w:color w:val="17242A"/>
          <w:sz w:val="21"/>
        </w:rPr>
        <w:t>Combine automated checks with keyboard, assistive-technology, content, browser, device, performance, security, integration, backup, and recovery testing appropriate to the confirmed scope.</w:t>
      </w:r>
    </w:p>
    <w:p>
      <w:pPr>
        <w:spacing w:after="80"/>
        <w:ind w:left="288" w:hanging="230"/>
        <w:jc w:val="left"/>
      </w:pPr>
      <w:r>
        <w:rPr>
          <w:rFonts w:ascii="Arial" w:hAnsi="Arial"/>
          <w:b/>
          <w:color w:val="B3262E"/>
          <w:sz w:val="21"/>
        </w:rPr>
        <w:t xml:space="preserve">•  </w:t>
      </w:r>
      <w:r>
        <w:rPr>
          <w:rFonts w:ascii="Arial" w:hAnsi="Arial"/>
          <w:color w:val="17242A"/>
          <w:sz w:val="21"/>
        </w:rPr>
        <w:t>Keep the County in control of content, data, domains, accounts, source materials, analytics, and export paths while avoiding unnecessary vendor lock-in.</w:t>
      </w:r>
    </w:p>
    <w:p>
      <w:pPr>
        <w:pStyle w:val="Confirmation"/>
      </w:pPr>
      <w:r>
        <w:rPr>
          <w:highlight w:val="yellow"/>
        </w:rPr>
        <w:t>[TO CONFIRM: reconcile this methodology against every task and deliverable in the full Section 5 before submission]</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2F3F2" w:val="clear"/>
            <w:tcMar>
              <w:top w:w="120" w:type="dxa"/>
              <w:start w:w="140" w:type="dxa"/>
              <w:bottom w:w="120" w:type="dxa"/>
              <w:end w:w="140" w:type="dxa"/>
            </w:tcMar>
          </w:tcPr>
          <w:p>
            <w:pPr>
              <w:pStyle w:val="QuestionPrompt"/>
            </w:pPr>
            <w:r>
              <w:rPr>
                <w:rFonts w:ascii="Arial" w:hAnsi="Arial"/>
                <w:b/>
                <w:color w:val="17242A"/>
                <w:sz w:val="20"/>
              </w:rPr>
              <w:t>14D.2 Provide a detailed timeline to perform the tasks identified in Section 5 Scope of Services. Please include any additional resources that may be requested from the County.</w:t>
            </w:r>
          </w:p>
        </w:tc>
      </w:tr>
    </w:tbl>
    <w:p>
      <w:pPr>
        <w:spacing w:after="20"/>
      </w:pPr>
    </w:p>
    <w:p>
      <w:pPr>
        <w:jc w:val="left"/>
      </w:pPr>
      <w:r>
        <w:rPr>
          <w:rFonts w:ascii="Arial" w:hAnsi="Arial"/>
          <w:color w:val="17242A"/>
          <w:sz w:val="21"/>
        </w:rPr>
        <w:t>The timeline below is an illustrative planning sequence, not a committed schedule. Final duration, dates, dependencies, review periods, procurement lead times, migration volume, integrations, and launch timing must be confirmed against the complete RFP and Section 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tblHeader w:val="true"/>
        </w:trPr>
        <w:tc>
          <w:tcPr>
            <w:tcW w:type="dxa" w:w="208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Phase</w:t>
            </w:r>
          </w:p>
        </w:tc>
        <w:tc>
          <w:tcPr>
            <w:tcW w:type="dxa" w:w="180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Illustrative timing</w:t>
            </w:r>
          </w:p>
        </w:tc>
        <w:tc>
          <w:tcPr>
            <w:tcW w:type="dxa" w:w="3816"/>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Primary output</w:t>
            </w:r>
          </w:p>
        </w:tc>
        <w:tc>
          <w:tcPr>
            <w:tcW w:type="dxa" w:w="2664"/>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Approval checkpoint</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6"/>
              </w:rPr>
              <w:t>1 Discovery and mapping</w:t>
            </w:r>
          </w:p>
        </w:tc>
        <w:tc>
          <w:tcPr>
            <w:tcW w:type="dxa" w:w="1800"/>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1 to 4</w:t>
            </w:r>
          </w:p>
        </w:tc>
        <w:tc>
          <w:tcPr>
            <w:tcW w:type="dxa" w:w="3816"/>
            <w:vAlign w:val="center"/>
            <w:tcMar>
              <w:top w:w="80" w:type="dxa"/>
              <w:start w:w="120" w:type="dxa"/>
              <w:bottom w:w="80" w:type="dxa"/>
              <w:end w:w="120" w:type="dxa"/>
            </w:tcMar>
          </w:tcPr>
          <w:p>
            <w:pPr>
              <w:spacing w:after="0" w:line="259" w:lineRule="auto"/>
              <w:jc w:val="left"/>
            </w:pPr>
            <w:r>
              <w:rPr>
                <w:rFonts w:ascii="Arial" w:hAnsi="Arial"/>
                <w:b w:val="0"/>
                <w:color w:val="17242A"/>
                <w:sz w:val="16"/>
              </w:rPr>
              <w:t>Current-state map, requirements, inventories, risks, measures</w:t>
            </w:r>
          </w:p>
        </w:tc>
        <w:tc>
          <w:tcPr>
            <w:tcW w:type="dxa" w:w="2664"/>
            <w:vAlign w:val="center"/>
            <w:tcMar>
              <w:top w:w="80" w:type="dxa"/>
              <w:start w:w="120" w:type="dxa"/>
              <w:bottom w:w="80" w:type="dxa"/>
              <w:end w:w="120" w:type="dxa"/>
            </w:tcMar>
          </w:tcPr>
          <w:p>
            <w:pPr>
              <w:spacing w:after="0" w:line="259" w:lineRule="auto"/>
              <w:jc w:val="left"/>
            </w:pPr>
            <w:r>
              <w:rPr>
                <w:rFonts w:ascii="Arial" w:hAnsi="Arial"/>
                <w:b w:val="0"/>
                <w:color w:val="17242A"/>
                <w:sz w:val="16"/>
              </w:rPr>
              <w:t>Confirm scope and priorities</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6"/>
              </w:rPr>
              <w:t>2 UX and architecture</w:t>
            </w:r>
          </w:p>
        </w:tc>
        <w:tc>
          <w:tcPr>
            <w:tcW w:type="dxa" w:w="1800"/>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3 to 8</w:t>
            </w:r>
          </w:p>
        </w:tc>
        <w:tc>
          <w:tcPr>
            <w:tcW w:type="dxa" w:w="38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Service journeys, information architecture, content model, technical architecture</w:t>
            </w:r>
          </w:p>
        </w:tc>
        <w:tc>
          <w:tcPr>
            <w:tcW w:type="dxa" w:w="2664"/>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Approve experience and architecture direction</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6"/>
              </w:rPr>
              <w:t>3 Prototype and validation</w:t>
            </w:r>
          </w:p>
        </w:tc>
        <w:tc>
          <w:tcPr>
            <w:tcW w:type="dxa" w:w="1800"/>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7 to 11</w:t>
            </w:r>
          </w:p>
        </w:tc>
        <w:tc>
          <w:tcPr>
            <w:tcW w:type="dxa" w:w="3816"/>
            <w:vAlign w:val="center"/>
            <w:tcMar>
              <w:top w:w="80" w:type="dxa"/>
              <w:start w:w="120" w:type="dxa"/>
              <w:bottom w:w="80" w:type="dxa"/>
              <w:end w:w="120" w:type="dxa"/>
            </w:tcMar>
          </w:tcPr>
          <w:p>
            <w:pPr>
              <w:spacing w:after="0" w:line="259" w:lineRule="auto"/>
              <w:jc w:val="left"/>
            </w:pPr>
            <w:r>
              <w:rPr>
                <w:rFonts w:ascii="Arial" w:hAnsi="Arial"/>
                <w:b w:val="0"/>
                <w:color w:val="17242A"/>
                <w:sz w:val="16"/>
              </w:rPr>
              <w:t>Tested prototypes and acceptance criteria</w:t>
            </w:r>
          </w:p>
        </w:tc>
        <w:tc>
          <w:tcPr>
            <w:tcW w:type="dxa" w:w="2664"/>
            <w:vAlign w:val="center"/>
            <w:tcMar>
              <w:top w:w="80" w:type="dxa"/>
              <w:start w:w="120" w:type="dxa"/>
              <w:bottom w:w="80" w:type="dxa"/>
              <w:end w:w="120" w:type="dxa"/>
            </w:tcMar>
          </w:tcPr>
          <w:p>
            <w:pPr>
              <w:spacing w:after="0" w:line="259" w:lineRule="auto"/>
              <w:jc w:val="left"/>
            </w:pPr>
            <w:r>
              <w:rPr>
                <w:rFonts w:ascii="Arial" w:hAnsi="Arial"/>
                <w:b w:val="0"/>
                <w:color w:val="17242A"/>
                <w:sz w:val="16"/>
              </w:rPr>
              <w:t>Validate priority workflows</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6"/>
              </w:rPr>
              <w:t>4 Build configure integrate</w:t>
            </w:r>
          </w:p>
        </w:tc>
        <w:tc>
          <w:tcPr>
            <w:tcW w:type="dxa" w:w="1800"/>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10 to 22</w:t>
            </w:r>
          </w:p>
        </w:tc>
        <w:tc>
          <w:tcPr>
            <w:tcW w:type="dxa" w:w="38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Working CMS, templates, hosting, integrations, applications</w:t>
            </w:r>
          </w:p>
        </w:tc>
        <w:tc>
          <w:tcPr>
            <w:tcW w:type="dxa" w:w="2664"/>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Review working increments</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6"/>
              </w:rPr>
              <w:t>5 Migration and testing</w:t>
            </w:r>
          </w:p>
        </w:tc>
        <w:tc>
          <w:tcPr>
            <w:tcW w:type="dxa" w:w="1800"/>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18 to 27</w:t>
            </w:r>
          </w:p>
        </w:tc>
        <w:tc>
          <w:tcPr>
            <w:tcW w:type="dxa" w:w="3816"/>
            <w:vAlign w:val="center"/>
            <w:tcMar>
              <w:top w:w="80" w:type="dxa"/>
              <w:start w:w="120" w:type="dxa"/>
              <w:bottom w:w="80" w:type="dxa"/>
              <w:end w:w="120" w:type="dxa"/>
            </w:tcMar>
          </w:tcPr>
          <w:p>
            <w:pPr>
              <w:spacing w:after="0" w:line="259" w:lineRule="auto"/>
              <w:jc w:val="left"/>
            </w:pPr>
            <w:r>
              <w:rPr>
                <w:rFonts w:ascii="Arial" w:hAnsi="Arial"/>
                <w:b w:val="0"/>
                <w:color w:val="17242A"/>
                <w:sz w:val="16"/>
              </w:rPr>
              <w:t>Migrated content, redirects, test evidence, readiness record</w:t>
            </w:r>
          </w:p>
        </w:tc>
        <w:tc>
          <w:tcPr>
            <w:tcW w:type="dxa" w:w="2664"/>
            <w:vAlign w:val="center"/>
            <w:tcMar>
              <w:top w:w="80" w:type="dxa"/>
              <w:start w:w="120" w:type="dxa"/>
              <w:bottom w:w="80" w:type="dxa"/>
              <w:end w:w="120" w:type="dxa"/>
            </w:tcMar>
          </w:tcPr>
          <w:p>
            <w:pPr>
              <w:spacing w:after="0" w:line="259" w:lineRule="auto"/>
              <w:jc w:val="left"/>
            </w:pPr>
            <w:r>
              <w:rPr>
                <w:rFonts w:ascii="Arial" w:hAnsi="Arial"/>
                <w:b w:val="0"/>
                <w:color w:val="17242A"/>
                <w:sz w:val="16"/>
              </w:rPr>
              <w:t>Approve content and launch readiness</w:t>
            </w:r>
          </w:p>
        </w:tc>
      </w:tr>
      <w:tr>
        <w:tc>
          <w:tcPr>
            <w:tcW w:type="dxa" w:w="208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6"/>
              </w:rPr>
              <w:t>6 Training and launch</w:t>
            </w:r>
          </w:p>
        </w:tc>
        <w:tc>
          <w:tcPr>
            <w:tcW w:type="dxa" w:w="1800"/>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26 to 29</w:t>
            </w:r>
          </w:p>
        </w:tc>
        <w:tc>
          <w:tcPr>
            <w:tcW w:type="dxa" w:w="3816"/>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Training, runbooks, controlled release</w:t>
            </w:r>
          </w:p>
        </w:tc>
        <w:tc>
          <w:tcPr>
            <w:tcW w:type="dxa" w:w="2664"/>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6"/>
              </w:rPr>
              <w:t>Authorize production launch</w:t>
            </w:r>
          </w:p>
        </w:tc>
      </w:tr>
      <w:tr>
        <w:tc>
          <w:tcPr>
            <w:tcW w:type="dxa" w:w="2088"/>
            <w:vAlign w:val="center"/>
            <w:tcMar>
              <w:top w:w="80" w:type="dxa"/>
              <w:start w:w="120" w:type="dxa"/>
              <w:bottom w:w="80" w:type="dxa"/>
              <w:end w:w="120" w:type="dxa"/>
            </w:tcMar>
          </w:tcPr>
          <w:p>
            <w:pPr>
              <w:spacing w:after="0" w:line="259" w:lineRule="auto"/>
              <w:jc w:val="left"/>
            </w:pPr>
            <w:r>
              <w:rPr>
                <w:rFonts w:ascii="Arial" w:hAnsi="Arial"/>
                <w:b/>
                <w:color w:val="17242A"/>
                <w:sz w:val="16"/>
              </w:rPr>
              <w:t>7 Stabilization and support</w:t>
            </w:r>
          </w:p>
        </w:tc>
        <w:tc>
          <w:tcPr>
            <w:tcW w:type="dxa" w:w="1800"/>
            <w:vAlign w:val="center"/>
            <w:tcMar>
              <w:top w:w="80" w:type="dxa"/>
              <w:start w:w="120" w:type="dxa"/>
              <w:bottom w:w="80" w:type="dxa"/>
              <w:end w:w="120" w:type="dxa"/>
            </w:tcMar>
          </w:tcPr>
          <w:p>
            <w:pPr>
              <w:spacing w:after="0" w:line="259" w:lineRule="auto"/>
              <w:jc w:val="left"/>
            </w:pPr>
            <w:r>
              <w:rPr>
                <w:rFonts w:ascii="Arial" w:hAnsi="Arial"/>
                <w:b w:val="0"/>
                <w:color w:val="17242A"/>
                <w:sz w:val="16"/>
              </w:rPr>
              <w:t>Weeks 30 to 32 then ongoing</w:t>
            </w:r>
          </w:p>
        </w:tc>
        <w:tc>
          <w:tcPr>
            <w:tcW w:type="dxa" w:w="3816"/>
            <w:vAlign w:val="center"/>
            <w:tcMar>
              <w:top w:w="80" w:type="dxa"/>
              <w:start w:w="120" w:type="dxa"/>
              <w:bottom w:w="80" w:type="dxa"/>
              <w:end w:w="120" w:type="dxa"/>
            </w:tcMar>
          </w:tcPr>
          <w:p>
            <w:pPr>
              <w:spacing w:after="0" w:line="259" w:lineRule="auto"/>
              <w:jc w:val="left"/>
            </w:pPr>
            <w:r>
              <w:rPr>
                <w:rFonts w:ascii="Arial" w:hAnsi="Arial"/>
                <w:b w:val="0"/>
                <w:color w:val="17242A"/>
                <w:sz w:val="16"/>
              </w:rPr>
              <w:t>Resolved findings, ownership transfer, improvement roadmap</w:t>
            </w:r>
          </w:p>
        </w:tc>
        <w:tc>
          <w:tcPr>
            <w:tcW w:type="dxa" w:w="2664"/>
            <w:vAlign w:val="center"/>
            <w:tcMar>
              <w:top w:w="80" w:type="dxa"/>
              <w:start w:w="120" w:type="dxa"/>
              <w:bottom w:w="80" w:type="dxa"/>
              <w:end w:w="120" w:type="dxa"/>
            </w:tcMar>
          </w:tcPr>
          <w:p>
            <w:pPr>
              <w:spacing w:after="0" w:line="259" w:lineRule="auto"/>
              <w:jc w:val="left"/>
            </w:pPr>
            <w:r>
              <w:rPr>
                <w:rFonts w:ascii="Arial" w:hAnsi="Arial"/>
                <w:b w:val="0"/>
                <w:color w:val="17242A"/>
                <w:sz w:val="16"/>
              </w:rPr>
              <w:t>Accept transition and support plan</w:t>
            </w:r>
          </w:p>
        </w:tc>
      </w:tr>
    </w:tbl>
    <w:p>
      <w:pPr>
        <w:spacing w:after="20"/>
      </w:pPr>
    </w:p>
    <w:p>
      <w:pPr>
        <w:pStyle w:val="Confirmation"/>
      </w:pPr>
      <w:r>
        <w:rPr>
          <w:highlight w:val="yellow"/>
        </w:rPr>
        <w:t>[TO CONFIRM: confirm whether the illustrative 32-week sequence aligns with the full RFP and required completion date]</w:t>
      </w:r>
    </w:p>
    <w:p>
      <w:pPr>
        <w:pStyle w:val="Heading2"/>
      </w:pPr>
      <w:r>
        <w:t>Resources requested from the County</w:t>
      </w:r>
    </w:p>
    <w:p>
      <w:pPr>
        <w:spacing w:after="80"/>
        <w:ind w:left="288" w:hanging="230"/>
        <w:jc w:val="left"/>
      </w:pPr>
      <w:r>
        <w:rPr>
          <w:rFonts w:ascii="Arial" w:hAnsi="Arial"/>
          <w:b/>
          <w:color w:val="B3262E"/>
          <w:sz w:val="21"/>
        </w:rPr>
        <w:t xml:space="preserve">•  </w:t>
      </w:r>
      <w:r>
        <w:rPr>
          <w:rFonts w:ascii="Arial" w:hAnsi="Arial"/>
          <w:color w:val="17242A"/>
          <w:sz w:val="21"/>
        </w:rPr>
        <w:t>An executive sponsor and day-to-day project manager with authority to coordinate decisions and approvals.</w:t>
      </w:r>
    </w:p>
    <w:p>
      <w:pPr>
        <w:spacing w:after="80"/>
        <w:ind w:left="288" w:hanging="230"/>
        <w:jc w:val="left"/>
      </w:pPr>
      <w:r>
        <w:rPr>
          <w:rFonts w:ascii="Arial" w:hAnsi="Arial"/>
          <w:b/>
          <w:color w:val="B3262E"/>
          <w:sz w:val="21"/>
        </w:rPr>
        <w:t xml:space="preserve">•  </w:t>
      </w:r>
      <w:r>
        <w:rPr>
          <w:rFonts w:ascii="Arial" w:hAnsi="Arial"/>
          <w:color w:val="17242A"/>
          <w:sz w:val="21"/>
        </w:rPr>
        <w:t>Representatives for Evergreen State Fair Park, Paine Field Airport, communications, events, visitor services, marketing, operations, facilities, administration, and any other confirmed business areas.</w:t>
      </w:r>
    </w:p>
    <w:p>
      <w:pPr>
        <w:spacing w:after="80"/>
        <w:ind w:left="288" w:hanging="230"/>
        <w:jc w:val="left"/>
      </w:pPr>
      <w:r>
        <w:rPr>
          <w:rFonts w:ascii="Arial" w:hAnsi="Arial"/>
          <w:b/>
          <w:color w:val="B3262E"/>
          <w:sz w:val="21"/>
        </w:rPr>
        <w:t xml:space="preserve">•  </w:t>
      </w:r>
      <w:r>
        <w:rPr>
          <w:rFonts w:ascii="Arial" w:hAnsi="Arial"/>
          <w:color w:val="17242A"/>
          <w:sz w:val="21"/>
        </w:rPr>
        <w:t>IT and security stakeholders for identity, access, infrastructure, domains, DNS, vendor review, data handling, backups, recovery, and incident responsibilities.</w:t>
      </w:r>
    </w:p>
    <w:p>
      <w:pPr>
        <w:spacing w:after="80"/>
        <w:ind w:left="288" w:hanging="230"/>
        <w:jc w:val="left"/>
      </w:pPr>
      <w:r>
        <w:rPr>
          <w:rFonts w:ascii="Arial" w:hAnsi="Arial"/>
          <w:b/>
          <w:color w:val="B3262E"/>
          <w:sz w:val="21"/>
        </w:rPr>
        <w:t xml:space="preserve">•  </w:t>
      </w:r>
      <w:r>
        <w:rPr>
          <w:rFonts w:ascii="Arial" w:hAnsi="Arial"/>
          <w:color w:val="17242A"/>
          <w:sz w:val="21"/>
        </w:rPr>
        <w:t>GIS, data, and system owners for authoritative sources, data quality, rules, update frequency, interfaces, licensing, and support contacts.</w:t>
      </w:r>
    </w:p>
    <w:p>
      <w:pPr>
        <w:spacing w:after="80"/>
        <w:ind w:left="288" w:hanging="230"/>
        <w:jc w:val="left"/>
      </w:pPr>
      <w:r>
        <w:rPr>
          <w:rFonts w:ascii="Arial" w:hAnsi="Arial"/>
          <w:b/>
          <w:color w:val="B3262E"/>
          <w:sz w:val="21"/>
        </w:rPr>
        <w:t xml:space="preserve">•  </w:t>
      </w:r>
      <w:r>
        <w:rPr>
          <w:rFonts w:ascii="Arial" w:hAnsi="Arial"/>
          <w:color w:val="17242A"/>
          <w:sz w:val="21"/>
        </w:rPr>
        <w:t>Content owners able to inventory, review, revise, approve, archive, and validate migrated material and documents.</w:t>
      </w:r>
    </w:p>
    <w:p>
      <w:pPr>
        <w:spacing w:after="80"/>
        <w:ind w:left="288" w:hanging="230"/>
        <w:jc w:val="left"/>
      </w:pPr>
      <w:r>
        <w:rPr>
          <w:rFonts w:ascii="Arial" w:hAnsi="Arial"/>
          <w:b/>
          <w:color w:val="B3262E"/>
          <w:sz w:val="21"/>
        </w:rPr>
        <w:t xml:space="preserve">•  </w:t>
      </w:r>
      <w:r>
        <w:rPr>
          <w:rFonts w:ascii="Arial" w:hAnsi="Arial"/>
          <w:color w:val="17242A"/>
          <w:sz w:val="21"/>
        </w:rPr>
        <w:t>Access to current platforms, analytics, content exports, technical documentation, brand assets, vendor contracts, integration information, and relevant policies.</w:t>
      </w:r>
    </w:p>
    <w:p>
      <w:pPr>
        <w:spacing w:after="80"/>
        <w:ind w:left="288" w:hanging="230"/>
        <w:jc w:val="left"/>
      </w:pPr>
      <w:r>
        <w:rPr>
          <w:rFonts w:ascii="Arial" w:hAnsi="Arial"/>
          <w:b/>
          <w:color w:val="B3262E"/>
          <w:sz w:val="21"/>
        </w:rPr>
        <w:t xml:space="preserve">•  </w:t>
      </w:r>
      <w:r>
        <w:rPr>
          <w:rFonts w:ascii="Arial" w:hAnsi="Arial"/>
          <w:color w:val="17242A"/>
          <w:sz w:val="21"/>
        </w:rPr>
        <w:t>Legal, procurement, accessibility, privacy, security, and content-governance guidance for requirements that require County interpretation or approval.</w:t>
      </w:r>
    </w:p>
    <w:p>
      <w:pPr>
        <w:spacing w:after="80"/>
        <w:ind w:left="288" w:hanging="230"/>
        <w:jc w:val="left"/>
      </w:pPr>
      <w:r>
        <w:rPr>
          <w:rFonts w:ascii="Arial" w:hAnsi="Arial"/>
          <w:b/>
          <w:color w:val="B3262E"/>
          <w:sz w:val="21"/>
        </w:rPr>
        <w:t xml:space="preserve">•  </w:t>
      </w:r>
      <w:r>
        <w:rPr>
          <w:rFonts w:ascii="Arial" w:hAnsi="Arial"/>
          <w:color w:val="17242A"/>
          <w:sz w:val="21"/>
        </w:rPr>
        <w:t>Timely participation in interviews, prototype reviews, content decisions, testing, training, and launch authorization according to an agreed review calendar.</w:t>
      </w:r>
      <w:r>
        <w:br w:type="page"/>
      </w:r>
    </w:p>
    <w:p>
      <w:pPr>
        <w:pStyle w:val="SectionLabel"/>
      </w:pPr>
      <w:r>
        <w:t>SECTION 14E</w:t>
      </w:r>
    </w:p>
    <w:p>
      <w:pPr>
        <w:pStyle w:val="Heading1"/>
      </w:pPr>
      <w:r>
        <w:t>Adhere to Proposal Requirements</w:t>
      </w:r>
    </w:p>
    <w:p>
      <w:pPr>
        <w:jc w:val="left"/>
      </w:pPr>
      <w:r>
        <w:rPr>
          <w:rFonts w:ascii="Arial" w:hAnsi="Arial"/>
          <w:color w:val="17242A"/>
          <w:sz w:val="21"/>
        </w:rPr>
        <w:t>Follow, complete, and submit all information required by RFP.</w:t>
      </w:r>
    </w:p>
    <w:p>
      <w:pPr>
        <w:jc w:val="left"/>
      </w:pPr>
      <w:r>
        <w:rPr>
          <w:rFonts w:ascii="Arial" w:hAnsi="Arial"/>
          <w:color w:val="17242A"/>
          <w:sz w:val="21"/>
        </w:rPr>
        <w:t>Alpath Engineering intends to comply with all confirmed proposal and contract requirements. The supplied file contains Attachment A only; the complete RFP, Section 5 Scope of Services, addenda, evaluation criteria, mandatory certifications, contract terms, insurance requirements, submission instructions, and other attachments must be reviewed before Alpath can make a final compliance certification.</w:t>
      </w:r>
    </w:p>
    <w:p>
      <w:pPr>
        <w:pStyle w:val="Confirmation"/>
      </w:pPr>
      <w:r>
        <w:rPr>
          <w:highlight w:val="yellow"/>
        </w:rPr>
        <w:t>[TO CONFIRM: complete a requirement-by-requirement compliance review using the full RFP and all addenda]</w:t>
      </w:r>
    </w:p>
    <w:p>
      <w:pPr>
        <w:pStyle w:val="SectionLabel"/>
      </w:pPr>
      <w:r>
        <w:t>SECTION 14F</w:t>
      </w:r>
    </w:p>
    <w:p>
      <w:pPr>
        <w:pStyle w:val="Heading1"/>
      </w:pPr>
      <w:r>
        <w:t>Cost Proposal</w:t>
      </w:r>
    </w:p>
    <w:p>
      <w:pPr>
        <w:jc w:val="left"/>
      </w:pPr>
      <w:r>
        <w:rPr>
          <w:rFonts w:ascii="Arial" w:hAnsi="Arial"/>
          <w:color w:val="17242A"/>
          <w:sz w:val="21"/>
        </w:rPr>
        <w:t>Complete Attachment A-1. Price Proposals shall be saved in a separate file or sealed in a separate smaller envelope and submitted with the Submittal Packet.</w:t>
      </w:r>
    </w:p>
    <w:p>
      <w:pPr>
        <w:jc w:val="left"/>
      </w:pPr>
      <w:r>
        <w:rPr>
          <w:rFonts w:ascii="Arial" w:hAnsi="Arial"/>
          <w:color w:val="17242A"/>
          <w:sz w:val="21"/>
        </w:rPr>
        <w:t>Attachment A-1 was not included in the supplied Submittal Packet file. No price, licensing assumption, hosting amount, migration allowance, optional enhancement, or professional-services fee is inserted here.</w:t>
      </w:r>
    </w:p>
    <w:p>
      <w:pPr>
        <w:pStyle w:val="Confirmation"/>
      </w:pPr>
      <w:r>
        <w:rPr>
          <w:highlight w:val="yellow"/>
        </w:rPr>
        <w:t>[TO CONFIRM: obtain and complete Attachment A-1 as a separate price-proposal file before submission]</w:t>
      </w:r>
    </w:p>
    <w:p>
      <w:pPr>
        <w:pStyle w:val="SectionLabel"/>
      </w:pPr>
      <w:r>
        <w:t>SECTION 14G</w:t>
      </w:r>
    </w:p>
    <w:p>
      <w:pPr>
        <w:pStyle w:val="Heading1"/>
      </w:pPr>
      <w:r>
        <w:t>Legal Action</w:t>
      </w:r>
    </w:p>
    <w:p>
      <w:pPr>
        <w:jc w:val="left"/>
      </w:pPr>
      <w:r>
        <w:rPr>
          <w:rFonts w:ascii="Arial" w:hAnsi="Arial"/>
          <w:color w:val="17242A"/>
          <w:sz w:val="21"/>
        </w:rPr>
        <w:t>Disclose any current or recent (within past five years) legal action in progress or taken against the firm or individuals. If there is no current or recent legal action, write “NONE” in the space below.</w:t>
      </w:r>
    </w:p>
    <w:p>
      <w:pPr>
        <w:pStyle w:val="Confirmation"/>
      </w:pPr>
      <w:r>
        <w:rPr>
          <w:highlight w:val="yellow"/>
        </w:rPr>
        <w:t>[TO CONFIRM: owner or legal counsel must write NONE or provide the required legal-action disclosure]</w:t>
      </w:r>
    </w:p>
    <w:p>
      <w:pPr>
        <w:pStyle w:val="SectionLabel"/>
      </w:pPr>
      <w:r>
        <w:t>SECTION 14H</w:t>
      </w:r>
    </w:p>
    <w:p>
      <w:pPr>
        <w:pStyle w:val="Heading1"/>
      </w:pPr>
      <w:r>
        <w:t>Disclosure</w:t>
      </w:r>
    </w:p>
    <w:p>
      <w:pPr>
        <w:jc w:val="left"/>
      </w:pPr>
      <w:r>
        <w:rPr>
          <w:rFonts w:ascii="Arial" w:hAnsi="Arial"/>
          <w:color w:val="17242A"/>
          <w:sz w:val="21"/>
        </w:rPr>
        <w:t>List all business transactions and relations within the past five years that may create or be perceived to create a conflict of interest. Any business dealings or recommendations of a product or firm that may conflict with this project shall be disclosed. If there are no conflicts of interest, write “NONE” in the space below.</w:t>
      </w:r>
    </w:p>
    <w:p>
      <w:pPr>
        <w:pStyle w:val="Confirmation"/>
      </w:pPr>
      <w:r>
        <w:rPr>
          <w:highlight w:val="yellow"/>
        </w:rPr>
        <w:t>[TO CONFIRM: owner or legal counsel must write NONE or provide the required conflict-of-interest disclosure]</w:t>
      </w:r>
    </w:p>
    <w:p>
      <w:r>
        <w:br w:type="page"/>
      </w:r>
    </w:p>
    <w:p>
      <w:pPr>
        <w:pStyle w:val="SectionLabel"/>
      </w:pPr>
      <w:r>
        <w:t>SECTION 14I</w:t>
      </w:r>
    </w:p>
    <w:p>
      <w:pPr>
        <w:pStyle w:val="Heading1"/>
      </w:pPr>
      <w:r>
        <w:t>Non Disclosure Request</w:t>
      </w:r>
    </w:p>
    <w:p>
      <w:pPr>
        <w:jc w:val="left"/>
      </w:pPr>
      <w:r>
        <w:rPr>
          <w:rFonts w:ascii="Arial" w:hAnsi="Arial"/>
          <w:color w:val="17242A"/>
          <w:sz w:val="21"/>
        </w:rPr>
        <w:t>If you believe any statements or items you submit to the County as part of this submittal/response are exempt from public disclosure under the Washington Public Records Act (PRA), you must identify and list them below. You must very clearly and specifically identify each statement or item, and the specific exemption that applies. If awarded a County contract, the same exemption request will carry forward to the contract records.</w:t>
      </w:r>
    </w:p>
    <w:p>
      <w:pPr>
        <w:jc w:val="left"/>
      </w:pPr>
      <w:r>
        <w:rPr>
          <w:rFonts w:ascii="Arial" w:hAnsi="Arial"/>
          <w:color w:val="17242A"/>
          <w:sz w:val="21"/>
        </w:rPr>
        <w:t>The County will not exempt materials from disclosure simply because you mark them with a document header or footer, page stamp, or a generic statement that a document is non-disclosable, exempt, confidential, proprietary, or protected. You may not identify the entire page, unless the entire page is within the exemption scope.</w:t>
      </w:r>
    </w:p>
    <w:p>
      <w:pPr>
        <w:jc w:val="left"/>
      </w:pPr>
      <w:r>
        <w:rPr>
          <w:rFonts w:ascii="Arial" w:hAnsi="Arial"/>
          <w:color w:val="17242A"/>
          <w:sz w:val="21"/>
        </w:rPr>
        <w:t>If the County receives a request under the PRA to inspect or copy the information so identified by you and the County determines that release of the information is required by the PRA or otherwise appropriate, the County’s sole obligations shall be to notify you (a) of the request and (b) of the date that such information will be released to the requester unless you obtain a court order to enjoin that disclosure pursuant to RCW 42.56.540. If you fail to timely obtain a court order enjoining disclosure, the County will release the requested information on the date specified.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c>
          <w:tcPr>
            <w:tcW w:type="dxa" w:w="720"/>
            <w:vAlign w:val="center"/>
            <w:tcMar>
              <w:top w:w="80" w:type="dxa"/>
              <w:start w:w="120" w:type="dxa"/>
              <w:bottom w:w="80" w:type="dxa"/>
              <w:end w:w="120" w:type="dxa"/>
            </w:tcMar>
          </w:tcPr>
          <w:p>
            <w:pPr>
              <w:spacing w:after="0" w:line="259" w:lineRule="auto"/>
              <w:jc w:val="left"/>
            </w:pPr>
            <w:r>
              <w:rPr>
                <w:rFonts w:ascii="Arial" w:hAnsi="Arial"/>
                <w:b w:val="0"/>
                <w:color w:val="17242A"/>
                <w:sz w:val="19"/>
              </w:rPr>
              <w:t>☐</w:t>
            </w:r>
          </w:p>
        </w:tc>
        <w:tc>
          <w:tcPr>
            <w:tcW w:type="dxa" w:w="9648"/>
            <w:vAlign w:val="center"/>
            <w:tcMar>
              <w:top w:w="80" w:type="dxa"/>
              <w:start w:w="120" w:type="dxa"/>
              <w:bottom w:w="80" w:type="dxa"/>
              <w:end w:w="120" w:type="dxa"/>
            </w:tcMar>
          </w:tcPr>
          <w:p>
            <w:pPr>
              <w:spacing w:after="0" w:line="259" w:lineRule="auto"/>
              <w:jc w:val="left"/>
            </w:pPr>
            <w:r>
              <w:rPr>
                <w:rFonts w:ascii="Arial" w:hAnsi="Arial"/>
                <w:b w:val="0"/>
                <w:color w:val="17242A"/>
                <w:sz w:val="19"/>
              </w:rPr>
              <w:t>I do not request any information be withheld</w:t>
            </w:r>
          </w:p>
        </w:tc>
      </w:tr>
      <w:tr>
        <w:tc>
          <w:tcPr>
            <w:tcW w:type="dxa" w:w="720"/>
            <w:vAlign w:val="center"/>
            <w:tcMar>
              <w:top w:w="80" w:type="dxa"/>
              <w:start w:w="120" w:type="dxa"/>
              <w:bottom w:w="80" w:type="dxa"/>
              <w:end w:w="120" w:type="dxa"/>
            </w:tcMar>
          </w:tcPr>
          <w:p>
            <w:pPr>
              <w:spacing w:after="0" w:line="259" w:lineRule="auto"/>
              <w:jc w:val="left"/>
            </w:pPr>
            <w:r>
              <w:rPr>
                <w:rFonts w:ascii="Arial" w:hAnsi="Arial"/>
                <w:b w:val="0"/>
                <w:color w:val="17242A"/>
                <w:sz w:val="19"/>
              </w:rPr>
              <w:t>☐</w:t>
            </w:r>
          </w:p>
        </w:tc>
        <w:tc>
          <w:tcPr>
            <w:tcW w:type="dxa" w:w="9648"/>
            <w:vAlign w:val="center"/>
            <w:tcMar>
              <w:top w:w="80" w:type="dxa"/>
              <w:start w:w="120" w:type="dxa"/>
              <w:bottom w:w="80" w:type="dxa"/>
              <w:end w:w="120" w:type="dxa"/>
            </w:tcMar>
          </w:tcPr>
          <w:p>
            <w:pPr>
              <w:spacing w:after="0" w:line="259" w:lineRule="auto"/>
              <w:jc w:val="left"/>
            </w:pPr>
            <w:r>
              <w:rPr>
                <w:rFonts w:ascii="Arial" w:hAnsi="Arial"/>
                <w:b w:val="0"/>
                <w:color w:val="17242A"/>
                <w:sz w:val="19"/>
              </w:rPr>
              <w:t>I request the following specific information be withheld. I understand that all other information will be considered public information.</w:t>
            </w:r>
          </w:p>
        </w:tc>
      </w:tr>
    </w:tbl>
    <w:p>
      <w:pPr>
        <w:pStyle w:val="Confirmation"/>
      </w:pPr>
      <w:r>
        <w:rPr>
          <w:highlight w:val="yellow"/>
        </w:rPr>
        <w:t>[TO CONFIRM: owner or legal counsel must select exactly one non-disclosure option]</w:t>
      </w:r>
    </w:p>
    <w:p>
      <w:pPr>
        <w:jc w:val="left"/>
      </w:pPr>
      <w:r>
        <w:rPr>
          <w:rFonts w:ascii="Arial" w:hAnsi="Arial"/>
          <w:color w:val="17242A"/>
          <w:sz w:val="21"/>
        </w:rPr>
        <w:t>For each statement or item you intend to withhold, you must fill out every box below. You should not request an entire page withheld; only request the specific portion subject to the exemption.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448"/>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Document page</w:t>
              <w:br/>
              <w:t>Specify the page number where the material appears</w:t>
            </w:r>
          </w:p>
        </w:tc>
        <w:tc>
          <w:tcPr>
            <w:tcW w:type="dxa" w:w="468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Statement</w:t>
              <w:br/>
              <w:t>Repeat the exact text or attach a redacted version</w:t>
            </w:r>
          </w:p>
        </w:tc>
        <w:tc>
          <w:tcPr>
            <w:tcW w:type="dxa" w:w="3240"/>
            <w:shd w:fill="17242A" w:val="clear"/>
            <w:vAlign w:val="center"/>
            <w:tcMar>
              <w:top w:w="80" w:type="dxa"/>
              <w:start w:w="120" w:type="dxa"/>
              <w:bottom w:w="80" w:type="dxa"/>
              <w:end w:w="120" w:type="dxa"/>
            </w:tcMar>
          </w:tcPr>
          <w:p>
            <w:pPr>
              <w:spacing w:after="0" w:line="259" w:lineRule="auto"/>
              <w:jc w:val="left"/>
            </w:pPr>
            <w:r>
              <w:rPr>
                <w:rFonts w:ascii="Arial" w:hAnsi="Arial"/>
                <w:b/>
                <w:color w:val="FFFFFF"/>
                <w:sz w:val="18"/>
              </w:rPr>
              <w:t>RCW exemption</w:t>
              <w:br/>
              <w:t>Specify the exemption and subheading</w:t>
            </w:r>
          </w:p>
        </w:tc>
      </w:tr>
      <w:tr>
        <w:tc>
          <w:tcPr>
            <w:tcW w:type="dxa" w:w="2448"/>
            <w:vAlign w:val="center"/>
            <w:tcMar>
              <w:top w:w="80" w:type="dxa"/>
              <w:start w:w="120" w:type="dxa"/>
              <w:bottom w:w="80" w:type="dxa"/>
              <w:end w:w="120" w:type="dxa"/>
            </w:tcMar>
          </w:tcPr>
          <w:p>
            <w:pPr>
              <w:spacing w:after="0" w:line="259" w:lineRule="auto"/>
              <w:jc w:val="left"/>
            </w:pPr>
            <w:r>
              <w:rPr>
                <w:rFonts w:ascii="Arial" w:hAnsi="Arial"/>
                <w:b/>
                <w:color w:val="17242A"/>
                <w:sz w:val="18"/>
              </w:rPr>
              <w:t>[TO CONFIRM if applicable]</w:t>
            </w:r>
          </w:p>
        </w:tc>
        <w:tc>
          <w:tcPr>
            <w:tcW w:type="dxa" w:w="4680"/>
            <w:vAlign w:val="center"/>
            <w:tcMar>
              <w:top w:w="80" w:type="dxa"/>
              <w:start w:w="120" w:type="dxa"/>
              <w:bottom w:w="80" w:type="dxa"/>
              <w:end w:w="120" w:type="dxa"/>
            </w:tcMar>
          </w:tcPr>
          <w:p>
            <w:pPr>
              <w:spacing w:after="0" w:line="259" w:lineRule="auto"/>
              <w:jc w:val="left"/>
            </w:pPr>
            <w:r>
              <w:rPr>
                <w:rFonts w:ascii="Arial" w:hAnsi="Arial"/>
                <w:b w:val="0"/>
                <w:color w:val="17242A"/>
                <w:sz w:val="18"/>
              </w:rPr>
              <w:t>[TO CONFIRM if applicable]</w:t>
            </w:r>
          </w:p>
        </w:tc>
        <w:tc>
          <w:tcPr>
            <w:tcW w:type="dxa" w:w="3240"/>
            <w:vAlign w:val="center"/>
            <w:tcMar>
              <w:top w:w="80" w:type="dxa"/>
              <w:start w:w="120" w:type="dxa"/>
              <w:bottom w:w="80" w:type="dxa"/>
              <w:end w:w="120" w:type="dxa"/>
            </w:tcMar>
          </w:tcPr>
          <w:p>
            <w:pPr>
              <w:spacing w:after="0" w:line="259" w:lineRule="auto"/>
              <w:jc w:val="left"/>
            </w:pPr>
            <w:r>
              <w:rPr>
                <w:rFonts w:ascii="Arial" w:hAnsi="Arial"/>
                <w:b w:val="0"/>
                <w:color w:val="17242A"/>
                <w:sz w:val="18"/>
              </w:rPr>
              <w:t>[TO CONFIRM if applicable]</w:t>
            </w:r>
          </w:p>
        </w:tc>
      </w:tr>
      <w:tr>
        <w:tc>
          <w:tcPr>
            <w:tcW w:type="dxa" w:w="2448"/>
            <w:shd w:fill="F2F3F2" w:val="clear"/>
            <w:vAlign w:val="center"/>
            <w:tcMar>
              <w:top w:w="80" w:type="dxa"/>
              <w:start w:w="120" w:type="dxa"/>
              <w:bottom w:w="80" w:type="dxa"/>
              <w:end w:w="120" w:type="dxa"/>
            </w:tcMar>
          </w:tcPr>
          <w:p>
            <w:pPr>
              <w:spacing w:after="0" w:line="259" w:lineRule="auto"/>
              <w:jc w:val="left"/>
            </w:pPr>
            <w:r>
              <w:rPr>
                <w:rFonts w:ascii="Arial" w:hAnsi="Arial"/>
                <w:b/>
                <w:color w:val="17242A"/>
                <w:sz w:val="18"/>
              </w:rPr>
            </w:r>
          </w:p>
        </w:tc>
        <w:tc>
          <w:tcPr>
            <w:tcW w:type="dxa" w:w="4680"/>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r>
          </w:p>
        </w:tc>
        <w:tc>
          <w:tcPr>
            <w:tcW w:type="dxa" w:w="3240"/>
            <w:shd w:fill="F2F3F2" w:val="clear"/>
            <w:vAlign w:val="center"/>
            <w:tcMar>
              <w:top w:w="80" w:type="dxa"/>
              <w:start w:w="120" w:type="dxa"/>
              <w:bottom w:w="80" w:type="dxa"/>
              <w:end w:w="120" w:type="dxa"/>
            </w:tcMar>
          </w:tcPr>
          <w:p>
            <w:pPr>
              <w:spacing w:after="0" w:line="259" w:lineRule="auto"/>
              <w:jc w:val="left"/>
            </w:pPr>
            <w:r>
              <w:rPr>
                <w:rFonts w:ascii="Arial" w:hAnsi="Arial"/>
                <w:b w:val="0"/>
                <w:color w:val="17242A"/>
                <w:sz w:val="18"/>
              </w:rPr>
            </w:r>
          </w:p>
        </w:tc>
      </w:tr>
      <w:tr>
        <w:tc>
          <w:tcPr>
            <w:tcW w:type="dxa" w:w="2448"/>
            <w:vAlign w:val="center"/>
            <w:tcMar>
              <w:top w:w="80" w:type="dxa"/>
              <w:start w:w="120" w:type="dxa"/>
              <w:bottom w:w="80" w:type="dxa"/>
              <w:end w:w="120" w:type="dxa"/>
            </w:tcMar>
          </w:tcPr>
          <w:p>
            <w:pPr>
              <w:spacing w:after="0" w:line="259" w:lineRule="auto"/>
              <w:jc w:val="left"/>
            </w:pPr>
            <w:r>
              <w:rPr>
                <w:rFonts w:ascii="Arial" w:hAnsi="Arial"/>
                <w:b/>
                <w:color w:val="17242A"/>
                <w:sz w:val="18"/>
              </w:rPr>
            </w:r>
          </w:p>
        </w:tc>
        <w:tc>
          <w:tcPr>
            <w:tcW w:type="dxa" w:w="4680"/>
            <w:vAlign w:val="center"/>
            <w:tcMar>
              <w:top w:w="80" w:type="dxa"/>
              <w:start w:w="120" w:type="dxa"/>
              <w:bottom w:w="80" w:type="dxa"/>
              <w:end w:w="120" w:type="dxa"/>
            </w:tcMar>
          </w:tcPr>
          <w:p>
            <w:pPr>
              <w:spacing w:after="0" w:line="259" w:lineRule="auto"/>
              <w:jc w:val="left"/>
            </w:pPr>
            <w:r>
              <w:rPr>
                <w:rFonts w:ascii="Arial" w:hAnsi="Arial"/>
                <w:b w:val="0"/>
                <w:color w:val="17242A"/>
                <w:sz w:val="18"/>
              </w:rPr>
            </w:r>
          </w:p>
        </w:tc>
        <w:tc>
          <w:tcPr>
            <w:tcW w:type="dxa" w:w="3240"/>
            <w:vAlign w:val="center"/>
            <w:tcMar>
              <w:top w:w="80" w:type="dxa"/>
              <w:start w:w="120" w:type="dxa"/>
              <w:bottom w:w="80" w:type="dxa"/>
              <w:end w:w="120" w:type="dxa"/>
            </w:tcMar>
          </w:tcPr>
          <w:p>
            <w:pPr>
              <w:spacing w:after="0" w:line="259" w:lineRule="auto"/>
              <w:jc w:val="left"/>
            </w:pPr>
            <w:r>
              <w:rPr>
                <w:rFonts w:ascii="Arial" w:hAnsi="Arial"/>
                <w:b w:val="0"/>
                <w:color w:val="17242A"/>
                <w:sz w:val="18"/>
              </w:rPr>
            </w:r>
          </w:p>
        </w:tc>
      </w:tr>
    </w:tbl>
    <w:p>
      <w:pPr>
        <w:spacing w:after="20"/>
      </w:pPr>
    </w:p>
    <w:p>
      <w:pPr>
        <w:jc w:val="left"/>
      </w:pPr>
      <w:r>
        <w:rPr>
          <w:rFonts w:ascii="Arial" w:hAnsi="Arial"/>
          <w:color w:val="17242A"/>
          <w:sz w:val="21"/>
        </w:rPr>
        <w:t>For this request to be valid, you must specify the RCW provision or other State or Federal law that designates the document as exempt from disclosure. For example, potential RCW exemptions include the following:</w:t>
      </w:r>
    </w:p>
    <w:p>
      <w:pPr>
        <w:spacing w:after="120"/>
        <w:ind w:left="360" w:hanging="360"/>
        <w:jc w:val="left"/>
      </w:pPr>
      <w:r>
        <w:rPr>
          <w:rFonts w:ascii="Arial" w:hAnsi="Arial"/>
          <w:b/>
          <w:color w:val="B3262E"/>
          <w:sz w:val="21"/>
        </w:rPr>
        <w:t xml:space="preserve">1.  </w:t>
      </w:r>
      <w:r>
        <w:rPr>
          <w:rFonts w:ascii="Arial" w:hAnsi="Arial"/>
          <w:b/>
          <w:color w:val="17242A"/>
          <w:sz w:val="21"/>
        </w:rPr>
        <w:t xml:space="preserve">RCW 42.56.230.3 - Personal information - Taxpayer. </w:t>
      </w:r>
      <w:r>
        <w:rPr>
          <w:rFonts w:ascii="Arial" w:hAnsi="Arial"/>
          <w:color w:val="17242A"/>
          <w:sz w:val="21"/>
        </w:rPr>
      </w:r>
    </w:p>
    <w:p>
      <w:pPr>
        <w:spacing w:after="120"/>
        <w:ind w:left="360" w:hanging="360"/>
        <w:jc w:val="left"/>
      </w:pPr>
      <w:r>
        <w:rPr>
          <w:rFonts w:ascii="Arial" w:hAnsi="Arial"/>
          <w:b/>
          <w:color w:val="B3262E"/>
          <w:sz w:val="21"/>
        </w:rPr>
        <w:t xml:space="preserve">2.  </w:t>
      </w:r>
      <w:r>
        <w:rPr>
          <w:rFonts w:ascii="Arial" w:hAnsi="Arial"/>
          <w:b/>
          <w:color w:val="17242A"/>
          <w:sz w:val="21"/>
        </w:rPr>
        <w:t xml:space="preserve">RCW 42.56.230.4 - Personal information - Credit card numbers and related. </w:t>
      </w:r>
      <w:r>
        <w:rPr>
          <w:rFonts w:ascii="Arial" w:hAnsi="Arial"/>
          <w:color w:val="17242A"/>
          <w:sz w:val="21"/>
        </w:rPr>
      </w:r>
    </w:p>
    <w:p>
      <w:pPr>
        <w:spacing w:after="120"/>
        <w:ind w:left="360" w:hanging="360"/>
        <w:jc w:val="left"/>
      </w:pPr>
      <w:r>
        <w:rPr>
          <w:rFonts w:ascii="Arial" w:hAnsi="Arial"/>
          <w:b/>
          <w:color w:val="B3262E"/>
          <w:sz w:val="21"/>
        </w:rPr>
        <w:t xml:space="preserve">3.  </w:t>
      </w:r>
      <w:r>
        <w:rPr>
          <w:rFonts w:ascii="Arial" w:hAnsi="Arial"/>
          <w:b/>
          <w:color w:val="17242A"/>
          <w:sz w:val="21"/>
        </w:rPr>
        <w:t xml:space="preserve">RCW 42.56.240 - Investigative, law enforcement and crime victims. </w:t>
      </w:r>
      <w:r>
        <w:rPr>
          <w:rFonts w:ascii="Arial" w:hAnsi="Arial"/>
          <w:color w:val="17242A"/>
          <w:sz w:val="21"/>
        </w:rPr>
      </w:r>
    </w:p>
    <w:p>
      <w:pPr>
        <w:spacing w:after="120"/>
        <w:ind w:left="360" w:hanging="360"/>
        <w:jc w:val="left"/>
      </w:pPr>
      <w:r>
        <w:rPr>
          <w:rFonts w:ascii="Arial" w:hAnsi="Arial"/>
          <w:b/>
          <w:color w:val="B3262E"/>
          <w:sz w:val="21"/>
        </w:rPr>
        <w:t xml:space="preserve">4.  </w:t>
      </w:r>
      <w:r>
        <w:rPr>
          <w:rFonts w:ascii="Arial" w:hAnsi="Arial"/>
          <w:b/>
          <w:color w:val="17242A"/>
          <w:sz w:val="21"/>
        </w:rPr>
        <w:t xml:space="preserve">RCW 42.56.250 - Employment and licensing - specify the applicable subheading. </w:t>
      </w:r>
      <w:r>
        <w:rPr>
          <w:rFonts w:ascii="Arial" w:hAnsi="Arial"/>
          <w:color w:val="17242A"/>
          <w:sz w:val="21"/>
        </w:rPr>
      </w:r>
    </w:p>
    <w:p>
      <w:pPr>
        <w:spacing w:after="120"/>
        <w:ind w:left="360" w:hanging="360"/>
        <w:jc w:val="left"/>
      </w:pPr>
      <w:r>
        <w:rPr>
          <w:rFonts w:ascii="Arial" w:hAnsi="Arial"/>
          <w:b/>
          <w:color w:val="B3262E"/>
          <w:sz w:val="21"/>
        </w:rPr>
        <w:t xml:space="preserve">5.  </w:t>
      </w:r>
      <w:r>
        <w:rPr>
          <w:rFonts w:ascii="Arial" w:hAnsi="Arial"/>
          <w:b/>
          <w:color w:val="17242A"/>
          <w:sz w:val="21"/>
        </w:rPr>
        <w:t xml:space="preserve">RCW 42.56.260 - Real estate appraisals. </w:t>
      </w:r>
      <w:r>
        <w:rPr>
          <w:rFonts w:ascii="Arial" w:hAnsi="Arial"/>
          <w:color w:val="17242A"/>
          <w:sz w:val="21"/>
        </w:rPr>
      </w:r>
    </w:p>
    <w:p>
      <w:pPr>
        <w:spacing w:after="120"/>
        <w:ind w:left="360" w:hanging="360"/>
        <w:jc w:val="left"/>
      </w:pPr>
      <w:r>
        <w:rPr>
          <w:rFonts w:ascii="Arial" w:hAnsi="Arial"/>
          <w:b/>
          <w:color w:val="B3262E"/>
          <w:sz w:val="21"/>
        </w:rPr>
        <w:t xml:space="preserve">6.  </w:t>
      </w:r>
      <w:r>
        <w:rPr>
          <w:rFonts w:ascii="Arial" w:hAnsi="Arial"/>
          <w:b/>
          <w:color w:val="17242A"/>
          <w:sz w:val="21"/>
        </w:rPr>
        <w:t xml:space="preserve">RCW 42.56.270 (Items 1-17) - specify applicable subheading. </w:t>
      </w:r>
      <w:r>
        <w:rPr>
          <w:rFonts w:ascii="Arial" w:hAnsi="Arial"/>
          <w:color w:val="17242A"/>
          <w:sz w:val="21"/>
        </w:rPr>
      </w:r>
    </w:p>
    <w:p>
      <w:pPr>
        <w:spacing w:after="120"/>
        <w:ind w:left="360" w:hanging="360"/>
        <w:jc w:val="left"/>
      </w:pPr>
      <w:r>
        <w:rPr>
          <w:rFonts w:ascii="Arial" w:hAnsi="Arial"/>
          <w:b/>
          <w:color w:val="B3262E"/>
          <w:sz w:val="21"/>
        </w:rPr>
        <w:t xml:space="preserve">7.  </w:t>
      </w:r>
      <w:r>
        <w:rPr>
          <w:rFonts w:ascii="Arial" w:hAnsi="Arial"/>
          <w:b/>
          <w:color w:val="17242A"/>
          <w:sz w:val="21"/>
        </w:rPr>
        <w:t xml:space="preserve">RCW 42.56.420 - Security. </w:t>
      </w:r>
      <w:r>
        <w:rPr>
          <w:rFonts w:ascii="Arial" w:hAnsi="Arial"/>
          <w:color w:val="17242A"/>
          <w:sz w:val="21"/>
        </w:rPr>
      </w:r>
    </w:p>
    <w:p>
      <w:pPr>
        <w:pStyle w:val="Confirmation"/>
      </w:pPr>
      <w:r>
        <w:rPr>
          <w:highlight w:val="yellow"/>
        </w:rPr>
        <w:t>[TO CONFIRM: obtain legal review before asserting an exemption under the Washington Public Records Act]</w:t>
      </w:r>
    </w:p>
    <w:sectPr w:rsidR="00805FF7" w:rsidRPr="00805FF7" w:rsidSect="0031663A">
      <w:headerReference w:type="default" r:id="rId13"/>
      <w:footerReference w:type="default" r:id="rId16"/>
      <w:type w:val="continuous"/>
      <w:pgSz w:w="12240" w:h="15840" w:code="1"/>
      <w:pgMar w:top="893" w:right="936" w:bottom="835" w:left="936" w:header="317" w:footer="36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FF01" w14:textId="77777777" w:rsidR="0042432D" w:rsidRDefault="0042432D" w:rsidP="00FF54CB">
      <w:r>
        <w:separator/>
      </w:r>
    </w:p>
  </w:endnote>
  <w:endnote w:type="continuationSeparator" w:id="0">
    <w:p w14:paraId="2C4B297E" w14:textId="77777777" w:rsidR="0042432D" w:rsidRDefault="0042432D" w:rsidP="00FF54CB">
      <w:r>
        <w:continuationSeparator/>
      </w:r>
    </w:p>
  </w:endnote>
  <w:endnote w:type="continuationNotice" w:id="1">
    <w:p w14:paraId="05766711" w14:textId="77777777" w:rsidR="0042432D" w:rsidRDefault="0042432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8BAD" w14:textId="4955F081" w:rsidR="00805FF7" w:rsidRDefault="005B73F2" w:rsidP="000F72C5">
    <w:pPr>
      <w:pStyle w:val="Footer"/>
      <w:spacing w:after="0"/>
      <w:rPr>
        <w:b/>
        <w:bCs/>
      </w:rPr>
    </w:pPr>
    <w:r w:rsidRPr="00450D11">
      <w:t>RFP</w:t>
    </w:r>
    <w:r w:rsidR="009E4040">
      <w:t>-25-0606BC</w:t>
    </w:r>
    <w:r w:rsidRPr="00450D11">
      <w:ptab w:relativeTo="margin" w:alignment="center" w:leader="none"/>
    </w:r>
    <w:r w:rsidR="009E4040">
      <w:t>Web Design, Hosting and CMS Solution</w:t>
    </w:r>
    <w:r w:rsidRPr="00450D11">
      <w:ptab w:relativeTo="margin" w:alignment="right" w:leader="none"/>
    </w:r>
    <w:r w:rsidR="00CE051B" w:rsidRPr="00CE051B">
      <w:t xml:space="preserve">Page </w:t>
    </w:r>
    <w:r w:rsidR="00CE051B" w:rsidRPr="00CE051B">
      <w:rPr>
        <w:b/>
        <w:bCs/>
      </w:rPr>
      <w:fldChar w:fldCharType="begin"/>
    </w:r>
    <w:r w:rsidR="00CE051B" w:rsidRPr="00CE051B">
      <w:rPr>
        <w:b/>
        <w:bCs/>
      </w:rPr>
      <w:instrText xml:space="preserve"> PAGE  \* Arabic  \* MERGEFORMAT </w:instrText>
    </w:r>
    <w:r w:rsidR="00CE051B" w:rsidRPr="00CE051B">
      <w:rPr>
        <w:b/>
        <w:bCs/>
      </w:rPr>
      <w:fldChar w:fldCharType="separate"/>
    </w:r>
    <w:r w:rsidR="00CE051B" w:rsidRPr="00CE051B">
      <w:rPr>
        <w:b/>
        <w:bCs/>
        <w:noProof/>
      </w:rPr>
      <w:t>1</w:t>
    </w:r>
    <w:r w:rsidR="00CE051B" w:rsidRPr="00CE051B">
      <w:rPr>
        <w:b/>
        <w:bCs/>
      </w:rPr>
      <w:fldChar w:fldCharType="end"/>
    </w:r>
    <w:r w:rsidR="00CE051B" w:rsidRPr="00CE051B">
      <w:t xml:space="preserve"> of </w:t>
    </w:r>
    <w:r w:rsidR="00805FF7">
      <w:rPr>
        <w:b/>
        <w:bCs/>
      </w:rPr>
      <w:fldChar w:fldCharType="begin"/>
    </w:r>
    <w:r w:rsidR="00805FF7">
      <w:rPr>
        <w:b/>
        <w:bCs/>
      </w:rPr>
      <w:instrText xml:space="preserve"> NUMPAGES  \* Arabic  \* MERGEFORMAT </w:instrText>
    </w:r>
    <w:r w:rsidR="00805FF7">
      <w:rPr>
        <w:b/>
        <w:bCs/>
      </w:rPr>
      <w:fldChar w:fldCharType="separate"/>
    </w:r>
    <w:r w:rsidR="00805FF7">
      <w:rPr>
        <w:b/>
        <w:bCs/>
        <w:noProof/>
      </w:rPr>
      <w:t>8</w:t>
    </w:r>
    <w:r w:rsidR="00805FF7">
      <w:rPr>
        <w:b/>
        <w:bCs/>
      </w:rPr>
      <w:fldChar w:fldCharType="end"/>
    </w:r>
  </w:p>
  <w:p w14:paraId="01DC7C19" w14:textId="70F73A18" w:rsidR="005B73F2" w:rsidRDefault="007621CD" w:rsidP="000F72C5">
    <w:pPr>
      <w:pStyle w:val="Footer"/>
      <w:spacing w:after="0"/>
    </w:pPr>
    <w:r>
      <w:t>Submittal Packet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2592"/>
          <w:tcMar>
            <w:top w:w="35" w:type="dxa"/>
            <w:start w:w="0" w:type="dxa"/>
            <w:bottom w:w="0" w:type="dxa"/>
            <w:end w:w="0" w:type="dxa"/>
          </w:tcMar>
        </w:tcPr>
        <w:p>
          <w:pPr>
            <w:spacing w:after="0"/>
            <w:jc w:val="left"/>
          </w:pPr>
          <w:r>
            <w:rPr>
              <w:rFonts w:ascii="Arial" w:hAnsi="Arial"/>
              <w:color w:val="49585D"/>
              <w:sz w:val="16"/>
            </w:rPr>
            <w:t>Alpath Engineering</w:t>
          </w:r>
        </w:p>
      </w:tc>
      <w:tc>
        <w:tcPr>
          <w:tcW w:type="dxa" w:w="5328"/>
          <w:tcMar>
            <w:top w:w="35" w:type="dxa"/>
            <w:start w:w="0" w:type="dxa"/>
            <w:bottom w:w="0" w:type="dxa"/>
            <w:end w:w="0" w:type="dxa"/>
          </w:tcMar>
        </w:tcPr>
        <w:p>
          <w:pPr>
            <w:spacing w:after="0"/>
            <w:jc w:val="center"/>
          </w:pPr>
          <w:r>
            <w:rPr>
              <w:rFonts w:ascii="Arial" w:hAnsi="Arial"/>
              <w:color w:val="49585D"/>
              <w:sz w:val="16"/>
            </w:rPr>
            <w:t>Web Design Hosting and CMS Solution</w:t>
          </w:r>
        </w:p>
      </w:tc>
      <w:tc>
        <w:tcPr>
          <w:tcW w:type="dxa" w:w="2448"/>
          <w:tcMar>
            <w:top w:w="35" w:type="dxa"/>
            <w:start w:w="0" w:type="dxa"/>
            <w:bottom w:w="0" w:type="dxa"/>
            <w:end w:w="0" w:type="dxa"/>
          </w:tcMar>
        </w:tcPr>
        <w:p>
          <w:pPr>
            <w:spacing w:after="0"/>
            <w:jc w:val="right"/>
          </w:pPr>
          <w:r>
            <w:rPr>
              <w:rFonts w:ascii="Arial" w:hAnsi="Arial"/>
              <w:color w:val="49585D"/>
              <w:sz w:val="16"/>
            </w:rPr>
            <w:t xml:space="preserve">Page </w:t>
          </w:r>
          <w:fldSimple w:instr="PAGE">
            <w:r>
              <w:rPr>
                <w:color w:val="49585D"/>
                <w:sz w:val="16"/>
              </w:rPr>
              <w:t>1</w:t>
            </w:r>
          </w:fldSimple>
          <w:r>
            <w:rPr>
              <w:rFonts w:ascii="Arial" w:hAnsi="Arial"/>
              <w:color w:val="49585D"/>
              <w:sz w:val="16"/>
            </w:rPr>
            <w:t xml:space="preserve"> of </w:t>
          </w:r>
          <w:fldSimple w:instr="NUMPAGES">
            <w:r>
              <w:rPr>
                <w:color w:val="49585D"/>
                <w:sz w:val="16"/>
              </w:rPr>
              <w:t>1</w:t>
            </w:r>
          </w:fldSimpl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AA5A" w14:textId="77777777" w:rsidR="0042432D" w:rsidRDefault="0042432D" w:rsidP="00FF54CB">
      <w:r>
        <w:separator/>
      </w:r>
    </w:p>
  </w:footnote>
  <w:footnote w:type="continuationSeparator" w:id="0">
    <w:p w14:paraId="5593EC23" w14:textId="77777777" w:rsidR="0042432D" w:rsidRDefault="0042432D" w:rsidP="00FF54CB">
      <w:r>
        <w:continuationSeparator/>
      </w:r>
    </w:p>
  </w:footnote>
  <w:footnote w:type="continuationNotice" w:id="1">
    <w:p w14:paraId="1E009697" w14:textId="77777777" w:rsidR="0042432D" w:rsidRDefault="0042432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8DE7" w14:textId="27E69102" w:rsidR="007C32CA" w:rsidRDefault="007C32CA" w:rsidP="001B3F7C">
    <w:pPr>
      <w:pStyle w:val="Header"/>
      <w:spacing w:after="0" w:line="276" w:lineRule="auto"/>
      <w:jc w:val="right"/>
    </w:pPr>
    <w:r w:rsidRPr="00646341">
      <w:rPr>
        <w:noProof/>
      </w:rPr>
      <w:drawing>
        <wp:inline distT="0" distB="0" distL="0" distR="0" wp14:anchorId="5355B7D7" wp14:editId="1A7AA333">
          <wp:extent cx="5943600" cy="563880"/>
          <wp:effectExtent l="0" t="0" r="5080" b="7620"/>
          <wp:docPr id="9" name="Picture 9" descr="Header image from the supplied Snohomish County packet" title="Header image from the supplied Snohomish County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43600" cy="5638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760"/>
          <w:tcMar>
            <w:top w:w="0" w:type="dxa"/>
            <w:start w:w="0" w:type="dxa"/>
            <w:bottom w:w="40" w:type="dxa"/>
            <w:end w:w="0" w:type="dxa"/>
          </w:tcMar>
        </w:tcPr>
        <w:p>
          <w:pPr>
            <w:spacing w:after="0"/>
            <w:jc w:val="left"/>
          </w:pPr>
          <w:r>
            <w:drawing>
              <wp:inline xmlns:a="http://schemas.openxmlformats.org/drawingml/2006/main" xmlns:pic="http://schemas.openxmlformats.org/drawingml/2006/picture">
                <wp:extent cx="201168" cy="201168"/>
                <wp:docPr id="1" name="Picture 1" descr="Alpath Engineering logo" title="Alpath Engineering logo"/>
                <wp:cNvGraphicFramePr>
                  <a:graphicFrameLocks noChangeAspect="1"/>
                </wp:cNvGraphicFramePr>
                <a:graphic>
                  <a:graphicData uri="http://schemas.openxmlformats.org/drawingml/2006/picture">
                    <pic:pic>
                      <pic:nvPicPr>
                        <pic:cNvPr id="0" name="web-app-manifest-512x512.png"/>
                        <pic:cNvPicPr/>
                      </pic:nvPicPr>
                      <pic:blipFill>
                        <a:blip r:embed="rId1"/>
                        <a:stretch>
                          <a:fillRect/>
                        </a:stretch>
                      </pic:blipFill>
                      <pic:spPr>
                        <a:xfrm>
                          <a:off x="0" y="0"/>
                          <a:ext cx="201168" cy="201168"/>
                        </a:xfrm>
                        <a:prstGeom prst="rect"/>
                      </pic:spPr>
                    </pic:pic>
                  </a:graphicData>
                </a:graphic>
              </wp:inline>
            </w:drawing>
          </w:r>
          <w:r>
            <w:rPr>
              <w:rFonts w:ascii="Arial" w:hAnsi="Arial"/>
              <w:b/>
              <w:color w:val="17242A"/>
              <w:sz w:val="21"/>
            </w:rPr>
            <w:t xml:space="preserve">  Alpath Engineering</w:t>
          </w:r>
        </w:p>
      </w:tc>
      <w:tc>
        <w:tcPr>
          <w:tcW w:type="dxa" w:w="4608"/>
          <w:tcMar>
            <w:top w:w="0" w:type="dxa"/>
            <w:start w:w="0" w:type="dxa"/>
            <w:bottom w:w="40" w:type="dxa"/>
            <w:end w:w="0" w:type="dxa"/>
          </w:tcMar>
        </w:tcPr>
        <w:p>
          <w:pPr>
            <w:spacing w:after="0"/>
            <w:jc w:val="right"/>
          </w:pPr>
          <w:r>
            <w:rPr>
              <w:rFonts w:ascii="Arial" w:hAnsi="Arial"/>
              <w:b/>
              <w:color w:val="49585D"/>
              <w:sz w:val="16"/>
            </w:rPr>
            <w:t>RFP-25-0606BC</w:t>
            <w:br/>
            <w:t>SUBMITTAL PACKET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DEA11FE"/>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5887766"/>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00000006"/>
    <w:multiLevelType w:val="multilevel"/>
    <w:tmpl w:val="00000000"/>
    <w:lvl w:ilvl="0">
      <w:start w:val="1"/>
      <w:numFmt w:val="upperLetter"/>
      <w:pStyle w:val="Level1"/>
      <w:lvlText w:val="  %1."/>
      <w:lvlJc w:val="left"/>
      <w:pPr>
        <w:tabs>
          <w:tab w:val="num" w:pos="720"/>
        </w:tabs>
        <w:ind w:left="720" w:hanging="720"/>
      </w:pPr>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3" w15:restartNumberingAfterBreak="0">
    <w:nsid w:val="06065221"/>
    <w:multiLevelType w:val="singleLevel"/>
    <w:tmpl w:val="EC04D42C"/>
    <w:lvl w:ilvl="0">
      <w:start w:val="1"/>
      <w:numFmt w:val="upperLetter"/>
      <w:pStyle w:val="Heading8"/>
      <w:lvlText w:val="%1."/>
      <w:lvlJc w:val="left"/>
      <w:pPr>
        <w:tabs>
          <w:tab w:val="num" w:pos="360"/>
        </w:tabs>
        <w:ind w:left="360" w:hanging="360"/>
      </w:pPr>
    </w:lvl>
  </w:abstractNum>
  <w:abstractNum w:abstractNumId="4" w15:restartNumberingAfterBreak="0">
    <w:nsid w:val="0B1544CF"/>
    <w:multiLevelType w:val="hybridMultilevel"/>
    <w:tmpl w:val="6C440830"/>
    <w:lvl w:ilvl="0" w:tplc="7BCC9DA4">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F6195"/>
    <w:multiLevelType w:val="singleLevel"/>
    <w:tmpl w:val="7368EF8E"/>
    <w:lvl w:ilvl="0">
      <w:start w:val="1"/>
      <w:numFmt w:val="lowerLetter"/>
      <w:pStyle w:val="Stepa"/>
      <w:lvlText w:val="%1."/>
      <w:lvlJc w:val="left"/>
      <w:pPr>
        <w:tabs>
          <w:tab w:val="num" w:pos="864"/>
        </w:tabs>
        <w:ind w:left="864" w:hanging="432"/>
      </w:pPr>
      <w:rPr>
        <w:rFonts w:hint="default"/>
      </w:rPr>
    </w:lvl>
  </w:abstractNum>
  <w:abstractNum w:abstractNumId="6" w15:restartNumberingAfterBreak="0">
    <w:nsid w:val="0BFC6C76"/>
    <w:multiLevelType w:val="singleLevel"/>
    <w:tmpl w:val="DA801D54"/>
    <w:lvl w:ilvl="0">
      <w:start w:val="1"/>
      <w:numFmt w:val="upperLetter"/>
      <w:pStyle w:val="StepA0"/>
      <w:lvlText w:val="%1."/>
      <w:lvlJc w:val="left"/>
      <w:pPr>
        <w:tabs>
          <w:tab w:val="num" w:pos="432"/>
        </w:tabs>
        <w:ind w:left="432" w:hanging="432"/>
      </w:pPr>
      <w:rPr>
        <w:rFonts w:hint="default"/>
      </w:rPr>
    </w:lvl>
  </w:abstractNum>
  <w:abstractNum w:abstractNumId="7" w15:restartNumberingAfterBreak="0">
    <w:nsid w:val="0E09320D"/>
    <w:multiLevelType w:val="hybridMultilevel"/>
    <w:tmpl w:val="F62A683E"/>
    <w:lvl w:ilvl="0" w:tplc="A5FE8BAC">
      <w:start w:val="1"/>
      <w:numFmt w:val="upperLetter"/>
      <w:pStyle w:val="Level3RFP"/>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E394CC0"/>
    <w:multiLevelType w:val="hybridMultilevel"/>
    <w:tmpl w:val="B63A8040"/>
    <w:lvl w:ilvl="0" w:tplc="6E2053F0">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EE060CC0">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2866C3"/>
    <w:multiLevelType w:val="hybridMultilevel"/>
    <w:tmpl w:val="42BEEF8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0F0F5E"/>
    <w:multiLevelType w:val="hybridMultilevel"/>
    <w:tmpl w:val="0602F4B4"/>
    <w:lvl w:ilvl="0" w:tplc="C5D6343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72725"/>
    <w:multiLevelType w:val="multilevel"/>
    <w:tmpl w:val="BC5A703E"/>
    <w:lvl w:ilvl="0">
      <w:start w:val="1"/>
      <w:numFmt w:val="decimal"/>
      <w:pStyle w:val="ITBLevel1"/>
      <w:lvlText w:val="Section %1"/>
      <w:lvlJc w:val="left"/>
      <w:pPr>
        <w:tabs>
          <w:tab w:val="num" w:pos="1800"/>
        </w:tabs>
        <w:ind w:left="1800" w:hanging="1800"/>
      </w:pPr>
      <w:rPr>
        <w:rFonts w:ascii="Arial Bold" w:hAnsi="Arial Bold" w:cs="Times New Roman" w:hint="default"/>
        <w:b/>
        <w:bCs w:val="0"/>
        <w:i w:val="0"/>
        <w:iCs w:val="0"/>
        <w:caps/>
        <w:smallCaps w:val="0"/>
        <w:strike w:val="0"/>
        <w:dstrike w:val="0"/>
        <w:noProof w:val="0"/>
        <w:vanish w:val="0"/>
        <w:color w:val="000000"/>
        <w:spacing w:val="0"/>
        <w:kern w:val="0"/>
        <w:position w:val="0"/>
        <w:sz w:val="24"/>
        <w:szCs w:val="24"/>
        <w:u w:val="none"/>
        <w:vertAlign w:val="baseline"/>
        <w:em w:val="none"/>
      </w:rPr>
    </w:lvl>
    <w:lvl w:ilvl="1">
      <w:start w:val="1"/>
      <w:numFmt w:val="decimal"/>
      <w:pStyle w:val="ITBLevel2"/>
      <w:lvlText w:val="%1.%2"/>
      <w:lvlJc w:val="left"/>
      <w:pPr>
        <w:tabs>
          <w:tab w:val="num" w:pos="720"/>
        </w:tabs>
        <w:ind w:left="0" w:firstLine="0"/>
      </w:pPr>
      <w:rPr>
        <w:rFonts w:ascii="Arial Bold" w:hAnsi="Arial Bold" w:hint="default"/>
        <w:b/>
        <w:i w:val="0"/>
        <w:color w:val="auto"/>
        <w:sz w:val="22"/>
        <w:szCs w:val="22"/>
      </w:rPr>
    </w:lvl>
    <w:lvl w:ilvl="2">
      <w:start w:val="1"/>
      <w:numFmt w:val="upperLetter"/>
      <w:pStyle w:val="ITBLevel3"/>
      <w:lvlText w:val="%3."/>
      <w:lvlJc w:val="left"/>
      <w:pPr>
        <w:tabs>
          <w:tab w:val="num" w:pos="1267"/>
        </w:tabs>
        <w:ind w:left="1267" w:hanging="547"/>
      </w:pPr>
      <w:rPr>
        <w:rFonts w:ascii="Arial" w:hAnsi="Arial" w:hint="default"/>
        <w:b w:val="0"/>
        <w:i w:val="0"/>
        <w:sz w:val="22"/>
        <w:szCs w:val="22"/>
      </w:rPr>
    </w:lvl>
    <w:lvl w:ilvl="3">
      <w:start w:val="1"/>
      <w:numFmt w:val="decimal"/>
      <w:pStyle w:val="ITBLevel4"/>
      <w:lvlText w:val="%4."/>
      <w:lvlJc w:val="left"/>
      <w:pPr>
        <w:tabs>
          <w:tab w:val="num" w:pos="1800"/>
        </w:tabs>
        <w:ind w:left="1800" w:hanging="533"/>
      </w:pPr>
      <w:rPr>
        <w:rFonts w:ascii="Arial" w:hAnsi="Arial" w:hint="default"/>
        <w:b w:val="0"/>
        <w:i w:val="0"/>
        <w:sz w:val="22"/>
        <w:szCs w:val="22"/>
      </w:rPr>
    </w:lvl>
    <w:lvl w:ilvl="4">
      <w:start w:val="1"/>
      <w:numFmt w:val="lowerLetter"/>
      <w:pStyle w:val="ITBLevel5"/>
      <w:lvlText w:val="%5."/>
      <w:lvlJc w:val="left"/>
      <w:pPr>
        <w:tabs>
          <w:tab w:val="num" w:pos="2347"/>
        </w:tabs>
        <w:ind w:left="2347" w:hanging="547"/>
      </w:pPr>
      <w:rPr>
        <w:rFonts w:ascii="Arial" w:hAnsi="Arial" w:hint="default"/>
        <w:b w:val="0"/>
        <w:i w:val="0"/>
        <w:sz w:val="22"/>
        <w:szCs w:val="22"/>
      </w:rPr>
    </w:lvl>
    <w:lvl w:ilvl="5">
      <w:start w:val="1"/>
      <w:numFmt w:val="decimal"/>
      <w:pStyle w:val="ITBLevel6"/>
      <w:lvlText w:val="(%6)"/>
      <w:lvlJc w:val="left"/>
      <w:pPr>
        <w:tabs>
          <w:tab w:val="num" w:pos="2880"/>
        </w:tabs>
        <w:ind w:left="2880" w:hanging="533"/>
      </w:pPr>
      <w:rPr>
        <w:rFonts w:ascii="Arial" w:hAnsi="Arial" w:hint="default"/>
        <w:b w:val="0"/>
        <w:i w:val="0"/>
        <w:sz w:val="22"/>
      </w:rPr>
    </w:lvl>
    <w:lvl w:ilvl="6">
      <w:start w:val="1"/>
      <w:numFmt w:val="decimal"/>
      <w:lvlText w:val="%1.%2.%3.%4.%5.%6.%7."/>
      <w:lvlJc w:val="left"/>
      <w:pPr>
        <w:tabs>
          <w:tab w:val="num" w:pos="3060"/>
        </w:tabs>
        <w:ind w:left="2700" w:hanging="1080"/>
      </w:pPr>
      <w:rPr>
        <w:rFonts w:hint="default"/>
      </w:rPr>
    </w:lvl>
    <w:lvl w:ilvl="7">
      <w:start w:val="1"/>
      <w:numFmt w:val="decimal"/>
      <w:lvlText w:val="%1.%2.%3.%4.%5.%6.%7.%8."/>
      <w:lvlJc w:val="left"/>
      <w:pPr>
        <w:tabs>
          <w:tab w:val="num" w:pos="3420"/>
        </w:tabs>
        <w:ind w:left="3204" w:hanging="1224"/>
      </w:pPr>
      <w:rPr>
        <w:rFonts w:hint="default"/>
      </w:rPr>
    </w:lvl>
    <w:lvl w:ilvl="8">
      <w:start w:val="1"/>
      <w:numFmt w:val="decimal"/>
      <w:lvlText w:val="%1.%2.%3.%4.%5.%6.%7.%8.%9."/>
      <w:lvlJc w:val="left"/>
      <w:pPr>
        <w:tabs>
          <w:tab w:val="num" w:pos="4140"/>
        </w:tabs>
        <w:ind w:left="3780" w:hanging="1440"/>
      </w:pPr>
      <w:rPr>
        <w:rFonts w:hint="default"/>
      </w:rPr>
    </w:lvl>
  </w:abstractNum>
  <w:abstractNum w:abstractNumId="12" w15:restartNumberingAfterBreak="0">
    <w:nsid w:val="1DE63753"/>
    <w:multiLevelType w:val="hybridMultilevel"/>
    <w:tmpl w:val="481A987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8C01A7"/>
    <w:multiLevelType w:val="singleLevel"/>
    <w:tmpl w:val="8780CBCA"/>
    <w:lvl w:ilvl="0">
      <w:start w:val="1"/>
      <w:numFmt w:val="lowerLetter"/>
      <w:pStyle w:val="Styleind9-a"/>
      <w:lvlText w:val="(%1)"/>
      <w:lvlJc w:val="left"/>
      <w:pPr>
        <w:tabs>
          <w:tab w:val="num" w:pos="360"/>
        </w:tabs>
        <w:ind w:left="360" w:hanging="360"/>
      </w:pPr>
    </w:lvl>
  </w:abstractNum>
  <w:abstractNum w:abstractNumId="14" w15:restartNumberingAfterBreak="0">
    <w:nsid w:val="22AF3B60"/>
    <w:multiLevelType w:val="singleLevel"/>
    <w:tmpl w:val="55E24D2E"/>
    <w:lvl w:ilvl="0">
      <w:start w:val="1"/>
      <w:numFmt w:val="bullet"/>
      <w:pStyle w:val="Bullet1"/>
      <w:lvlText w:val=""/>
      <w:lvlJc w:val="left"/>
      <w:pPr>
        <w:tabs>
          <w:tab w:val="num" w:pos="432"/>
        </w:tabs>
        <w:ind w:left="432" w:hanging="432"/>
      </w:pPr>
      <w:rPr>
        <w:rFonts w:ascii="Symbol" w:hAnsi="Symbol" w:hint="default"/>
      </w:rPr>
    </w:lvl>
  </w:abstractNum>
  <w:abstractNum w:abstractNumId="15" w15:restartNumberingAfterBreak="0">
    <w:nsid w:val="32E3684D"/>
    <w:multiLevelType w:val="hybridMultilevel"/>
    <w:tmpl w:val="4B50CC5C"/>
    <w:lvl w:ilvl="0" w:tplc="943A225C">
      <w:start w:val="1"/>
      <w:numFmt w:val="decimal"/>
      <w:pStyle w:val="List1"/>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AD1E36"/>
    <w:multiLevelType w:val="multilevel"/>
    <w:tmpl w:val="B14088F8"/>
    <w:styleLink w:val="RFP"/>
    <w:lvl w:ilvl="0">
      <w:start w:val="1"/>
      <w:numFmt w:val="decimal"/>
      <w:pStyle w:val="Heading2"/>
      <w:isLgl/>
      <w:lvlText w:val="%1."/>
      <w:lvlJc w:val="left"/>
      <w:pPr>
        <w:tabs>
          <w:tab w:val="num" w:pos="720"/>
        </w:tabs>
        <w:ind w:left="720" w:hanging="360"/>
      </w:pPr>
      <w:rPr>
        <w:rFonts w:hint="default"/>
        <w:b/>
        <w:bCs w:val="0"/>
      </w:rPr>
    </w:lvl>
    <w:lvl w:ilvl="1">
      <w:start w:val="1"/>
      <w:numFmt w:val="lowerLetter"/>
      <w:pStyle w:val="RFPA"/>
      <w:lvlText w:val="%2."/>
      <w:lvlJc w:val="left"/>
      <w:pPr>
        <w:tabs>
          <w:tab w:val="num" w:pos="1080"/>
        </w:tabs>
        <w:ind w:left="1440" w:hanging="360"/>
      </w:pPr>
      <w:rPr>
        <w:rFonts w:hint="default"/>
      </w:rPr>
    </w:lvl>
    <w:lvl w:ilvl="2">
      <w:start w:val="1"/>
      <w:numFmt w:val="lowerRoman"/>
      <w:pStyle w:val="RFPLevel3"/>
      <w:lvlText w:val="%3."/>
      <w:lvlJc w:val="right"/>
      <w:pPr>
        <w:tabs>
          <w:tab w:val="num" w:pos="2160"/>
        </w:tabs>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E922FAF"/>
    <w:multiLevelType w:val="hybridMultilevel"/>
    <w:tmpl w:val="56E0535E"/>
    <w:lvl w:ilvl="0" w:tplc="9B9AE832">
      <w:start w:val="1"/>
      <w:numFmt w:val="decimal"/>
      <w:pStyle w:val="RFPISCHED"/>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2C7B7E"/>
    <w:multiLevelType w:val="hybridMultilevel"/>
    <w:tmpl w:val="C77EC49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2E1009"/>
    <w:multiLevelType w:val="hybridMultilevel"/>
    <w:tmpl w:val="9C921560"/>
    <w:lvl w:ilvl="0" w:tplc="7D046110">
      <w:start w:val="1"/>
      <w:numFmt w:val="upperLetter"/>
      <w:lvlText w:val="%1."/>
      <w:lvlJc w:val="left"/>
      <w:pPr>
        <w:ind w:left="720" w:hanging="360"/>
      </w:pPr>
    </w:lvl>
    <w:lvl w:ilvl="1" w:tplc="171C0A76">
      <w:start w:val="1"/>
      <w:numFmt w:val="lowerLetter"/>
      <w:lvlText w:val="%2."/>
      <w:lvlJc w:val="left"/>
      <w:pPr>
        <w:ind w:left="1440" w:hanging="360"/>
      </w:pPr>
    </w:lvl>
    <w:lvl w:ilvl="2" w:tplc="D2BC16F6">
      <w:start w:val="1"/>
      <w:numFmt w:val="lowerRoman"/>
      <w:lvlText w:val="%3."/>
      <w:lvlJc w:val="right"/>
      <w:pPr>
        <w:ind w:left="2160" w:hanging="180"/>
      </w:pPr>
    </w:lvl>
    <w:lvl w:ilvl="3" w:tplc="55982B5C">
      <w:start w:val="1"/>
      <w:numFmt w:val="decimal"/>
      <w:lvlText w:val="%4."/>
      <w:lvlJc w:val="left"/>
      <w:pPr>
        <w:ind w:left="2880" w:hanging="360"/>
      </w:pPr>
    </w:lvl>
    <w:lvl w:ilvl="4" w:tplc="B780405A">
      <w:start w:val="1"/>
      <w:numFmt w:val="lowerLetter"/>
      <w:lvlText w:val="%5."/>
      <w:lvlJc w:val="left"/>
      <w:pPr>
        <w:ind w:left="3600" w:hanging="360"/>
      </w:pPr>
    </w:lvl>
    <w:lvl w:ilvl="5" w:tplc="0A26A5A2">
      <w:start w:val="1"/>
      <w:numFmt w:val="lowerRoman"/>
      <w:lvlText w:val="%6."/>
      <w:lvlJc w:val="right"/>
      <w:pPr>
        <w:ind w:left="4320" w:hanging="180"/>
      </w:pPr>
    </w:lvl>
    <w:lvl w:ilvl="6" w:tplc="E9C6D548">
      <w:start w:val="1"/>
      <w:numFmt w:val="decimal"/>
      <w:lvlText w:val="%7."/>
      <w:lvlJc w:val="left"/>
      <w:pPr>
        <w:ind w:left="5040" w:hanging="360"/>
      </w:pPr>
    </w:lvl>
    <w:lvl w:ilvl="7" w:tplc="A86E0268">
      <w:start w:val="1"/>
      <w:numFmt w:val="lowerLetter"/>
      <w:lvlText w:val="%8."/>
      <w:lvlJc w:val="left"/>
      <w:pPr>
        <w:ind w:left="5760" w:hanging="360"/>
      </w:pPr>
    </w:lvl>
    <w:lvl w:ilvl="8" w:tplc="92C64A7C">
      <w:start w:val="1"/>
      <w:numFmt w:val="lowerRoman"/>
      <w:lvlText w:val="%9."/>
      <w:lvlJc w:val="right"/>
      <w:pPr>
        <w:ind w:left="6480" w:hanging="180"/>
      </w:pPr>
    </w:lvl>
  </w:abstractNum>
  <w:abstractNum w:abstractNumId="20" w15:restartNumberingAfterBreak="0">
    <w:nsid w:val="5E645DA9"/>
    <w:multiLevelType w:val="singleLevel"/>
    <w:tmpl w:val="016A8AEE"/>
    <w:lvl w:ilvl="0">
      <w:start w:val="1"/>
      <w:numFmt w:val="decimal"/>
      <w:pStyle w:val="Step3"/>
      <w:lvlText w:val="%1."/>
      <w:lvlJc w:val="left"/>
      <w:pPr>
        <w:tabs>
          <w:tab w:val="num" w:pos="864"/>
        </w:tabs>
        <w:ind w:left="864" w:hanging="432"/>
      </w:pPr>
      <w:rPr>
        <w:rFonts w:hint="default"/>
      </w:rPr>
    </w:lvl>
  </w:abstractNum>
  <w:abstractNum w:abstractNumId="21" w15:restartNumberingAfterBreak="0">
    <w:nsid w:val="5E693B0E"/>
    <w:multiLevelType w:val="singleLevel"/>
    <w:tmpl w:val="43C6936C"/>
    <w:lvl w:ilvl="0">
      <w:start w:val="1"/>
      <w:numFmt w:val="decimal"/>
      <w:pStyle w:val="Step1"/>
      <w:lvlText w:val="%1."/>
      <w:lvlJc w:val="left"/>
      <w:pPr>
        <w:tabs>
          <w:tab w:val="num" w:pos="432"/>
        </w:tabs>
        <w:ind w:left="432" w:hanging="432"/>
      </w:pPr>
      <w:rPr>
        <w:rFonts w:hint="default"/>
      </w:rPr>
    </w:lvl>
  </w:abstractNum>
  <w:abstractNum w:abstractNumId="22" w15:restartNumberingAfterBreak="0">
    <w:nsid w:val="65B75CA1"/>
    <w:multiLevelType w:val="hybridMultilevel"/>
    <w:tmpl w:val="BE82304E"/>
    <w:lvl w:ilvl="0" w:tplc="7A487A12">
      <w:start w:val="1"/>
      <w:numFmt w:val="upperLetter"/>
      <w:pStyle w:val="Level3"/>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E72B50"/>
    <w:multiLevelType w:val="hybridMultilevel"/>
    <w:tmpl w:val="A3CA21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2A3239F"/>
    <w:multiLevelType w:val="hybridMultilevel"/>
    <w:tmpl w:val="4E4C4828"/>
    <w:lvl w:ilvl="0" w:tplc="CBC61A3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742F82"/>
    <w:multiLevelType w:val="hybridMultilevel"/>
    <w:tmpl w:val="627A4DB6"/>
    <w:lvl w:ilvl="0" w:tplc="BD2E0566">
      <w:start w:val="1"/>
      <w:numFmt w:val="decimal"/>
      <w:pStyle w:val="RFP1"/>
      <w:lvlText w:val="%1."/>
      <w:lvlJc w:val="left"/>
      <w:pPr>
        <w:ind w:left="720" w:hanging="288"/>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2B3E6B"/>
    <w:multiLevelType w:val="singleLevel"/>
    <w:tmpl w:val="71125236"/>
    <w:lvl w:ilvl="0">
      <w:start w:val="1"/>
      <w:numFmt w:val="bullet"/>
      <w:pStyle w:val="Bullet2"/>
      <w:lvlText w:val=""/>
      <w:lvlJc w:val="left"/>
      <w:pPr>
        <w:tabs>
          <w:tab w:val="num" w:pos="864"/>
        </w:tabs>
        <w:ind w:left="864" w:hanging="432"/>
      </w:pPr>
      <w:rPr>
        <w:rFonts w:ascii="Symbol" w:hAnsi="Symbol" w:hint="default"/>
      </w:rPr>
    </w:lvl>
  </w:abstractNum>
  <w:num w:numId="1" w16cid:durableId="1149899367">
    <w:abstractNumId w:val="19"/>
  </w:num>
  <w:num w:numId="2" w16cid:durableId="1293705568">
    <w:abstractNumId w:val="14"/>
  </w:num>
  <w:num w:numId="3" w16cid:durableId="792139968">
    <w:abstractNumId w:val="26"/>
  </w:num>
  <w:num w:numId="4" w16cid:durableId="1271665473">
    <w:abstractNumId w:val="21"/>
  </w:num>
  <w:num w:numId="5" w16cid:durableId="175115585">
    <w:abstractNumId w:val="20"/>
  </w:num>
  <w:num w:numId="6" w16cid:durableId="201750088">
    <w:abstractNumId w:val="5"/>
  </w:num>
  <w:num w:numId="7" w16cid:durableId="1663000975">
    <w:abstractNumId w:val="6"/>
  </w:num>
  <w:num w:numId="8" w16cid:durableId="1527282297">
    <w:abstractNumId w:val="13"/>
  </w:num>
  <w:num w:numId="9" w16cid:durableId="1132482239">
    <w:abstractNumId w:val="1"/>
  </w:num>
  <w:num w:numId="10" w16cid:durableId="1614246453">
    <w:abstractNumId w:val="0"/>
  </w:num>
  <w:num w:numId="11" w16cid:durableId="1621912233">
    <w:abstractNumId w:val="15"/>
  </w:num>
  <w:num w:numId="12" w16cid:durableId="761217714">
    <w:abstractNumId w:val="2"/>
    <w:lvlOverride w:ilvl="0">
      <w:startOverride w:val="1"/>
      <w:lvl w:ilvl="0">
        <w:start w:val="1"/>
        <w:numFmt w:val="decimal"/>
        <w:pStyle w:val="Level1"/>
        <w:lvlText w:val="  %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850796594">
    <w:abstractNumId w:val="11"/>
  </w:num>
  <w:num w:numId="14" w16cid:durableId="92408707">
    <w:abstractNumId w:val="3"/>
  </w:num>
  <w:num w:numId="15" w16cid:durableId="770468043">
    <w:abstractNumId w:val="22"/>
  </w:num>
  <w:num w:numId="16" w16cid:durableId="560289679">
    <w:abstractNumId w:val="25"/>
  </w:num>
  <w:num w:numId="17" w16cid:durableId="1585263231">
    <w:abstractNumId w:val="17"/>
  </w:num>
  <w:num w:numId="18" w16cid:durableId="1369453640">
    <w:abstractNumId w:val="7"/>
  </w:num>
  <w:num w:numId="19" w16cid:durableId="711198908">
    <w:abstractNumId w:val="8"/>
  </w:num>
  <w:num w:numId="20" w16cid:durableId="935871065">
    <w:abstractNumId w:val="24"/>
  </w:num>
  <w:num w:numId="21" w16cid:durableId="566958877">
    <w:abstractNumId w:val="10"/>
  </w:num>
  <w:num w:numId="22" w16cid:durableId="1334718178">
    <w:abstractNumId w:val="10"/>
  </w:num>
  <w:num w:numId="23" w16cid:durableId="174463647">
    <w:abstractNumId w:val="16"/>
  </w:num>
  <w:num w:numId="24" w16cid:durableId="20479477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7852187">
    <w:abstractNumId w:val="9"/>
  </w:num>
  <w:num w:numId="26" w16cid:durableId="1047533444">
    <w:abstractNumId w:val="12"/>
  </w:num>
  <w:num w:numId="27" w16cid:durableId="1293442989">
    <w:abstractNumId w:val="7"/>
    <w:lvlOverride w:ilvl="0">
      <w:startOverride w:val="1"/>
    </w:lvlOverride>
  </w:num>
  <w:num w:numId="28" w16cid:durableId="1998915915">
    <w:abstractNumId w:val="7"/>
    <w:lvlOverride w:ilvl="0">
      <w:startOverride w:val="1"/>
    </w:lvlOverride>
  </w:num>
  <w:num w:numId="29" w16cid:durableId="1867059488">
    <w:abstractNumId w:val="4"/>
  </w:num>
  <w:num w:numId="30" w16cid:durableId="1915772670">
    <w:abstractNumId w:val="23"/>
  </w:num>
  <w:num w:numId="31" w16cid:durableId="1360428351">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2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593"/>
    <w:rsid w:val="00011932"/>
    <w:rsid w:val="00013490"/>
    <w:rsid w:val="00015434"/>
    <w:rsid w:val="00015857"/>
    <w:rsid w:val="00024859"/>
    <w:rsid w:val="00030D01"/>
    <w:rsid w:val="000353F0"/>
    <w:rsid w:val="000354C3"/>
    <w:rsid w:val="00037C2E"/>
    <w:rsid w:val="000405C4"/>
    <w:rsid w:val="00043191"/>
    <w:rsid w:val="00045594"/>
    <w:rsid w:val="00046609"/>
    <w:rsid w:val="0005317C"/>
    <w:rsid w:val="00054C5C"/>
    <w:rsid w:val="00055B94"/>
    <w:rsid w:val="000572F0"/>
    <w:rsid w:val="00066CC7"/>
    <w:rsid w:val="00067C49"/>
    <w:rsid w:val="00070590"/>
    <w:rsid w:val="00070BF8"/>
    <w:rsid w:val="00073600"/>
    <w:rsid w:val="0007481D"/>
    <w:rsid w:val="00074C78"/>
    <w:rsid w:val="0007668E"/>
    <w:rsid w:val="00077979"/>
    <w:rsid w:val="0008179B"/>
    <w:rsid w:val="000830BF"/>
    <w:rsid w:val="00084AD1"/>
    <w:rsid w:val="00092E26"/>
    <w:rsid w:val="000947D4"/>
    <w:rsid w:val="00097B25"/>
    <w:rsid w:val="000A083D"/>
    <w:rsid w:val="000A66BB"/>
    <w:rsid w:val="000A6DF7"/>
    <w:rsid w:val="000B3821"/>
    <w:rsid w:val="000B4FC4"/>
    <w:rsid w:val="000C16F4"/>
    <w:rsid w:val="000C3DAB"/>
    <w:rsid w:val="000D04F9"/>
    <w:rsid w:val="000D2A05"/>
    <w:rsid w:val="000D3D83"/>
    <w:rsid w:val="000D44F1"/>
    <w:rsid w:val="000E097E"/>
    <w:rsid w:val="000E7E24"/>
    <w:rsid w:val="000F17F3"/>
    <w:rsid w:val="000F2773"/>
    <w:rsid w:val="000F47F2"/>
    <w:rsid w:val="000F52DA"/>
    <w:rsid w:val="000F72C5"/>
    <w:rsid w:val="00105D2B"/>
    <w:rsid w:val="00106C3D"/>
    <w:rsid w:val="00107566"/>
    <w:rsid w:val="0011220A"/>
    <w:rsid w:val="001159F0"/>
    <w:rsid w:val="00120062"/>
    <w:rsid w:val="00122D36"/>
    <w:rsid w:val="00123BA7"/>
    <w:rsid w:val="00123EB2"/>
    <w:rsid w:val="00124AC4"/>
    <w:rsid w:val="00136F77"/>
    <w:rsid w:val="001373BE"/>
    <w:rsid w:val="00142E8C"/>
    <w:rsid w:val="0014794C"/>
    <w:rsid w:val="0015213F"/>
    <w:rsid w:val="00152871"/>
    <w:rsid w:val="00154AB1"/>
    <w:rsid w:val="00161CE1"/>
    <w:rsid w:val="001620F1"/>
    <w:rsid w:val="0016719C"/>
    <w:rsid w:val="00174EF8"/>
    <w:rsid w:val="00175369"/>
    <w:rsid w:val="00175B59"/>
    <w:rsid w:val="001776EA"/>
    <w:rsid w:val="00180101"/>
    <w:rsid w:val="00180F94"/>
    <w:rsid w:val="001843DF"/>
    <w:rsid w:val="00185C47"/>
    <w:rsid w:val="00196069"/>
    <w:rsid w:val="0019772A"/>
    <w:rsid w:val="001A0F24"/>
    <w:rsid w:val="001A3B56"/>
    <w:rsid w:val="001A518F"/>
    <w:rsid w:val="001A6C49"/>
    <w:rsid w:val="001B1089"/>
    <w:rsid w:val="001B1DAC"/>
    <w:rsid w:val="001B2D36"/>
    <w:rsid w:val="001B3CC6"/>
    <w:rsid w:val="001B3F7C"/>
    <w:rsid w:val="001B6587"/>
    <w:rsid w:val="001B77A3"/>
    <w:rsid w:val="001C3904"/>
    <w:rsid w:val="001C7FDC"/>
    <w:rsid w:val="001E14AB"/>
    <w:rsid w:val="001E337C"/>
    <w:rsid w:val="001E7F2B"/>
    <w:rsid w:val="001F5126"/>
    <w:rsid w:val="001F73BC"/>
    <w:rsid w:val="00205C0B"/>
    <w:rsid w:val="00210FFE"/>
    <w:rsid w:val="00212E32"/>
    <w:rsid w:val="00213984"/>
    <w:rsid w:val="00213CE8"/>
    <w:rsid w:val="00222725"/>
    <w:rsid w:val="002269C5"/>
    <w:rsid w:val="00227743"/>
    <w:rsid w:val="00232B88"/>
    <w:rsid w:val="002361C4"/>
    <w:rsid w:val="002424C4"/>
    <w:rsid w:val="00243EA1"/>
    <w:rsid w:val="00245108"/>
    <w:rsid w:val="00245B19"/>
    <w:rsid w:val="002469DD"/>
    <w:rsid w:val="00260524"/>
    <w:rsid w:val="002635EB"/>
    <w:rsid w:val="00265CA1"/>
    <w:rsid w:val="00267C3A"/>
    <w:rsid w:val="00270880"/>
    <w:rsid w:val="00270A40"/>
    <w:rsid w:val="0027672A"/>
    <w:rsid w:val="00277536"/>
    <w:rsid w:val="00280669"/>
    <w:rsid w:val="00283C59"/>
    <w:rsid w:val="0028527B"/>
    <w:rsid w:val="00285D39"/>
    <w:rsid w:val="00291DD6"/>
    <w:rsid w:val="00295AA0"/>
    <w:rsid w:val="002A14C1"/>
    <w:rsid w:val="002A211B"/>
    <w:rsid w:val="002B1BAF"/>
    <w:rsid w:val="002C12C8"/>
    <w:rsid w:val="002C34C7"/>
    <w:rsid w:val="002C3D38"/>
    <w:rsid w:val="002C5475"/>
    <w:rsid w:val="002D0E8D"/>
    <w:rsid w:val="002D14B2"/>
    <w:rsid w:val="002D2D3F"/>
    <w:rsid w:val="002D31C2"/>
    <w:rsid w:val="002D3986"/>
    <w:rsid w:val="002E37B8"/>
    <w:rsid w:val="002E48FF"/>
    <w:rsid w:val="002E58A5"/>
    <w:rsid w:val="002E7444"/>
    <w:rsid w:val="002F0DF6"/>
    <w:rsid w:val="002F66C0"/>
    <w:rsid w:val="002F69C8"/>
    <w:rsid w:val="00305915"/>
    <w:rsid w:val="0031663A"/>
    <w:rsid w:val="003178C9"/>
    <w:rsid w:val="003203C4"/>
    <w:rsid w:val="00321218"/>
    <w:rsid w:val="00323A96"/>
    <w:rsid w:val="003255EA"/>
    <w:rsid w:val="00326776"/>
    <w:rsid w:val="00331EC2"/>
    <w:rsid w:val="0033374B"/>
    <w:rsid w:val="00341391"/>
    <w:rsid w:val="00341BAF"/>
    <w:rsid w:val="0034415E"/>
    <w:rsid w:val="00344954"/>
    <w:rsid w:val="00346521"/>
    <w:rsid w:val="00347958"/>
    <w:rsid w:val="00350DBB"/>
    <w:rsid w:val="0035411F"/>
    <w:rsid w:val="003554E1"/>
    <w:rsid w:val="0035638A"/>
    <w:rsid w:val="00360DF5"/>
    <w:rsid w:val="00366FF4"/>
    <w:rsid w:val="003739D2"/>
    <w:rsid w:val="003747E9"/>
    <w:rsid w:val="003805F0"/>
    <w:rsid w:val="00381D7F"/>
    <w:rsid w:val="00383E81"/>
    <w:rsid w:val="003978A4"/>
    <w:rsid w:val="003979FC"/>
    <w:rsid w:val="003A11E9"/>
    <w:rsid w:val="003A11F6"/>
    <w:rsid w:val="003A6A27"/>
    <w:rsid w:val="003A6BE2"/>
    <w:rsid w:val="003A7462"/>
    <w:rsid w:val="003B5F45"/>
    <w:rsid w:val="003B7293"/>
    <w:rsid w:val="003B796A"/>
    <w:rsid w:val="003B7990"/>
    <w:rsid w:val="003C24EF"/>
    <w:rsid w:val="003C5B09"/>
    <w:rsid w:val="003E09EB"/>
    <w:rsid w:val="003E1CD0"/>
    <w:rsid w:val="003E226A"/>
    <w:rsid w:val="003E40F7"/>
    <w:rsid w:val="003E51BA"/>
    <w:rsid w:val="003F0594"/>
    <w:rsid w:val="003F5B5A"/>
    <w:rsid w:val="003F6090"/>
    <w:rsid w:val="004001A0"/>
    <w:rsid w:val="004031FC"/>
    <w:rsid w:val="004032D6"/>
    <w:rsid w:val="0040734F"/>
    <w:rsid w:val="004101A6"/>
    <w:rsid w:val="004210D0"/>
    <w:rsid w:val="0042432D"/>
    <w:rsid w:val="004270FB"/>
    <w:rsid w:val="004376A0"/>
    <w:rsid w:val="00442B18"/>
    <w:rsid w:val="00442DC0"/>
    <w:rsid w:val="00443139"/>
    <w:rsid w:val="004436F5"/>
    <w:rsid w:val="004509EA"/>
    <w:rsid w:val="00450D11"/>
    <w:rsid w:val="004544E6"/>
    <w:rsid w:val="0045680A"/>
    <w:rsid w:val="00456934"/>
    <w:rsid w:val="004576C4"/>
    <w:rsid w:val="0046411D"/>
    <w:rsid w:val="00467DB4"/>
    <w:rsid w:val="00472E57"/>
    <w:rsid w:val="00475156"/>
    <w:rsid w:val="00476FFD"/>
    <w:rsid w:val="0047787F"/>
    <w:rsid w:val="00477C47"/>
    <w:rsid w:val="0048137A"/>
    <w:rsid w:val="00484223"/>
    <w:rsid w:val="004A15A5"/>
    <w:rsid w:val="004A2F3E"/>
    <w:rsid w:val="004A65F3"/>
    <w:rsid w:val="004B226D"/>
    <w:rsid w:val="004B3E48"/>
    <w:rsid w:val="004B41D0"/>
    <w:rsid w:val="004B77EA"/>
    <w:rsid w:val="004C3A5D"/>
    <w:rsid w:val="004C58D8"/>
    <w:rsid w:val="004D0268"/>
    <w:rsid w:val="004D2525"/>
    <w:rsid w:val="004D4250"/>
    <w:rsid w:val="004D589A"/>
    <w:rsid w:val="004D6973"/>
    <w:rsid w:val="004E0D76"/>
    <w:rsid w:val="004E156C"/>
    <w:rsid w:val="004E2147"/>
    <w:rsid w:val="004F1C36"/>
    <w:rsid w:val="004F1C37"/>
    <w:rsid w:val="004F30C4"/>
    <w:rsid w:val="004F7B05"/>
    <w:rsid w:val="005009C6"/>
    <w:rsid w:val="00501289"/>
    <w:rsid w:val="00511B82"/>
    <w:rsid w:val="00512F0C"/>
    <w:rsid w:val="0051715C"/>
    <w:rsid w:val="00522EA5"/>
    <w:rsid w:val="0052323C"/>
    <w:rsid w:val="0052381A"/>
    <w:rsid w:val="00526C6A"/>
    <w:rsid w:val="0053083B"/>
    <w:rsid w:val="005314D2"/>
    <w:rsid w:val="00536282"/>
    <w:rsid w:val="00540DE0"/>
    <w:rsid w:val="005420C4"/>
    <w:rsid w:val="0055043E"/>
    <w:rsid w:val="00552669"/>
    <w:rsid w:val="005624BB"/>
    <w:rsid w:val="00565670"/>
    <w:rsid w:val="005704FB"/>
    <w:rsid w:val="00573769"/>
    <w:rsid w:val="00573960"/>
    <w:rsid w:val="00574C71"/>
    <w:rsid w:val="00574FC6"/>
    <w:rsid w:val="00576438"/>
    <w:rsid w:val="0057669C"/>
    <w:rsid w:val="00585820"/>
    <w:rsid w:val="00593F16"/>
    <w:rsid w:val="005B03BF"/>
    <w:rsid w:val="005B543B"/>
    <w:rsid w:val="005B73F2"/>
    <w:rsid w:val="005C089C"/>
    <w:rsid w:val="005C157C"/>
    <w:rsid w:val="005D11B6"/>
    <w:rsid w:val="005D1BBF"/>
    <w:rsid w:val="005D2281"/>
    <w:rsid w:val="005E1132"/>
    <w:rsid w:val="005E2776"/>
    <w:rsid w:val="005E4CF5"/>
    <w:rsid w:val="005F0E99"/>
    <w:rsid w:val="005F2215"/>
    <w:rsid w:val="005F2780"/>
    <w:rsid w:val="005F40C5"/>
    <w:rsid w:val="005F4328"/>
    <w:rsid w:val="005F48E5"/>
    <w:rsid w:val="005F6370"/>
    <w:rsid w:val="0060200D"/>
    <w:rsid w:val="00603830"/>
    <w:rsid w:val="0060660B"/>
    <w:rsid w:val="00612F7B"/>
    <w:rsid w:val="00614022"/>
    <w:rsid w:val="0061463D"/>
    <w:rsid w:val="0061496E"/>
    <w:rsid w:val="00617528"/>
    <w:rsid w:val="0062298A"/>
    <w:rsid w:val="00627FFB"/>
    <w:rsid w:val="00630217"/>
    <w:rsid w:val="00636C92"/>
    <w:rsid w:val="00636FA7"/>
    <w:rsid w:val="0064080C"/>
    <w:rsid w:val="00642BBF"/>
    <w:rsid w:val="006433C9"/>
    <w:rsid w:val="00651A82"/>
    <w:rsid w:val="00651FF7"/>
    <w:rsid w:val="00656575"/>
    <w:rsid w:val="00657A66"/>
    <w:rsid w:val="00663C38"/>
    <w:rsid w:val="00665E09"/>
    <w:rsid w:val="00675BFA"/>
    <w:rsid w:val="00677F42"/>
    <w:rsid w:val="00683323"/>
    <w:rsid w:val="006850C9"/>
    <w:rsid w:val="0068612E"/>
    <w:rsid w:val="0069075F"/>
    <w:rsid w:val="00690A06"/>
    <w:rsid w:val="00693684"/>
    <w:rsid w:val="00693BC8"/>
    <w:rsid w:val="0069587F"/>
    <w:rsid w:val="00695F47"/>
    <w:rsid w:val="006A514D"/>
    <w:rsid w:val="006A57C0"/>
    <w:rsid w:val="006B1948"/>
    <w:rsid w:val="006B5564"/>
    <w:rsid w:val="006C65E3"/>
    <w:rsid w:val="006C6699"/>
    <w:rsid w:val="006D06B2"/>
    <w:rsid w:val="006E762C"/>
    <w:rsid w:val="006E77DF"/>
    <w:rsid w:val="006E7FD5"/>
    <w:rsid w:val="006F2138"/>
    <w:rsid w:val="006F3065"/>
    <w:rsid w:val="00704B96"/>
    <w:rsid w:val="007137A2"/>
    <w:rsid w:val="007153AD"/>
    <w:rsid w:val="007154CC"/>
    <w:rsid w:val="00715963"/>
    <w:rsid w:val="0072050C"/>
    <w:rsid w:val="00722076"/>
    <w:rsid w:val="007266DF"/>
    <w:rsid w:val="007269A7"/>
    <w:rsid w:val="00731BEF"/>
    <w:rsid w:val="007322EA"/>
    <w:rsid w:val="00740A5E"/>
    <w:rsid w:val="00744EF5"/>
    <w:rsid w:val="00745D23"/>
    <w:rsid w:val="00746F82"/>
    <w:rsid w:val="00756709"/>
    <w:rsid w:val="007621CD"/>
    <w:rsid w:val="0078275F"/>
    <w:rsid w:val="007927CC"/>
    <w:rsid w:val="0079519F"/>
    <w:rsid w:val="007A4C7C"/>
    <w:rsid w:val="007A72D2"/>
    <w:rsid w:val="007B1986"/>
    <w:rsid w:val="007B1EEF"/>
    <w:rsid w:val="007B1FB0"/>
    <w:rsid w:val="007B2615"/>
    <w:rsid w:val="007B2F46"/>
    <w:rsid w:val="007B674F"/>
    <w:rsid w:val="007C1153"/>
    <w:rsid w:val="007C32CA"/>
    <w:rsid w:val="007C6D8D"/>
    <w:rsid w:val="007D0F6E"/>
    <w:rsid w:val="007D1ED1"/>
    <w:rsid w:val="007D2006"/>
    <w:rsid w:val="007D3680"/>
    <w:rsid w:val="007D4426"/>
    <w:rsid w:val="007D5BCB"/>
    <w:rsid w:val="007D7DEC"/>
    <w:rsid w:val="007E2308"/>
    <w:rsid w:val="007E31AC"/>
    <w:rsid w:val="007E4270"/>
    <w:rsid w:val="007E4CBC"/>
    <w:rsid w:val="007E6A21"/>
    <w:rsid w:val="007E6CED"/>
    <w:rsid w:val="007E7DBC"/>
    <w:rsid w:val="007F04D4"/>
    <w:rsid w:val="007F347A"/>
    <w:rsid w:val="007F48BF"/>
    <w:rsid w:val="007F4A68"/>
    <w:rsid w:val="0080152A"/>
    <w:rsid w:val="00802944"/>
    <w:rsid w:val="00805DEE"/>
    <w:rsid w:val="00805FF7"/>
    <w:rsid w:val="00811A58"/>
    <w:rsid w:val="00815255"/>
    <w:rsid w:val="00816AEE"/>
    <w:rsid w:val="00827EA8"/>
    <w:rsid w:val="008369C8"/>
    <w:rsid w:val="0083799A"/>
    <w:rsid w:val="00840707"/>
    <w:rsid w:val="00841857"/>
    <w:rsid w:val="00843EE9"/>
    <w:rsid w:val="008440BC"/>
    <w:rsid w:val="008447FB"/>
    <w:rsid w:val="00847416"/>
    <w:rsid w:val="00851E1C"/>
    <w:rsid w:val="008521E8"/>
    <w:rsid w:val="00853DF9"/>
    <w:rsid w:val="00855E39"/>
    <w:rsid w:val="008605E4"/>
    <w:rsid w:val="00862920"/>
    <w:rsid w:val="00866309"/>
    <w:rsid w:val="00866A6A"/>
    <w:rsid w:val="00866B33"/>
    <w:rsid w:val="00866CBE"/>
    <w:rsid w:val="008757B0"/>
    <w:rsid w:val="00877A7A"/>
    <w:rsid w:val="00882093"/>
    <w:rsid w:val="008863EC"/>
    <w:rsid w:val="008867E8"/>
    <w:rsid w:val="00891B1C"/>
    <w:rsid w:val="00891ED1"/>
    <w:rsid w:val="00893E4E"/>
    <w:rsid w:val="008954A1"/>
    <w:rsid w:val="008A044B"/>
    <w:rsid w:val="008A49EC"/>
    <w:rsid w:val="008A5A41"/>
    <w:rsid w:val="008A6F17"/>
    <w:rsid w:val="008B6859"/>
    <w:rsid w:val="008C20A6"/>
    <w:rsid w:val="008C49DA"/>
    <w:rsid w:val="008C5001"/>
    <w:rsid w:val="008D1B07"/>
    <w:rsid w:val="008D414E"/>
    <w:rsid w:val="008D609A"/>
    <w:rsid w:val="008D6772"/>
    <w:rsid w:val="008E00DF"/>
    <w:rsid w:val="008E2874"/>
    <w:rsid w:val="008E50F2"/>
    <w:rsid w:val="008E6331"/>
    <w:rsid w:val="008E6967"/>
    <w:rsid w:val="008E6CAB"/>
    <w:rsid w:val="009027E7"/>
    <w:rsid w:val="00904EA9"/>
    <w:rsid w:val="0090502D"/>
    <w:rsid w:val="00913245"/>
    <w:rsid w:val="009133E5"/>
    <w:rsid w:val="0092060B"/>
    <w:rsid w:val="0092195B"/>
    <w:rsid w:val="00933093"/>
    <w:rsid w:val="0093483F"/>
    <w:rsid w:val="00936A13"/>
    <w:rsid w:val="00940D4E"/>
    <w:rsid w:val="00944154"/>
    <w:rsid w:val="00944FC0"/>
    <w:rsid w:val="00945CF4"/>
    <w:rsid w:val="009464E7"/>
    <w:rsid w:val="00951740"/>
    <w:rsid w:val="00952972"/>
    <w:rsid w:val="00952EBA"/>
    <w:rsid w:val="0095484A"/>
    <w:rsid w:val="00954D3E"/>
    <w:rsid w:val="00962B31"/>
    <w:rsid w:val="0096516E"/>
    <w:rsid w:val="00971D55"/>
    <w:rsid w:val="0097327C"/>
    <w:rsid w:val="009732B2"/>
    <w:rsid w:val="00975EF7"/>
    <w:rsid w:val="00975FCA"/>
    <w:rsid w:val="00976381"/>
    <w:rsid w:val="009768C3"/>
    <w:rsid w:val="00981F22"/>
    <w:rsid w:val="009820EF"/>
    <w:rsid w:val="00983A5C"/>
    <w:rsid w:val="009844D9"/>
    <w:rsid w:val="00985502"/>
    <w:rsid w:val="00986636"/>
    <w:rsid w:val="00986B52"/>
    <w:rsid w:val="00995279"/>
    <w:rsid w:val="00996701"/>
    <w:rsid w:val="0099670D"/>
    <w:rsid w:val="00997FC4"/>
    <w:rsid w:val="009A296B"/>
    <w:rsid w:val="009A2BC3"/>
    <w:rsid w:val="009A7EB5"/>
    <w:rsid w:val="009B12C1"/>
    <w:rsid w:val="009B4353"/>
    <w:rsid w:val="009B7071"/>
    <w:rsid w:val="009B70A3"/>
    <w:rsid w:val="009C1063"/>
    <w:rsid w:val="009C1A0F"/>
    <w:rsid w:val="009C1BDD"/>
    <w:rsid w:val="009D3B36"/>
    <w:rsid w:val="009D57C4"/>
    <w:rsid w:val="009D65AB"/>
    <w:rsid w:val="009D79DB"/>
    <w:rsid w:val="009E1493"/>
    <w:rsid w:val="009E4040"/>
    <w:rsid w:val="009E7BE3"/>
    <w:rsid w:val="009F0593"/>
    <w:rsid w:val="00A01E12"/>
    <w:rsid w:val="00A070BB"/>
    <w:rsid w:val="00A10E45"/>
    <w:rsid w:val="00A138F8"/>
    <w:rsid w:val="00A201E6"/>
    <w:rsid w:val="00A2043F"/>
    <w:rsid w:val="00A21EA2"/>
    <w:rsid w:val="00A27334"/>
    <w:rsid w:val="00A27B8A"/>
    <w:rsid w:val="00A326F4"/>
    <w:rsid w:val="00A379DD"/>
    <w:rsid w:val="00A42E5E"/>
    <w:rsid w:val="00A4649C"/>
    <w:rsid w:val="00A4676F"/>
    <w:rsid w:val="00A46F5E"/>
    <w:rsid w:val="00A50470"/>
    <w:rsid w:val="00A534B1"/>
    <w:rsid w:val="00A5522C"/>
    <w:rsid w:val="00A57185"/>
    <w:rsid w:val="00A616FB"/>
    <w:rsid w:val="00A65D4D"/>
    <w:rsid w:val="00A67AFE"/>
    <w:rsid w:val="00A736AE"/>
    <w:rsid w:val="00A80424"/>
    <w:rsid w:val="00A810BF"/>
    <w:rsid w:val="00A8318A"/>
    <w:rsid w:val="00A874A5"/>
    <w:rsid w:val="00A92457"/>
    <w:rsid w:val="00A94C6F"/>
    <w:rsid w:val="00A95240"/>
    <w:rsid w:val="00A97EDC"/>
    <w:rsid w:val="00AA34FB"/>
    <w:rsid w:val="00AA55EA"/>
    <w:rsid w:val="00AB01AD"/>
    <w:rsid w:val="00AB4397"/>
    <w:rsid w:val="00AB78E7"/>
    <w:rsid w:val="00AB78F4"/>
    <w:rsid w:val="00AB7D63"/>
    <w:rsid w:val="00AC0B73"/>
    <w:rsid w:val="00AC1E50"/>
    <w:rsid w:val="00AC24BA"/>
    <w:rsid w:val="00AC5B60"/>
    <w:rsid w:val="00AC74A8"/>
    <w:rsid w:val="00AD27EF"/>
    <w:rsid w:val="00AD51B8"/>
    <w:rsid w:val="00AF179E"/>
    <w:rsid w:val="00AF19E0"/>
    <w:rsid w:val="00AF3533"/>
    <w:rsid w:val="00AF75F4"/>
    <w:rsid w:val="00AF7B81"/>
    <w:rsid w:val="00B03B91"/>
    <w:rsid w:val="00B10F2C"/>
    <w:rsid w:val="00B14F16"/>
    <w:rsid w:val="00B155AA"/>
    <w:rsid w:val="00B16DAD"/>
    <w:rsid w:val="00B20DBE"/>
    <w:rsid w:val="00B21C0E"/>
    <w:rsid w:val="00B223E8"/>
    <w:rsid w:val="00B231D0"/>
    <w:rsid w:val="00B34BAE"/>
    <w:rsid w:val="00B35FD7"/>
    <w:rsid w:val="00B379AD"/>
    <w:rsid w:val="00B46A65"/>
    <w:rsid w:val="00B505F4"/>
    <w:rsid w:val="00B53DB2"/>
    <w:rsid w:val="00B561AE"/>
    <w:rsid w:val="00B605BB"/>
    <w:rsid w:val="00B62F62"/>
    <w:rsid w:val="00B73D5B"/>
    <w:rsid w:val="00B748B6"/>
    <w:rsid w:val="00B83200"/>
    <w:rsid w:val="00B84A0A"/>
    <w:rsid w:val="00B8500A"/>
    <w:rsid w:val="00B851F7"/>
    <w:rsid w:val="00B8693F"/>
    <w:rsid w:val="00B96416"/>
    <w:rsid w:val="00B9663A"/>
    <w:rsid w:val="00B97A3B"/>
    <w:rsid w:val="00BA5A01"/>
    <w:rsid w:val="00BA5B27"/>
    <w:rsid w:val="00BB2371"/>
    <w:rsid w:val="00BB6E86"/>
    <w:rsid w:val="00BB7796"/>
    <w:rsid w:val="00BC3A29"/>
    <w:rsid w:val="00BC5E11"/>
    <w:rsid w:val="00BD2894"/>
    <w:rsid w:val="00BD68A2"/>
    <w:rsid w:val="00BE0D0B"/>
    <w:rsid w:val="00BF4412"/>
    <w:rsid w:val="00C03880"/>
    <w:rsid w:val="00C04BC6"/>
    <w:rsid w:val="00C07416"/>
    <w:rsid w:val="00C07823"/>
    <w:rsid w:val="00C1322A"/>
    <w:rsid w:val="00C14C33"/>
    <w:rsid w:val="00C16FB8"/>
    <w:rsid w:val="00C1786C"/>
    <w:rsid w:val="00C24F7E"/>
    <w:rsid w:val="00C262F6"/>
    <w:rsid w:val="00C27671"/>
    <w:rsid w:val="00C301E8"/>
    <w:rsid w:val="00C31B1D"/>
    <w:rsid w:val="00C33099"/>
    <w:rsid w:val="00C372FF"/>
    <w:rsid w:val="00C40CF8"/>
    <w:rsid w:val="00C40F26"/>
    <w:rsid w:val="00C47808"/>
    <w:rsid w:val="00C510C2"/>
    <w:rsid w:val="00C56436"/>
    <w:rsid w:val="00C62B25"/>
    <w:rsid w:val="00C62F32"/>
    <w:rsid w:val="00C650BF"/>
    <w:rsid w:val="00C655B2"/>
    <w:rsid w:val="00C670EF"/>
    <w:rsid w:val="00C712B2"/>
    <w:rsid w:val="00C725AD"/>
    <w:rsid w:val="00C73E72"/>
    <w:rsid w:val="00C744A2"/>
    <w:rsid w:val="00C85237"/>
    <w:rsid w:val="00C85E65"/>
    <w:rsid w:val="00C95456"/>
    <w:rsid w:val="00C96B1B"/>
    <w:rsid w:val="00CA0A87"/>
    <w:rsid w:val="00CA7F20"/>
    <w:rsid w:val="00CB0368"/>
    <w:rsid w:val="00CB1985"/>
    <w:rsid w:val="00CB1B5A"/>
    <w:rsid w:val="00CB4838"/>
    <w:rsid w:val="00CB5E74"/>
    <w:rsid w:val="00CC0929"/>
    <w:rsid w:val="00CC1931"/>
    <w:rsid w:val="00CC21D4"/>
    <w:rsid w:val="00CC239E"/>
    <w:rsid w:val="00CC5A4C"/>
    <w:rsid w:val="00CC60F6"/>
    <w:rsid w:val="00CC626F"/>
    <w:rsid w:val="00CD293F"/>
    <w:rsid w:val="00CD2F51"/>
    <w:rsid w:val="00CD38DE"/>
    <w:rsid w:val="00CD4983"/>
    <w:rsid w:val="00CD722C"/>
    <w:rsid w:val="00CE051B"/>
    <w:rsid w:val="00CE36E1"/>
    <w:rsid w:val="00CE5FA8"/>
    <w:rsid w:val="00CF72A3"/>
    <w:rsid w:val="00D03967"/>
    <w:rsid w:val="00D07871"/>
    <w:rsid w:val="00D10E4F"/>
    <w:rsid w:val="00D2358C"/>
    <w:rsid w:val="00D25DA8"/>
    <w:rsid w:val="00D30BDA"/>
    <w:rsid w:val="00D33961"/>
    <w:rsid w:val="00D33A4D"/>
    <w:rsid w:val="00D34945"/>
    <w:rsid w:val="00D518EF"/>
    <w:rsid w:val="00D66D28"/>
    <w:rsid w:val="00D70060"/>
    <w:rsid w:val="00D724D7"/>
    <w:rsid w:val="00D8249A"/>
    <w:rsid w:val="00D84279"/>
    <w:rsid w:val="00D86746"/>
    <w:rsid w:val="00D90E7A"/>
    <w:rsid w:val="00D911E1"/>
    <w:rsid w:val="00D933E1"/>
    <w:rsid w:val="00D9493B"/>
    <w:rsid w:val="00D94CB0"/>
    <w:rsid w:val="00DA2B7C"/>
    <w:rsid w:val="00DA2CA2"/>
    <w:rsid w:val="00DA5962"/>
    <w:rsid w:val="00DB3963"/>
    <w:rsid w:val="00DB5AA3"/>
    <w:rsid w:val="00DB5D09"/>
    <w:rsid w:val="00DB7936"/>
    <w:rsid w:val="00DC388E"/>
    <w:rsid w:val="00DC48DA"/>
    <w:rsid w:val="00DC692D"/>
    <w:rsid w:val="00DC6C61"/>
    <w:rsid w:val="00DC7499"/>
    <w:rsid w:val="00DC773F"/>
    <w:rsid w:val="00DD0F9D"/>
    <w:rsid w:val="00DD3990"/>
    <w:rsid w:val="00DD5392"/>
    <w:rsid w:val="00DD6481"/>
    <w:rsid w:val="00DD6BE5"/>
    <w:rsid w:val="00DE70D8"/>
    <w:rsid w:val="00DF4680"/>
    <w:rsid w:val="00DF637C"/>
    <w:rsid w:val="00DF7E99"/>
    <w:rsid w:val="00E036B8"/>
    <w:rsid w:val="00E0372D"/>
    <w:rsid w:val="00E1265D"/>
    <w:rsid w:val="00E17609"/>
    <w:rsid w:val="00E206D2"/>
    <w:rsid w:val="00E237E9"/>
    <w:rsid w:val="00E23AA3"/>
    <w:rsid w:val="00E2465B"/>
    <w:rsid w:val="00E24F36"/>
    <w:rsid w:val="00E259AB"/>
    <w:rsid w:val="00E277B2"/>
    <w:rsid w:val="00E32EAC"/>
    <w:rsid w:val="00E40982"/>
    <w:rsid w:val="00E40A31"/>
    <w:rsid w:val="00E42665"/>
    <w:rsid w:val="00E43554"/>
    <w:rsid w:val="00E436B6"/>
    <w:rsid w:val="00E45422"/>
    <w:rsid w:val="00E56793"/>
    <w:rsid w:val="00E63F91"/>
    <w:rsid w:val="00E66112"/>
    <w:rsid w:val="00E66F4F"/>
    <w:rsid w:val="00E764BB"/>
    <w:rsid w:val="00E767CD"/>
    <w:rsid w:val="00E779D1"/>
    <w:rsid w:val="00E83E8F"/>
    <w:rsid w:val="00E85C5B"/>
    <w:rsid w:val="00E87890"/>
    <w:rsid w:val="00E9186C"/>
    <w:rsid w:val="00E96357"/>
    <w:rsid w:val="00EA503C"/>
    <w:rsid w:val="00EA59AC"/>
    <w:rsid w:val="00EA6BA7"/>
    <w:rsid w:val="00EA70D1"/>
    <w:rsid w:val="00EA7734"/>
    <w:rsid w:val="00EB4490"/>
    <w:rsid w:val="00EB66EC"/>
    <w:rsid w:val="00EB7391"/>
    <w:rsid w:val="00EB791B"/>
    <w:rsid w:val="00EC6B33"/>
    <w:rsid w:val="00ED1912"/>
    <w:rsid w:val="00ED7F08"/>
    <w:rsid w:val="00EE0B32"/>
    <w:rsid w:val="00EE6A8A"/>
    <w:rsid w:val="00EF105E"/>
    <w:rsid w:val="00EF275E"/>
    <w:rsid w:val="00EF4FCE"/>
    <w:rsid w:val="00EF5AFB"/>
    <w:rsid w:val="00F108B5"/>
    <w:rsid w:val="00F11F0C"/>
    <w:rsid w:val="00F121BF"/>
    <w:rsid w:val="00F13C89"/>
    <w:rsid w:val="00F15450"/>
    <w:rsid w:val="00F30358"/>
    <w:rsid w:val="00F35DAF"/>
    <w:rsid w:val="00F40626"/>
    <w:rsid w:val="00F4195C"/>
    <w:rsid w:val="00F42878"/>
    <w:rsid w:val="00F46E32"/>
    <w:rsid w:val="00F510CD"/>
    <w:rsid w:val="00F53547"/>
    <w:rsid w:val="00F53838"/>
    <w:rsid w:val="00F5488C"/>
    <w:rsid w:val="00F55A9B"/>
    <w:rsid w:val="00F56685"/>
    <w:rsid w:val="00F57AC8"/>
    <w:rsid w:val="00F61108"/>
    <w:rsid w:val="00F62AC9"/>
    <w:rsid w:val="00F64D42"/>
    <w:rsid w:val="00F66E51"/>
    <w:rsid w:val="00F7118F"/>
    <w:rsid w:val="00F71693"/>
    <w:rsid w:val="00F761CF"/>
    <w:rsid w:val="00F773F4"/>
    <w:rsid w:val="00F82E8D"/>
    <w:rsid w:val="00F87510"/>
    <w:rsid w:val="00F9091D"/>
    <w:rsid w:val="00F9272F"/>
    <w:rsid w:val="00F94327"/>
    <w:rsid w:val="00F95EE6"/>
    <w:rsid w:val="00FA2D76"/>
    <w:rsid w:val="00FA2FC5"/>
    <w:rsid w:val="00FA4035"/>
    <w:rsid w:val="00FA63A1"/>
    <w:rsid w:val="00FB02AB"/>
    <w:rsid w:val="00FB0FE9"/>
    <w:rsid w:val="00FB1028"/>
    <w:rsid w:val="00FB17F5"/>
    <w:rsid w:val="00FB24D9"/>
    <w:rsid w:val="00FB618C"/>
    <w:rsid w:val="00FC2643"/>
    <w:rsid w:val="00FC3AD5"/>
    <w:rsid w:val="00FC5A1B"/>
    <w:rsid w:val="00FC71ED"/>
    <w:rsid w:val="00FD175C"/>
    <w:rsid w:val="00FD4F66"/>
    <w:rsid w:val="00FD71F1"/>
    <w:rsid w:val="00FE2A31"/>
    <w:rsid w:val="00FE5005"/>
    <w:rsid w:val="00FE608B"/>
    <w:rsid w:val="00FF2408"/>
    <w:rsid w:val="00FF54CB"/>
    <w:rsid w:val="025F6AD8"/>
    <w:rsid w:val="0628416F"/>
    <w:rsid w:val="06582A46"/>
    <w:rsid w:val="1947C98F"/>
    <w:rsid w:val="1CDC19C2"/>
    <w:rsid w:val="20D2F2E1"/>
    <w:rsid w:val="21AF8AE5"/>
    <w:rsid w:val="2D829184"/>
    <w:rsid w:val="311DA141"/>
    <w:rsid w:val="34210469"/>
    <w:rsid w:val="345A7367"/>
    <w:rsid w:val="34D82EFC"/>
    <w:rsid w:val="3A4FBE4C"/>
    <w:rsid w:val="448DF03D"/>
    <w:rsid w:val="47B534A6"/>
    <w:rsid w:val="52ED9FBD"/>
    <w:rsid w:val="640BDE9A"/>
    <w:rsid w:val="6B7E5D13"/>
    <w:rsid w:val="78C51034"/>
    <w:rsid w:val="7A528F93"/>
    <w:rsid w:val="7BEE5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D1F89"/>
  <w15:docId w15:val="{0CED8E18-6CEF-4360-8245-4F397750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Times New Roman" w:hAnsi="CG Times (W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4CB"/>
    <w:pPr>
      <w:spacing w:after="120" w:line="269" w:lineRule="auto"/>
      <w:jc w:val="left"/>
    </w:pPr>
    <w:rPr>
      <w:rFonts w:asciiTheme="minorHAnsi" w:hAnsiTheme="minorHAnsi" w:cstheme="minorHAnsi" w:ascii="Arial" w:hAnsi="Arial"/>
      <w:color w:val="17242A"/>
      <w:sz w:val="21"/>
      <w:szCs w:val="26"/>
    </w:rPr>
  </w:style>
  <w:style w:type="paragraph" w:styleId="Heading1">
    <w:name w:val="heading 1"/>
    <w:basedOn w:val="Heading4"/>
    <w:next w:val="Normal"/>
    <w:qFormat/>
    <w:rsid w:val="0011220A"/>
    <w:pPr>
      <w:keepNext/>
      <w:spacing w:before="300" w:after="140"/>
      <w:ind w:left="360"/>
      <w:jc w:val="left"/>
      <w:outlineLvl w:val="0"/>
    </w:pPr>
    <w:rPr>
      <w:rFonts w:ascii="Arial" w:hAnsi="Arial"/>
      <w:b/>
      <w:color w:val="000000"/>
      <w:sz w:val="32"/>
    </w:rPr>
  </w:style>
  <w:style w:type="paragraph" w:styleId="Heading2">
    <w:name w:val="heading 2"/>
    <w:basedOn w:val="Normal"/>
    <w:next w:val="RFPPara"/>
    <w:link w:val="Heading2Char"/>
    <w:qFormat/>
    <w:rsid w:val="004576C4"/>
    <w:pPr>
      <w:keepNext/>
      <w:spacing w:before="220" w:after="100" w:line="276" w:lineRule="auto"/>
      <w:jc w:val="left"/>
      <w:outlineLvl w:val="1"/>
    </w:pPr>
    <w:rPr>
      <w:rFonts w:ascii="Arial" w:hAnsi="Arial"/>
      <w:b/>
      <w:bCs/>
      <w:color w:val="000000"/>
      <w:sz w:val="24"/>
    </w:rPr>
  </w:style>
  <w:style w:type="paragraph" w:styleId="Heading3">
    <w:name w:val="heading 3"/>
    <w:basedOn w:val="Normal"/>
    <w:next w:val="Normal"/>
    <w:link w:val="Heading3Char"/>
    <w:uiPriority w:val="9"/>
    <w:qFormat/>
    <w:rsid w:val="00E24F36"/>
    <w:pPr>
      <w:keepNext/>
      <w:spacing w:before="60" w:after="60"/>
      <w:ind w:right="-162"/>
      <w:outlineLvl w:val="2"/>
    </w:pPr>
    <w:rPr>
      <w:rFonts w:ascii="Arial Narrow" w:hAnsi="Arial Narrow"/>
      <w:b/>
      <w:sz w:val="16"/>
    </w:rPr>
  </w:style>
  <w:style w:type="paragraph" w:styleId="Heading4">
    <w:name w:val="heading 4"/>
    <w:basedOn w:val="Heading2"/>
    <w:next w:val="Normal"/>
    <w:link w:val="Heading4Char"/>
    <w:qFormat/>
    <w:rsid w:val="001F73BC"/>
    <w:pPr>
      <w:outlineLvl w:val="3"/>
    </w:pPr>
    <w:rPr>
      <w:b w:val="0"/>
      <w:bCs w:val="0"/>
    </w:rPr>
  </w:style>
  <w:style w:type="paragraph" w:styleId="Heading5">
    <w:name w:val="heading 5"/>
    <w:basedOn w:val="Normal"/>
    <w:next w:val="Normal"/>
    <w:qFormat/>
    <w:rsid w:val="00E24F36"/>
    <w:pPr>
      <w:keepNext/>
      <w:outlineLvl w:val="4"/>
    </w:pPr>
    <w:rPr>
      <w:rFonts w:ascii="Arial Narrow" w:hAnsi="Arial Narrow"/>
      <w:b/>
      <w:sz w:val="16"/>
    </w:rPr>
  </w:style>
  <w:style w:type="paragraph" w:styleId="Heading8">
    <w:name w:val="heading 8"/>
    <w:basedOn w:val="Normal"/>
    <w:next w:val="Normal"/>
    <w:link w:val="Heading8Char"/>
    <w:qFormat/>
    <w:rsid w:val="00A57185"/>
    <w:pPr>
      <w:keepNext/>
      <w:numPr>
        <w:numId w:val="14"/>
      </w:numPr>
      <w:tabs>
        <w:tab w:val="clear" w:pos="360"/>
        <w:tab w:val="left" w:pos="720"/>
        <w:tab w:val="num" w:pos="1080"/>
      </w:tabs>
      <w:spacing w:line="240" w:lineRule="exact"/>
      <w:ind w:left="1080"/>
      <w:jc w:val="left"/>
      <w:outlineLvl w:val="7"/>
    </w:pPr>
    <w:rPr>
      <w:rFonts w:ascii="Tms Rmn" w:hAnsi="Tms Rm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2">
    <w:name w:val="List 2"/>
    <w:basedOn w:val="Normal"/>
    <w:rsid w:val="00E24F36"/>
    <w:pPr>
      <w:spacing w:before="180"/>
      <w:ind w:left="864" w:hanging="432"/>
    </w:pPr>
  </w:style>
  <w:style w:type="paragraph" w:styleId="List3">
    <w:name w:val="List 3"/>
    <w:basedOn w:val="Normal"/>
    <w:rsid w:val="00E24F36"/>
    <w:pPr>
      <w:spacing w:before="180"/>
      <w:ind w:left="1296" w:hanging="432"/>
    </w:pPr>
  </w:style>
  <w:style w:type="paragraph" w:styleId="List">
    <w:name w:val="List"/>
    <w:basedOn w:val="Normal"/>
    <w:rsid w:val="00E24F36"/>
    <w:pPr>
      <w:spacing w:before="180"/>
      <w:ind w:left="432" w:hanging="432"/>
    </w:pPr>
  </w:style>
  <w:style w:type="paragraph" w:customStyle="1" w:styleId="Indent-2">
    <w:name w:val="Indent-2"/>
    <w:basedOn w:val="List3"/>
    <w:rsid w:val="00E24F36"/>
    <w:pPr>
      <w:ind w:left="864" w:firstLine="0"/>
    </w:pPr>
  </w:style>
  <w:style w:type="paragraph" w:customStyle="1" w:styleId="Indent-3">
    <w:name w:val="Indent-3"/>
    <w:basedOn w:val="Indent-2"/>
    <w:rsid w:val="00E24F36"/>
    <w:pPr>
      <w:ind w:left="1296"/>
    </w:pPr>
  </w:style>
  <w:style w:type="paragraph" w:styleId="ListBullet">
    <w:name w:val="List Bullet"/>
    <w:basedOn w:val="Normal"/>
    <w:rsid w:val="00E24F36"/>
    <w:pPr>
      <w:spacing w:before="180"/>
      <w:ind w:left="360" w:hanging="360"/>
    </w:pPr>
  </w:style>
  <w:style w:type="paragraph" w:styleId="ListBullet2">
    <w:name w:val="List Bullet 2"/>
    <w:basedOn w:val="Normal"/>
    <w:rsid w:val="00E24F36"/>
    <w:pPr>
      <w:spacing w:before="180"/>
      <w:ind w:left="792" w:hanging="360"/>
    </w:pPr>
  </w:style>
  <w:style w:type="paragraph" w:styleId="ListBullet3">
    <w:name w:val="List Bullet 3"/>
    <w:basedOn w:val="Normal"/>
    <w:rsid w:val="00E24F36"/>
    <w:pPr>
      <w:spacing w:before="180"/>
      <w:ind w:left="1224" w:hanging="360"/>
    </w:pPr>
  </w:style>
  <w:style w:type="paragraph" w:customStyle="1" w:styleId="Style1">
    <w:name w:val="Style1"/>
    <w:basedOn w:val="Normal"/>
    <w:rsid w:val="00E24F36"/>
  </w:style>
  <w:style w:type="paragraph" w:customStyle="1" w:styleId="Style2">
    <w:name w:val="Style2"/>
    <w:basedOn w:val="Normal"/>
    <w:rsid w:val="00E24F36"/>
  </w:style>
  <w:style w:type="paragraph" w:customStyle="1" w:styleId="Style3">
    <w:name w:val="Style3"/>
    <w:basedOn w:val="Normal"/>
    <w:rsid w:val="00E24F36"/>
  </w:style>
  <w:style w:type="paragraph" w:customStyle="1" w:styleId="Indent-1">
    <w:name w:val="Indent-1"/>
    <w:basedOn w:val="Normal"/>
    <w:rsid w:val="00E24F36"/>
    <w:pPr>
      <w:spacing w:before="180"/>
      <w:ind w:left="432"/>
    </w:pPr>
  </w:style>
  <w:style w:type="paragraph" w:styleId="BodyText">
    <w:name w:val="Body Text"/>
    <w:basedOn w:val="Normal"/>
    <w:rsid w:val="00E24F36"/>
    <w:pPr>
      <w:spacing w:before="180"/>
    </w:pPr>
  </w:style>
  <w:style w:type="paragraph" w:styleId="Footer">
    <w:name w:val="footer"/>
    <w:basedOn w:val="Normal"/>
    <w:link w:val="FooterChar"/>
    <w:uiPriority w:val="99"/>
    <w:rsid w:val="00E24F36"/>
    <w:pPr>
      <w:tabs>
        <w:tab w:val="center" w:pos="4320"/>
        <w:tab w:val="right" w:pos="8640"/>
      </w:tabs>
      <w:jc w:val="center"/>
    </w:pPr>
    <w:rPr>
      <w:sz w:val="22"/>
    </w:rPr>
  </w:style>
  <w:style w:type="paragraph" w:styleId="Title">
    <w:name w:val="Title"/>
    <w:basedOn w:val="Normal"/>
    <w:qFormat/>
    <w:rsid w:val="00E24F36"/>
    <w:pPr>
      <w:keepNext/>
      <w:tabs>
        <w:tab w:val="left" w:pos="5472"/>
      </w:tabs>
      <w:spacing w:after="160" w:line="230" w:lineRule="auto"/>
      <w:jc w:val="center"/>
    </w:pPr>
    <w:rPr>
      <w:rFonts w:ascii="Arial" w:hAnsi="Arial"/>
      <w:b/>
      <w:color w:val="000000"/>
      <w:sz w:val="54"/>
    </w:rPr>
  </w:style>
  <w:style w:type="paragraph" w:styleId="Header">
    <w:name w:val="header"/>
    <w:basedOn w:val="Normal"/>
    <w:link w:val="HeaderChar"/>
    <w:uiPriority w:val="99"/>
    <w:rsid w:val="00E24F36"/>
    <w:pPr>
      <w:tabs>
        <w:tab w:val="center" w:pos="4320"/>
        <w:tab w:val="right" w:pos="8640"/>
      </w:tabs>
    </w:pPr>
  </w:style>
  <w:style w:type="character" w:styleId="PageNumber">
    <w:name w:val="page number"/>
    <w:basedOn w:val="DefaultParagraphFont"/>
    <w:rsid w:val="00E24F36"/>
  </w:style>
  <w:style w:type="paragraph" w:styleId="BodyText2">
    <w:name w:val="Body Text 2"/>
    <w:basedOn w:val="Normal"/>
    <w:rsid w:val="00E24F36"/>
    <w:pPr>
      <w:spacing w:line="460" w:lineRule="exact"/>
    </w:pPr>
    <w:rPr>
      <w:sz w:val="22"/>
    </w:rPr>
  </w:style>
  <w:style w:type="paragraph" w:styleId="BodyTextIndent">
    <w:name w:val="Body Text Indent"/>
    <w:basedOn w:val="Normal"/>
    <w:rsid w:val="00E24F36"/>
    <w:pPr>
      <w:tabs>
        <w:tab w:val="left" w:pos="720"/>
        <w:tab w:val="left" w:pos="5472"/>
      </w:tabs>
      <w:spacing w:after="180" w:line="280" w:lineRule="exact"/>
      <w:ind w:firstLine="720"/>
    </w:pPr>
  </w:style>
  <w:style w:type="paragraph" w:customStyle="1" w:styleId="Normal9">
    <w:name w:val="Normal(9)"/>
    <w:basedOn w:val="Normal"/>
    <w:rsid w:val="00E24F36"/>
    <w:pPr>
      <w:spacing w:after="180"/>
    </w:pPr>
    <w:rPr>
      <w:rFonts w:ascii="Century Schoolbook" w:hAnsi="Century Schoolbook"/>
    </w:rPr>
  </w:style>
  <w:style w:type="paragraph" w:customStyle="1" w:styleId="Bullet1">
    <w:name w:val="Bullet(1)"/>
    <w:basedOn w:val="Normal"/>
    <w:autoRedefine/>
    <w:rsid w:val="00E24F36"/>
    <w:pPr>
      <w:numPr>
        <w:numId w:val="2"/>
      </w:numPr>
      <w:spacing w:after="180"/>
    </w:pPr>
    <w:rPr>
      <w:rFonts w:ascii="Century Schoolbook" w:hAnsi="Century Schoolbook"/>
    </w:rPr>
  </w:style>
  <w:style w:type="paragraph" w:customStyle="1" w:styleId="Bullet2">
    <w:name w:val="Bullet(2)"/>
    <w:basedOn w:val="Normal"/>
    <w:rsid w:val="00E24F36"/>
    <w:pPr>
      <w:numPr>
        <w:numId w:val="3"/>
      </w:numPr>
      <w:spacing w:after="180"/>
    </w:pPr>
    <w:rPr>
      <w:rFonts w:ascii="Century Schoolbook" w:hAnsi="Century Schoolbook"/>
    </w:rPr>
  </w:style>
  <w:style w:type="paragraph" w:customStyle="1" w:styleId="Step1">
    <w:name w:val="Step(1)"/>
    <w:basedOn w:val="Normal"/>
    <w:rsid w:val="00E24F36"/>
    <w:pPr>
      <w:numPr>
        <w:numId w:val="4"/>
      </w:numPr>
      <w:spacing w:after="180"/>
    </w:pPr>
  </w:style>
  <w:style w:type="paragraph" w:customStyle="1" w:styleId="Step2">
    <w:name w:val="Step(2)"/>
    <w:basedOn w:val="Step1"/>
    <w:rsid w:val="00E24F36"/>
    <w:pPr>
      <w:numPr>
        <w:numId w:val="0"/>
      </w:numPr>
    </w:pPr>
  </w:style>
  <w:style w:type="paragraph" w:customStyle="1" w:styleId="Step3">
    <w:name w:val="Step(3)"/>
    <w:basedOn w:val="Step2"/>
    <w:rsid w:val="00E24F36"/>
    <w:pPr>
      <w:numPr>
        <w:numId w:val="5"/>
      </w:numPr>
    </w:pPr>
  </w:style>
  <w:style w:type="paragraph" w:customStyle="1" w:styleId="Stepa">
    <w:name w:val="Step(a)"/>
    <w:basedOn w:val="Normal"/>
    <w:rsid w:val="00E24F36"/>
    <w:pPr>
      <w:numPr>
        <w:numId w:val="6"/>
      </w:numPr>
      <w:spacing w:after="180"/>
    </w:pPr>
  </w:style>
  <w:style w:type="paragraph" w:customStyle="1" w:styleId="StepA0">
    <w:name w:val="StepA"/>
    <w:basedOn w:val="Bullet2"/>
    <w:rsid w:val="00E24F36"/>
    <w:pPr>
      <w:numPr>
        <w:numId w:val="7"/>
      </w:numPr>
    </w:pPr>
  </w:style>
  <w:style w:type="paragraph" w:customStyle="1" w:styleId="Styleind9-a">
    <w:name w:val="Style(ind9-a)"/>
    <w:basedOn w:val="Normal"/>
    <w:rsid w:val="00E24F36"/>
    <w:pPr>
      <w:numPr>
        <w:numId w:val="8"/>
      </w:numPr>
      <w:spacing w:after="180"/>
    </w:pPr>
  </w:style>
  <w:style w:type="paragraph" w:styleId="ListBullet4">
    <w:name w:val="List Bullet 4"/>
    <w:basedOn w:val="Normal"/>
    <w:rsid w:val="00E24F36"/>
    <w:pPr>
      <w:numPr>
        <w:numId w:val="9"/>
      </w:numPr>
    </w:pPr>
  </w:style>
  <w:style w:type="paragraph" w:styleId="ListBullet5">
    <w:name w:val="List Bullet 5"/>
    <w:basedOn w:val="Normal"/>
    <w:rsid w:val="00E24F36"/>
    <w:pPr>
      <w:numPr>
        <w:numId w:val="10"/>
      </w:numPr>
    </w:pPr>
  </w:style>
  <w:style w:type="paragraph" w:customStyle="1" w:styleId="List1">
    <w:name w:val="List 1"/>
    <w:basedOn w:val="Normal"/>
    <w:rsid w:val="00E24F36"/>
    <w:pPr>
      <w:numPr>
        <w:numId w:val="11"/>
      </w:numPr>
    </w:pPr>
  </w:style>
  <w:style w:type="paragraph" w:customStyle="1" w:styleId="Level1">
    <w:name w:val="Level 1"/>
    <w:basedOn w:val="Normal"/>
    <w:rsid w:val="00E24F36"/>
    <w:pPr>
      <w:widowControl w:val="0"/>
      <w:numPr>
        <w:numId w:val="12"/>
      </w:numPr>
      <w:autoSpaceDE w:val="0"/>
      <w:autoSpaceDN w:val="0"/>
      <w:adjustRightInd w:val="0"/>
      <w:ind w:left="720" w:hanging="720"/>
      <w:jc w:val="left"/>
      <w:outlineLvl w:val="0"/>
    </w:pPr>
    <w:rPr>
      <w:rFonts w:ascii="Courier" w:hAnsi="Courier"/>
      <w:szCs w:val="24"/>
    </w:rPr>
  </w:style>
  <w:style w:type="paragraph" w:styleId="FootnoteText">
    <w:name w:val="footnote text"/>
    <w:basedOn w:val="Normal"/>
    <w:link w:val="FootnoteTextChar"/>
    <w:uiPriority w:val="99"/>
    <w:semiHidden/>
    <w:rsid w:val="00E24F36"/>
  </w:style>
  <w:style w:type="character" w:styleId="Hyperlink">
    <w:name w:val="Hyperlink"/>
    <w:basedOn w:val="DefaultParagraphFont"/>
    <w:uiPriority w:val="99"/>
    <w:rsid w:val="009F0593"/>
    <w:rPr>
      <w:color w:val="0000FF"/>
      <w:u w:val="single"/>
    </w:rPr>
  </w:style>
  <w:style w:type="paragraph" w:styleId="BodyTextIndent3">
    <w:name w:val="Body Text Indent 3"/>
    <w:basedOn w:val="Normal"/>
    <w:rsid w:val="00F108B5"/>
    <w:pPr>
      <w:ind w:left="360"/>
      <w:jc w:val="left"/>
    </w:pPr>
    <w:rPr>
      <w:rFonts w:ascii="Times New Roman" w:hAnsi="Times New Roman"/>
      <w:sz w:val="16"/>
      <w:szCs w:val="16"/>
    </w:rPr>
  </w:style>
  <w:style w:type="paragraph" w:styleId="BodyTextIndent2">
    <w:name w:val="Body Text Indent 2"/>
    <w:basedOn w:val="Normal"/>
    <w:rsid w:val="00084AD1"/>
    <w:pPr>
      <w:spacing w:line="480" w:lineRule="auto"/>
      <w:ind w:left="360"/>
    </w:pPr>
  </w:style>
  <w:style w:type="paragraph" w:styleId="BalloonText">
    <w:name w:val="Balloon Text"/>
    <w:basedOn w:val="Normal"/>
    <w:link w:val="BalloonTextChar"/>
    <w:semiHidden/>
    <w:unhideWhenUsed/>
    <w:rsid w:val="00E2465B"/>
    <w:rPr>
      <w:rFonts w:ascii="Tahoma" w:hAnsi="Tahoma" w:cs="Tahoma"/>
      <w:sz w:val="16"/>
      <w:szCs w:val="16"/>
    </w:rPr>
  </w:style>
  <w:style w:type="character" w:customStyle="1" w:styleId="BalloonTextChar">
    <w:name w:val="Balloon Text Char"/>
    <w:basedOn w:val="DefaultParagraphFont"/>
    <w:link w:val="BalloonText"/>
    <w:uiPriority w:val="99"/>
    <w:semiHidden/>
    <w:rsid w:val="00E2465B"/>
    <w:rPr>
      <w:rFonts w:ascii="Tahoma" w:hAnsi="Tahoma" w:cs="Tahoma"/>
      <w:sz w:val="16"/>
      <w:szCs w:val="16"/>
    </w:rPr>
  </w:style>
  <w:style w:type="paragraph" w:customStyle="1" w:styleId="Default">
    <w:name w:val="Default"/>
    <w:rsid w:val="003F6090"/>
    <w:pPr>
      <w:autoSpaceDE w:val="0"/>
      <w:autoSpaceDN w:val="0"/>
      <w:adjustRightInd w:val="0"/>
    </w:pPr>
    <w:rPr>
      <w:rFonts w:ascii="Times New Roman" w:eastAsia="Calibri" w:hAnsi="Times New Roman"/>
      <w:color w:val="000000"/>
      <w:sz w:val="24"/>
      <w:szCs w:val="24"/>
    </w:rPr>
  </w:style>
  <w:style w:type="character" w:customStyle="1" w:styleId="yshortcuts">
    <w:name w:val="yshortcuts"/>
    <w:basedOn w:val="DefaultParagraphFont"/>
    <w:rsid w:val="006A514D"/>
  </w:style>
  <w:style w:type="character" w:customStyle="1" w:styleId="HeaderChar">
    <w:name w:val="Header Char"/>
    <w:basedOn w:val="DefaultParagraphFont"/>
    <w:link w:val="Header"/>
    <w:uiPriority w:val="99"/>
    <w:rsid w:val="00045594"/>
    <w:rPr>
      <w:rFonts w:ascii="Arial" w:hAnsi="Arial"/>
      <w:sz w:val="24"/>
    </w:rPr>
  </w:style>
  <w:style w:type="character" w:customStyle="1" w:styleId="FooterChar">
    <w:name w:val="Footer Char"/>
    <w:basedOn w:val="DefaultParagraphFont"/>
    <w:link w:val="Footer"/>
    <w:uiPriority w:val="99"/>
    <w:rsid w:val="00045594"/>
    <w:rPr>
      <w:rFonts w:ascii="Arial" w:hAnsi="Arial"/>
      <w:sz w:val="22"/>
    </w:rPr>
  </w:style>
  <w:style w:type="paragraph" w:customStyle="1" w:styleId="ITBLevel1">
    <w:name w:val="ITB_Level1"/>
    <w:basedOn w:val="Normal"/>
    <w:qFormat/>
    <w:rsid w:val="009D3B36"/>
    <w:pPr>
      <w:numPr>
        <w:numId w:val="13"/>
      </w:numPr>
      <w:tabs>
        <w:tab w:val="clear" w:pos="1800"/>
        <w:tab w:val="num" w:pos="432"/>
      </w:tabs>
      <w:ind w:left="432" w:hanging="432"/>
      <w:jc w:val="left"/>
    </w:pPr>
    <w:rPr>
      <w:rFonts w:ascii="Calibri" w:eastAsia="Calibri" w:hAnsi="Calibri"/>
      <w:sz w:val="22"/>
      <w:szCs w:val="22"/>
    </w:rPr>
  </w:style>
  <w:style w:type="paragraph" w:customStyle="1" w:styleId="ITBLevel2">
    <w:name w:val="ITB_Level2"/>
    <w:basedOn w:val="Normal"/>
    <w:link w:val="ITBLevel2CharChar"/>
    <w:rsid w:val="009D3B36"/>
    <w:pPr>
      <w:numPr>
        <w:ilvl w:val="1"/>
        <w:numId w:val="13"/>
      </w:numPr>
      <w:jc w:val="left"/>
    </w:pPr>
    <w:rPr>
      <w:rFonts w:ascii="Calibri" w:eastAsia="Calibri" w:hAnsi="Calibri"/>
      <w:sz w:val="22"/>
      <w:szCs w:val="22"/>
    </w:rPr>
  </w:style>
  <w:style w:type="paragraph" w:customStyle="1" w:styleId="ITBLevel3">
    <w:name w:val="ITB_Level3"/>
    <w:basedOn w:val="Normal"/>
    <w:link w:val="ITBLevel3CharChar"/>
    <w:rsid w:val="009D3B36"/>
    <w:pPr>
      <w:numPr>
        <w:ilvl w:val="2"/>
        <w:numId w:val="13"/>
      </w:numPr>
      <w:tabs>
        <w:tab w:val="clear" w:pos="1267"/>
        <w:tab w:val="num" w:pos="432"/>
      </w:tabs>
      <w:ind w:left="432" w:hanging="432"/>
      <w:jc w:val="left"/>
    </w:pPr>
    <w:rPr>
      <w:rFonts w:ascii="Calibri" w:eastAsia="Calibri" w:hAnsi="Calibri"/>
      <w:sz w:val="22"/>
      <w:szCs w:val="22"/>
    </w:rPr>
  </w:style>
  <w:style w:type="paragraph" w:customStyle="1" w:styleId="ITBLevel4">
    <w:name w:val="ITB_Level4"/>
    <w:basedOn w:val="Normal"/>
    <w:link w:val="ITBLevel4CharChar"/>
    <w:rsid w:val="009D3B36"/>
    <w:pPr>
      <w:numPr>
        <w:ilvl w:val="3"/>
        <w:numId w:val="13"/>
      </w:numPr>
      <w:tabs>
        <w:tab w:val="clear" w:pos="1800"/>
        <w:tab w:val="num" w:pos="432"/>
      </w:tabs>
      <w:ind w:left="432" w:hanging="432"/>
      <w:jc w:val="left"/>
    </w:pPr>
    <w:rPr>
      <w:rFonts w:ascii="Calibri" w:eastAsia="Calibri" w:hAnsi="Calibri"/>
      <w:sz w:val="22"/>
      <w:szCs w:val="22"/>
    </w:rPr>
  </w:style>
  <w:style w:type="paragraph" w:customStyle="1" w:styleId="ITBLevel5">
    <w:name w:val="ITB_Level5"/>
    <w:basedOn w:val="Normal"/>
    <w:rsid w:val="009D3B36"/>
    <w:pPr>
      <w:numPr>
        <w:ilvl w:val="4"/>
        <w:numId w:val="13"/>
      </w:numPr>
      <w:tabs>
        <w:tab w:val="clear" w:pos="2347"/>
        <w:tab w:val="num" w:pos="432"/>
      </w:tabs>
      <w:ind w:left="432" w:hanging="432"/>
      <w:jc w:val="left"/>
    </w:pPr>
    <w:rPr>
      <w:rFonts w:ascii="Calibri" w:eastAsia="Calibri" w:hAnsi="Calibri"/>
      <w:sz w:val="22"/>
      <w:szCs w:val="22"/>
    </w:rPr>
  </w:style>
  <w:style w:type="paragraph" w:customStyle="1" w:styleId="ITBLevel6">
    <w:name w:val="ITB_Level6"/>
    <w:basedOn w:val="Normal"/>
    <w:rsid w:val="009D3B36"/>
    <w:pPr>
      <w:numPr>
        <w:ilvl w:val="5"/>
        <w:numId w:val="13"/>
      </w:numPr>
      <w:tabs>
        <w:tab w:val="clear" w:pos="2880"/>
        <w:tab w:val="num" w:pos="432"/>
      </w:tabs>
      <w:ind w:left="432" w:hanging="432"/>
      <w:jc w:val="left"/>
    </w:pPr>
    <w:rPr>
      <w:rFonts w:ascii="Calibri" w:eastAsia="Calibri" w:hAnsi="Calibri"/>
      <w:sz w:val="22"/>
      <w:szCs w:val="22"/>
    </w:rPr>
  </w:style>
  <w:style w:type="character" w:customStyle="1" w:styleId="ITBLevel2CharChar">
    <w:name w:val="ITB_Level2 Char Char"/>
    <w:link w:val="ITBLevel2"/>
    <w:rsid w:val="009D3B36"/>
    <w:rPr>
      <w:rFonts w:ascii="Calibri" w:eastAsia="Calibri" w:hAnsi="Calibri" w:cstheme="minorHAnsi"/>
      <w:sz w:val="22"/>
      <w:szCs w:val="22"/>
    </w:rPr>
  </w:style>
  <w:style w:type="table" w:styleId="TableGrid">
    <w:name w:val="Table Grid"/>
    <w:basedOn w:val="TableNormal"/>
    <w:uiPriority w:val="59"/>
    <w:rsid w:val="005F4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05E4"/>
    <w:pPr>
      <w:ind w:left="720"/>
      <w:contextualSpacing/>
    </w:pPr>
  </w:style>
  <w:style w:type="paragraph" w:customStyle="1" w:styleId="ITBCvrContactInfo">
    <w:name w:val="ITB_Cvr_Contact_Info"/>
    <w:rsid w:val="00381D7F"/>
    <w:pPr>
      <w:tabs>
        <w:tab w:val="right" w:pos="3696"/>
      </w:tabs>
      <w:spacing w:after="200" w:line="276" w:lineRule="auto"/>
    </w:pPr>
    <w:rPr>
      <w:rFonts w:ascii="Verdana" w:hAnsi="Verdana"/>
      <w:sz w:val="16"/>
      <w:szCs w:val="16"/>
      <w:lang w:bidi="en-US"/>
    </w:rPr>
  </w:style>
  <w:style w:type="paragraph" w:customStyle="1" w:styleId="ITBCvrTopLabels">
    <w:name w:val="ITB_Cvr_Top_Labels"/>
    <w:link w:val="ITBCvrTopLabelsChar"/>
    <w:rsid w:val="00381D7F"/>
    <w:pPr>
      <w:spacing w:before="60" w:after="60" w:line="276" w:lineRule="auto"/>
    </w:pPr>
    <w:rPr>
      <w:rFonts w:ascii="Arial" w:hAnsi="Arial"/>
      <w:color w:val="333399"/>
      <w:sz w:val="24"/>
      <w:szCs w:val="28"/>
      <w:lang w:bidi="en-US"/>
    </w:rPr>
  </w:style>
  <w:style w:type="paragraph" w:customStyle="1" w:styleId="ITBBodyText">
    <w:name w:val="ITB_BodyText"/>
    <w:link w:val="ITBBodyTextChar"/>
    <w:rsid w:val="00381D7F"/>
    <w:pPr>
      <w:tabs>
        <w:tab w:val="left" w:pos="5220"/>
        <w:tab w:val="left" w:pos="10080"/>
      </w:tabs>
      <w:suppressAutoHyphens/>
      <w:spacing w:before="60" w:after="60" w:line="320" w:lineRule="exact"/>
    </w:pPr>
    <w:rPr>
      <w:rFonts w:ascii="Arial" w:hAnsi="Arial" w:cs="Arial"/>
      <w:sz w:val="24"/>
      <w:szCs w:val="24"/>
      <w:lang w:bidi="en-US"/>
    </w:rPr>
  </w:style>
  <w:style w:type="character" w:customStyle="1" w:styleId="ITBBodyTextChar">
    <w:name w:val="ITB_BodyText Char"/>
    <w:link w:val="ITBBodyText"/>
    <w:rsid w:val="00381D7F"/>
    <w:rPr>
      <w:rFonts w:ascii="Arial" w:hAnsi="Arial" w:cs="Arial"/>
      <w:sz w:val="24"/>
      <w:szCs w:val="24"/>
      <w:lang w:bidi="en-US"/>
    </w:rPr>
  </w:style>
  <w:style w:type="character" w:customStyle="1" w:styleId="ITBCvrTopLabelsChar">
    <w:name w:val="ITB_Cvr_Top_Labels Char"/>
    <w:link w:val="ITBCvrTopLabels"/>
    <w:rsid w:val="00381D7F"/>
    <w:rPr>
      <w:rFonts w:ascii="Arial" w:hAnsi="Arial"/>
      <w:color w:val="333399"/>
      <w:sz w:val="24"/>
      <w:szCs w:val="28"/>
      <w:lang w:bidi="en-US"/>
    </w:rPr>
  </w:style>
  <w:style w:type="paragraph" w:customStyle="1" w:styleId="ITBCvrTop2Labels">
    <w:name w:val="ITB_Cvr_Top2_Labels"/>
    <w:rsid w:val="00381D7F"/>
    <w:pPr>
      <w:spacing w:before="120" w:after="120" w:line="276" w:lineRule="auto"/>
    </w:pPr>
    <w:rPr>
      <w:rFonts w:ascii="Arial" w:hAnsi="Arial"/>
      <w:b/>
      <w:smallCaps/>
      <w:color w:val="333399"/>
      <w:sz w:val="24"/>
      <w:szCs w:val="22"/>
      <w:lang w:bidi="en-US"/>
    </w:rPr>
  </w:style>
  <w:style w:type="character" w:styleId="PlaceholderText">
    <w:name w:val="Placeholder Text"/>
    <w:basedOn w:val="DefaultParagraphFont"/>
    <w:uiPriority w:val="99"/>
    <w:semiHidden/>
    <w:rsid w:val="00381D7F"/>
    <w:rPr>
      <w:color w:val="808080"/>
    </w:rPr>
  </w:style>
  <w:style w:type="character" w:customStyle="1" w:styleId="Heading8Char">
    <w:name w:val="Heading 8 Char"/>
    <w:basedOn w:val="DefaultParagraphFont"/>
    <w:link w:val="Heading8"/>
    <w:rsid w:val="00A57185"/>
    <w:rPr>
      <w:rFonts w:ascii="Tms Rmn" w:hAnsi="Tms Rmn" w:cstheme="minorHAnsi"/>
      <w:b/>
      <w:sz w:val="26"/>
      <w:szCs w:val="26"/>
    </w:rPr>
  </w:style>
  <w:style w:type="character" w:customStyle="1" w:styleId="FootnoteTextChar">
    <w:name w:val="Footnote Text Char"/>
    <w:link w:val="FootnoteText"/>
    <w:uiPriority w:val="99"/>
    <w:semiHidden/>
    <w:rsid w:val="00A57185"/>
    <w:rPr>
      <w:rFonts w:ascii="Arial" w:hAnsi="Arial"/>
      <w:sz w:val="24"/>
    </w:rPr>
  </w:style>
  <w:style w:type="character" w:styleId="FootnoteReference">
    <w:name w:val="footnote reference"/>
    <w:uiPriority w:val="99"/>
    <w:unhideWhenUsed/>
    <w:rsid w:val="00A57185"/>
    <w:rPr>
      <w:vertAlign w:val="superscript"/>
    </w:rPr>
  </w:style>
  <w:style w:type="character" w:customStyle="1" w:styleId="ITBLevel2paragraphChar">
    <w:name w:val="ITB_Level2_paragraph Char"/>
    <w:link w:val="ITBLevel2paragraph"/>
    <w:locked/>
    <w:rsid w:val="00A57185"/>
    <w:rPr>
      <w:rFonts w:ascii="Arial" w:hAnsi="Arial" w:cs="Arial"/>
    </w:rPr>
  </w:style>
  <w:style w:type="paragraph" w:customStyle="1" w:styleId="ITBLevel2paragraph">
    <w:name w:val="ITB_Level2_paragraph"/>
    <w:basedOn w:val="Normal"/>
    <w:link w:val="ITBLevel2paragraphChar"/>
    <w:rsid w:val="00A57185"/>
    <w:pPr>
      <w:spacing w:line="280" w:lineRule="exact"/>
      <w:ind w:left="720"/>
      <w:jc w:val="left"/>
    </w:pPr>
    <w:rPr>
      <w:rFonts w:cs="Arial"/>
      <w:sz w:val="20"/>
    </w:rPr>
  </w:style>
  <w:style w:type="character" w:customStyle="1" w:styleId="ITBLevel3CharChar">
    <w:name w:val="ITB_Level3 Char Char"/>
    <w:link w:val="ITBLevel3"/>
    <w:locked/>
    <w:rsid w:val="00A57185"/>
    <w:rPr>
      <w:rFonts w:ascii="Calibri" w:eastAsia="Calibri" w:hAnsi="Calibri" w:cstheme="minorHAnsi"/>
      <w:sz w:val="22"/>
      <w:szCs w:val="22"/>
    </w:rPr>
  </w:style>
  <w:style w:type="character" w:customStyle="1" w:styleId="ITBLevel3paragraphChar">
    <w:name w:val="ITB_Level3_paragraph Char"/>
    <w:link w:val="ITBLevel3paragraph"/>
    <w:locked/>
    <w:rsid w:val="00A57185"/>
    <w:rPr>
      <w:rFonts w:ascii="Arial" w:hAnsi="Arial" w:cs="Arial"/>
    </w:rPr>
  </w:style>
  <w:style w:type="paragraph" w:customStyle="1" w:styleId="ITBLevel3paragraph">
    <w:name w:val="ITB_Level3_paragraph"/>
    <w:basedOn w:val="Normal"/>
    <w:link w:val="ITBLevel3paragraphChar"/>
    <w:rsid w:val="00A57185"/>
    <w:pPr>
      <w:spacing w:line="280" w:lineRule="exact"/>
      <w:ind w:left="1267"/>
      <w:jc w:val="left"/>
    </w:pPr>
    <w:rPr>
      <w:rFonts w:cs="Arial"/>
      <w:sz w:val="20"/>
    </w:rPr>
  </w:style>
  <w:style w:type="character" w:customStyle="1" w:styleId="ITBLevel4paragraphChar">
    <w:name w:val="ITB_Level4_paragraph Char"/>
    <w:link w:val="ITBLevel4paragraph"/>
    <w:locked/>
    <w:rsid w:val="00A57185"/>
    <w:rPr>
      <w:rFonts w:ascii="Arial" w:hAnsi="Arial" w:cs="Arial"/>
    </w:rPr>
  </w:style>
  <w:style w:type="paragraph" w:customStyle="1" w:styleId="ITBLevel4paragraph">
    <w:name w:val="ITB_Level4_paragraph"/>
    <w:basedOn w:val="Normal"/>
    <w:link w:val="ITBLevel4paragraphChar"/>
    <w:rsid w:val="00A57185"/>
    <w:pPr>
      <w:spacing w:line="280" w:lineRule="exact"/>
      <w:ind w:left="1800"/>
      <w:jc w:val="left"/>
    </w:pPr>
    <w:rPr>
      <w:rFonts w:cs="Arial"/>
      <w:sz w:val="20"/>
    </w:rPr>
  </w:style>
  <w:style w:type="character" w:customStyle="1" w:styleId="ITBLevel4CharChar">
    <w:name w:val="ITB_Level4 Char Char"/>
    <w:link w:val="ITBLevel4"/>
    <w:locked/>
    <w:rsid w:val="00A57185"/>
    <w:rPr>
      <w:rFonts w:ascii="Calibri" w:eastAsia="Calibri" w:hAnsi="Calibri" w:cstheme="minorHAnsi"/>
      <w:sz w:val="22"/>
      <w:szCs w:val="22"/>
    </w:rPr>
  </w:style>
  <w:style w:type="character" w:customStyle="1" w:styleId="Heading3Char">
    <w:name w:val="Heading 3 Char"/>
    <w:link w:val="Heading3"/>
    <w:uiPriority w:val="9"/>
    <w:rsid w:val="00A57185"/>
    <w:rPr>
      <w:rFonts w:ascii="Arial Narrow" w:hAnsi="Arial Narrow"/>
      <w:b/>
      <w:sz w:val="16"/>
    </w:rPr>
  </w:style>
  <w:style w:type="paragraph" w:styleId="Caption">
    <w:name w:val="caption"/>
    <w:basedOn w:val="Normal"/>
    <w:next w:val="Normal"/>
    <w:unhideWhenUsed/>
    <w:qFormat/>
    <w:rsid w:val="008E6331"/>
    <w:pPr>
      <w:jc w:val="left"/>
    </w:pPr>
    <w:rPr>
      <w:rFonts w:ascii="Times New Roman" w:hAnsi="Times New Roman"/>
      <w:b/>
      <w:bCs/>
      <w:sz w:val="20"/>
    </w:rPr>
  </w:style>
  <w:style w:type="paragraph" w:styleId="PlainText">
    <w:name w:val="Plain Text"/>
    <w:basedOn w:val="Normal"/>
    <w:link w:val="PlainTextChar"/>
    <w:uiPriority w:val="99"/>
    <w:unhideWhenUsed/>
    <w:rsid w:val="008E6331"/>
    <w:pPr>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8E6331"/>
    <w:rPr>
      <w:rFonts w:ascii="Consolas" w:eastAsia="Calibri" w:hAnsi="Consolas"/>
      <w:sz w:val="21"/>
      <w:szCs w:val="21"/>
    </w:rPr>
  </w:style>
  <w:style w:type="character" w:styleId="Strong">
    <w:name w:val="Strong"/>
    <w:basedOn w:val="DefaultParagraphFont"/>
    <w:uiPriority w:val="22"/>
    <w:qFormat/>
    <w:rsid w:val="00DC773F"/>
    <w:rPr>
      <w:b/>
      <w:bCs/>
    </w:rPr>
  </w:style>
  <w:style w:type="character" w:styleId="Emphasis">
    <w:name w:val="Emphasis"/>
    <w:basedOn w:val="DefaultParagraphFont"/>
    <w:uiPriority w:val="20"/>
    <w:qFormat/>
    <w:rsid w:val="00DC773F"/>
    <w:rPr>
      <w:i/>
      <w:iCs/>
    </w:rPr>
  </w:style>
  <w:style w:type="character" w:customStyle="1" w:styleId="apple-converted-space">
    <w:name w:val="apple-converted-space"/>
    <w:basedOn w:val="DefaultParagraphFont"/>
    <w:rsid w:val="00DC773F"/>
  </w:style>
  <w:style w:type="paragraph" w:customStyle="1" w:styleId="Level3">
    <w:name w:val="Level 3"/>
    <w:basedOn w:val="ITBLevel1"/>
    <w:link w:val="Level3Char"/>
    <w:qFormat/>
    <w:rsid w:val="00E767CD"/>
    <w:pPr>
      <w:numPr>
        <w:numId w:val="15"/>
      </w:numPr>
      <w:spacing w:before="120"/>
      <w:ind w:left="1080"/>
      <w:jc w:val="both"/>
    </w:pPr>
    <w:rPr>
      <w:rFonts w:ascii="Arial" w:eastAsiaTheme="minorHAnsi" w:hAnsi="Arial" w:cs="Arial"/>
      <w:b/>
      <w:bCs/>
      <w:sz w:val="24"/>
      <w:szCs w:val="24"/>
      <w:u w:val="single"/>
    </w:rPr>
  </w:style>
  <w:style w:type="character" w:customStyle="1" w:styleId="Level3Char">
    <w:name w:val="Level 3 Char"/>
    <w:basedOn w:val="DefaultParagraphFont"/>
    <w:link w:val="Level3"/>
    <w:rsid w:val="00E767CD"/>
    <w:rPr>
      <w:rFonts w:ascii="Arial" w:eastAsiaTheme="minorHAnsi" w:hAnsi="Arial" w:cs="Arial"/>
      <w:b/>
      <w:bCs/>
      <w:sz w:val="24"/>
      <w:szCs w:val="24"/>
      <w:u w:val="single"/>
    </w:rPr>
  </w:style>
  <w:style w:type="paragraph" w:customStyle="1" w:styleId="RFP1">
    <w:name w:val="RFP 1."/>
    <w:basedOn w:val="ITBLevel2"/>
    <w:link w:val="RFP1Char"/>
    <w:qFormat/>
    <w:rsid w:val="001B3CC6"/>
    <w:pPr>
      <w:numPr>
        <w:ilvl w:val="0"/>
        <w:numId w:val="16"/>
      </w:numPr>
      <w:spacing w:before="120"/>
    </w:pPr>
    <w:rPr>
      <w:rFonts w:ascii="Arial" w:hAnsi="Arial" w:cs="Arial"/>
      <w:b/>
      <w:sz w:val="24"/>
      <w:szCs w:val="24"/>
    </w:rPr>
  </w:style>
  <w:style w:type="paragraph" w:customStyle="1" w:styleId="RFPPara">
    <w:name w:val="RFP Para"/>
    <w:basedOn w:val="ITBLevel2"/>
    <w:link w:val="RFPParaChar"/>
    <w:qFormat/>
    <w:rsid w:val="00745D23"/>
    <w:pPr>
      <w:numPr>
        <w:ilvl w:val="0"/>
        <w:numId w:val="0"/>
      </w:numPr>
      <w:spacing w:after="0" w:line="276" w:lineRule="auto"/>
      <w:ind w:left="720"/>
      <w:contextualSpacing/>
      <w:jc w:val="both"/>
    </w:pPr>
    <w:rPr>
      <w:rFonts w:asciiTheme="minorHAnsi" w:hAnsiTheme="minorHAnsi"/>
    </w:rPr>
  </w:style>
  <w:style w:type="character" w:customStyle="1" w:styleId="RFP1Char">
    <w:name w:val="RFP 1. Char"/>
    <w:basedOn w:val="ITBLevel2CharChar"/>
    <w:link w:val="RFP1"/>
    <w:rsid w:val="001B3CC6"/>
    <w:rPr>
      <w:rFonts w:ascii="Arial" w:eastAsia="Calibri" w:hAnsi="Arial" w:cs="Arial"/>
      <w:b/>
      <w:sz w:val="24"/>
      <w:szCs w:val="24"/>
    </w:rPr>
  </w:style>
  <w:style w:type="paragraph" w:customStyle="1" w:styleId="RFPA">
    <w:name w:val="RFP A."/>
    <w:basedOn w:val="Normal"/>
    <w:link w:val="RFPAChar"/>
    <w:qFormat/>
    <w:rsid w:val="0047787F"/>
    <w:pPr>
      <w:numPr>
        <w:ilvl w:val="1"/>
        <w:numId w:val="23"/>
      </w:numPr>
    </w:pPr>
  </w:style>
  <w:style w:type="character" w:customStyle="1" w:styleId="RFPParaChar">
    <w:name w:val="RFP Para Char"/>
    <w:basedOn w:val="ITBLevel2CharChar"/>
    <w:link w:val="RFPPara"/>
    <w:rsid w:val="00745D23"/>
    <w:rPr>
      <w:rFonts w:asciiTheme="minorHAnsi" w:eastAsia="Calibri" w:hAnsiTheme="minorHAnsi" w:cstheme="minorHAnsi"/>
      <w:sz w:val="22"/>
      <w:szCs w:val="22"/>
    </w:rPr>
  </w:style>
  <w:style w:type="paragraph" w:styleId="TOC1">
    <w:name w:val="toc 1"/>
    <w:basedOn w:val="Normal"/>
    <w:next w:val="Normal"/>
    <w:autoRedefine/>
    <w:uiPriority w:val="39"/>
    <w:rsid w:val="003E226A"/>
    <w:pPr>
      <w:tabs>
        <w:tab w:val="left" w:pos="440"/>
        <w:tab w:val="right" w:leader="dot" w:pos="10790"/>
      </w:tabs>
      <w:spacing w:after="100"/>
      <w:jc w:val="left"/>
    </w:pPr>
    <w:rPr>
      <w:noProof/>
    </w:rPr>
  </w:style>
  <w:style w:type="character" w:customStyle="1" w:styleId="RFPAChar">
    <w:name w:val="RFP A. Char"/>
    <w:basedOn w:val="ITBLevel4CharChar"/>
    <w:link w:val="RFPA"/>
    <w:rsid w:val="0047787F"/>
    <w:rPr>
      <w:rFonts w:asciiTheme="minorHAnsi" w:eastAsia="Calibri" w:hAnsiTheme="minorHAnsi" w:cstheme="minorHAnsi"/>
      <w:sz w:val="26"/>
      <w:szCs w:val="26"/>
    </w:rPr>
  </w:style>
  <w:style w:type="paragraph" w:customStyle="1" w:styleId="RFPISCHED">
    <w:name w:val="RFP I. SCHED"/>
    <w:basedOn w:val="ITBLevel2"/>
    <w:link w:val="RFPISCHEDChar"/>
    <w:qFormat/>
    <w:rsid w:val="00BD68A2"/>
    <w:pPr>
      <w:numPr>
        <w:ilvl w:val="0"/>
        <w:numId w:val="17"/>
      </w:numPr>
      <w:spacing w:before="120"/>
      <w:ind w:left="360" w:hanging="450"/>
    </w:pPr>
    <w:rPr>
      <w:rFonts w:ascii="Arial" w:hAnsi="Arial" w:cs="Arial"/>
      <w:b/>
      <w:sz w:val="24"/>
      <w:szCs w:val="24"/>
    </w:rPr>
  </w:style>
  <w:style w:type="character" w:customStyle="1" w:styleId="RFPISCHEDChar">
    <w:name w:val="RFP I. SCHED Char"/>
    <w:basedOn w:val="ITBLevel2CharChar"/>
    <w:link w:val="RFPISCHED"/>
    <w:rsid w:val="00BD68A2"/>
    <w:rPr>
      <w:rFonts w:ascii="Arial" w:eastAsia="Calibri" w:hAnsi="Arial" w:cs="Arial"/>
      <w:b/>
      <w:sz w:val="24"/>
      <w:szCs w:val="24"/>
    </w:rPr>
  </w:style>
  <w:style w:type="paragraph" w:customStyle="1" w:styleId="RFPlevel4">
    <w:name w:val="RFP level 4"/>
    <w:basedOn w:val="Heading1"/>
    <w:next w:val="Normal"/>
    <w:link w:val="RFPlevel4Char"/>
    <w:qFormat/>
    <w:rsid w:val="000C3DAB"/>
    <w:pPr>
      <w:numPr>
        <w:numId w:val="0"/>
      </w:numPr>
      <w:ind w:left="1170" w:hanging="306"/>
      <w:jc w:val="center"/>
    </w:pPr>
    <w:rPr>
      <w:rFonts w:eastAsia="Calibri"/>
      <w:b/>
    </w:rPr>
  </w:style>
  <w:style w:type="character" w:customStyle="1" w:styleId="RFPlevel4Char">
    <w:name w:val="RFP level 4 Char"/>
    <w:basedOn w:val="RFP1Char"/>
    <w:link w:val="RFPlevel4"/>
    <w:rsid w:val="000C3DAB"/>
    <w:rPr>
      <w:rFonts w:asciiTheme="minorHAnsi" w:eastAsia="Calibri" w:hAnsiTheme="minorHAnsi" w:cstheme="minorHAnsi"/>
      <w:b/>
      <w:sz w:val="28"/>
      <w:szCs w:val="28"/>
    </w:rPr>
  </w:style>
  <w:style w:type="paragraph" w:customStyle="1" w:styleId="Level3RFP">
    <w:name w:val="Level 3 RFP"/>
    <w:basedOn w:val="ITBLevel2"/>
    <w:qFormat/>
    <w:rsid w:val="008D414E"/>
    <w:pPr>
      <w:numPr>
        <w:ilvl w:val="0"/>
        <w:numId w:val="18"/>
      </w:numPr>
      <w:spacing w:before="120" w:line="276" w:lineRule="auto"/>
      <w:jc w:val="both"/>
    </w:pPr>
    <w:rPr>
      <w:rFonts w:asciiTheme="minorHAnsi" w:eastAsiaTheme="minorHAnsi" w:hAnsiTheme="minorHAnsi"/>
    </w:rPr>
  </w:style>
  <w:style w:type="table" w:customStyle="1" w:styleId="TableGrid1">
    <w:name w:val="Table Grid1"/>
    <w:basedOn w:val="TableNormal"/>
    <w:next w:val="TableGrid"/>
    <w:uiPriority w:val="59"/>
    <w:rsid w:val="00904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nhideWhenUsed/>
    <w:rsid w:val="00A46F5E"/>
    <w:pPr>
      <w:spacing w:line="220" w:lineRule="atLeast"/>
      <w:ind w:left="840" w:right="-360"/>
      <w:jc w:val="left"/>
    </w:pPr>
    <w:rPr>
      <w:rFonts w:ascii="Times New Roman" w:hAnsi="Times New Roman"/>
      <w:sz w:val="20"/>
    </w:rPr>
  </w:style>
  <w:style w:type="character" w:customStyle="1" w:styleId="ClosingChar">
    <w:name w:val="Closing Char"/>
    <w:basedOn w:val="DefaultParagraphFont"/>
    <w:link w:val="Closing"/>
    <w:rsid w:val="00A46F5E"/>
    <w:rPr>
      <w:rFonts w:ascii="Times New Roman" w:hAnsi="Times New Roman"/>
    </w:rPr>
  </w:style>
  <w:style w:type="table" w:customStyle="1" w:styleId="TableGrid2">
    <w:name w:val="Table Grid2"/>
    <w:basedOn w:val="TableNormal"/>
    <w:next w:val="TableGrid"/>
    <w:uiPriority w:val="59"/>
    <w:rsid w:val="001E7F2B"/>
    <w:pPr>
      <w:widowControl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30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9641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6FF4"/>
    <w:rPr>
      <w:color w:val="605E5C"/>
      <w:shd w:val="clear" w:color="auto" w:fill="E1DFDD"/>
    </w:rPr>
  </w:style>
  <w:style w:type="character" w:customStyle="1" w:styleId="font251">
    <w:name w:val="font251"/>
    <w:basedOn w:val="DefaultParagraphFont"/>
    <w:rsid w:val="00EB7391"/>
    <w:rPr>
      <w:rFonts w:ascii="Arial" w:hAnsi="Arial" w:cs="Arial" w:hint="default"/>
      <w:b/>
      <w:bCs/>
      <w:i w:val="0"/>
      <w:iCs w:val="0"/>
      <w:strike w:val="0"/>
      <w:dstrike w:val="0"/>
      <w:color w:val="FF0000"/>
      <w:sz w:val="22"/>
      <w:szCs w:val="22"/>
      <w:u w:val="none"/>
      <w:effect w:val="none"/>
    </w:rPr>
  </w:style>
  <w:style w:type="paragraph" w:styleId="TOCHeading">
    <w:name w:val="TOC Heading"/>
    <w:basedOn w:val="Heading1"/>
    <w:next w:val="Normal"/>
    <w:uiPriority w:val="39"/>
    <w:unhideWhenUsed/>
    <w:qFormat/>
    <w:rsid w:val="004032D6"/>
    <w:pPr>
      <w:keepLines/>
      <w:spacing w:line="259" w:lineRule="auto"/>
      <w:jc w:val="left"/>
      <w:outlineLvl w:val="9"/>
    </w:pPr>
    <w:rPr>
      <w:rFonts w:asciiTheme="majorHAnsi" w:eastAsiaTheme="majorEastAsia" w:hAnsiTheme="majorHAnsi" w:cstheme="majorBidi"/>
      <w:b/>
      <w:color w:val="365F91" w:themeColor="accent1" w:themeShade="BF"/>
      <w:sz w:val="32"/>
      <w:szCs w:val="32"/>
    </w:rPr>
  </w:style>
  <w:style w:type="paragraph" w:styleId="TOC2">
    <w:name w:val="toc 2"/>
    <w:basedOn w:val="Normal"/>
    <w:next w:val="Normal"/>
    <w:autoRedefine/>
    <w:uiPriority w:val="39"/>
    <w:unhideWhenUsed/>
    <w:rsid w:val="003E226A"/>
    <w:pPr>
      <w:tabs>
        <w:tab w:val="left" w:pos="900"/>
        <w:tab w:val="right" w:leader="dot" w:pos="10790"/>
      </w:tabs>
      <w:spacing w:after="100"/>
      <w:ind w:left="245"/>
    </w:pPr>
  </w:style>
  <w:style w:type="paragraph" w:customStyle="1" w:styleId="RFPLevel3">
    <w:name w:val="RFP_Level3"/>
    <w:basedOn w:val="RFPA"/>
    <w:link w:val="RFPLevel3Char"/>
    <w:qFormat/>
    <w:rsid w:val="0047787F"/>
    <w:pPr>
      <w:numPr>
        <w:ilvl w:val="2"/>
      </w:numPr>
    </w:pPr>
  </w:style>
  <w:style w:type="numbering" w:customStyle="1" w:styleId="RFP">
    <w:name w:val="RFP"/>
    <w:uiPriority w:val="99"/>
    <w:rsid w:val="0047787F"/>
    <w:pPr>
      <w:numPr>
        <w:numId w:val="23"/>
      </w:numPr>
    </w:pPr>
  </w:style>
  <w:style w:type="character" w:customStyle="1" w:styleId="RFPLevel3Char">
    <w:name w:val="RFP_Level3 Char"/>
    <w:basedOn w:val="RFPAChar"/>
    <w:link w:val="RFPLevel3"/>
    <w:rsid w:val="0047787F"/>
    <w:rPr>
      <w:rFonts w:asciiTheme="minorHAnsi" w:eastAsia="Calibri" w:hAnsiTheme="minorHAnsi" w:cstheme="minorHAnsi"/>
      <w:sz w:val="26"/>
      <w:szCs w:val="26"/>
    </w:rPr>
  </w:style>
  <w:style w:type="paragraph" w:customStyle="1" w:styleId="RFPSubmtlPack">
    <w:name w:val="RFP_SubmtlPack"/>
    <w:basedOn w:val="Heading5"/>
    <w:next w:val="Normal"/>
    <w:link w:val="RFPSubmtlPackChar"/>
    <w:qFormat/>
    <w:rsid w:val="00FC3AD5"/>
    <w:pPr>
      <w:spacing w:before="240"/>
    </w:pPr>
    <w:rPr>
      <w:rFonts w:asciiTheme="minorHAnsi" w:eastAsia="Arial" w:hAnsiTheme="minorHAnsi"/>
      <w:sz w:val="26"/>
    </w:rPr>
  </w:style>
  <w:style w:type="character" w:customStyle="1" w:styleId="Heading2Char">
    <w:name w:val="Heading 2 Char"/>
    <w:basedOn w:val="DefaultParagraphFont"/>
    <w:link w:val="Heading2"/>
    <w:rsid w:val="004576C4"/>
    <w:rPr>
      <w:rFonts w:asciiTheme="minorHAnsi" w:hAnsiTheme="minorHAnsi" w:cstheme="minorHAnsi"/>
      <w:b/>
      <w:bCs/>
      <w:sz w:val="26"/>
      <w:szCs w:val="26"/>
    </w:rPr>
  </w:style>
  <w:style w:type="character" w:customStyle="1" w:styleId="Heading4Char">
    <w:name w:val="Heading 4 Char"/>
    <w:basedOn w:val="Heading2Char"/>
    <w:link w:val="Heading4"/>
    <w:rsid w:val="00B16DAD"/>
    <w:rPr>
      <w:rFonts w:asciiTheme="minorHAnsi" w:hAnsiTheme="minorHAnsi" w:cstheme="minorHAnsi"/>
      <w:b w:val="0"/>
      <w:bCs w:val="0"/>
      <w:sz w:val="28"/>
      <w:szCs w:val="28"/>
    </w:rPr>
  </w:style>
  <w:style w:type="character" w:customStyle="1" w:styleId="RFPSubmtlPackChar">
    <w:name w:val="RFP_SubmtlPack Char"/>
    <w:basedOn w:val="Heading4Char"/>
    <w:link w:val="RFPSubmtlPack"/>
    <w:rsid w:val="00FC3AD5"/>
    <w:rPr>
      <w:rFonts w:asciiTheme="minorHAnsi" w:eastAsia="Arial" w:hAnsiTheme="minorHAnsi" w:cstheme="minorHAnsi"/>
      <w:b/>
      <w:bCs w:val="0"/>
      <w:sz w:val="26"/>
      <w:szCs w:val="26"/>
    </w:rPr>
  </w:style>
  <w:style w:type="character" w:styleId="FollowedHyperlink">
    <w:name w:val="FollowedHyperlink"/>
    <w:basedOn w:val="DefaultParagraphFont"/>
    <w:semiHidden/>
    <w:unhideWhenUsed/>
    <w:rsid w:val="00CC626F"/>
    <w:rPr>
      <w:color w:val="800080" w:themeColor="followedHyperlink"/>
      <w:u w:val="single"/>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rFonts w:asciiTheme="minorHAnsi" w:hAnsiTheme="minorHAnsi" w:cstheme="minorHAnsi"/>
    </w:rPr>
  </w:style>
  <w:style w:type="character" w:styleId="CommentReference">
    <w:name w:val="annotation reference"/>
    <w:basedOn w:val="DefaultParagraphFont"/>
    <w:semiHidden/>
    <w:unhideWhenUsed/>
    <w:rPr>
      <w:sz w:val="16"/>
      <w:szCs w:val="16"/>
    </w:rPr>
  </w:style>
  <w:style w:type="paragraph" w:customStyle="1" w:styleId="ProposalSubtitle">
    <w:name w:val="Proposal Subtitle"/>
    <w:pPr>
      <w:spacing w:after="360"/>
    </w:pPr>
    <w:rPr>
      <w:rFonts w:ascii="Arial" w:hAnsi="Arial"/>
      <w:color w:val="49585D"/>
      <w:sz w:val="26"/>
    </w:rPr>
  </w:style>
  <w:style w:type="paragraph" w:customStyle="1" w:styleId="SectionLabel">
    <w:name w:val="Section Label"/>
    <w:pPr>
      <w:keepNext/>
      <w:spacing w:before="40" w:after="80"/>
    </w:pPr>
    <w:rPr>
      <w:rFonts w:ascii="Arial" w:hAnsi="Arial"/>
      <w:b/>
      <w:color w:val="B3262E"/>
      <w:sz w:val="17"/>
    </w:rPr>
  </w:style>
  <w:style w:type="paragraph" w:customStyle="1" w:styleId="QuestionPrompt">
    <w:name w:val="Question Prompt"/>
    <w:pPr>
      <w:spacing w:after="0" w:line="264" w:lineRule="auto"/>
    </w:pPr>
    <w:rPr>
      <w:rFonts w:ascii="Arial" w:hAnsi="Arial"/>
      <w:b/>
      <w:color w:val="17242A"/>
      <w:sz w:val="20"/>
    </w:rPr>
  </w:style>
  <w:style w:type="paragraph" w:customStyle="1" w:styleId="Confirmation">
    <w:name w:val="Confirmation"/>
    <w:pPr>
      <w:spacing w:before="60" w:after="120"/>
    </w:pPr>
    <w:rPr>
      <w:rFonts w:ascii="Arial" w:hAnsi="Arial"/>
      <w:b/>
      <w:color w:val="B3262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49342">
      <w:bodyDiv w:val="1"/>
      <w:marLeft w:val="0"/>
      <w:marRight w:val="0"/>
      <w:marTop w:val="0"/>
      <w:marBottom w:val="0"/>
      <w:divBdr>
        <w:top w:val="none" w:sz="0" w:space="0" w:color="auto"/>
        <w:left w:val="none" w:sz="0" w:space="0" w:color="auto"/>
        <w:bottom w:val="none" w:sz="0" w:space="0" w:color="auto"/>
        <w:right w:val="none" w:sz="0" w:space="0" w:color="auto"/>
      </w:divBdr>
    </w:div>
    <w:div w:id="544752738">
      <w:bodyDiv w:val="1"/>
      <w:marLeft w:val="0"/>
      <w:marRight w:val="0"/>
      <w:marTop w:val="0"/>
      <w:marBottom w:val="0"/>
      <w:divBdr>
        <w:top w:val="none" w:sz="0" w:space="0" w:color="auto"/>
        <w:left w:val="none" w:sz="0" w:space="0" w:color="auto"/>
        <w:bottom w:val="none" w:sz="0" w:space="0" w:color="auto"/>
        <w:right w:val="none" w:sz="0" w:space="0" w:color="auto"/>
      </w:divBdr>
      <w:divsChild>
        <w:div w:id="443158373">
          <w:marLeft w:val="0"/>
          <w:marRight w:val="0"/>
          <w:marTop w:val="0"/>
          <w:marBottom w:val="0"/>
          <w:divBdr>
            <w:top w:val="none" w:sz="0" w:space="0" w:color="auto"/>
            <w:left w:val="none" w:sz="0" w:space="0" w:color="auto"/>
            <w:bottom w:val="none" w:sz="0" w:space="0" w:color="auto"/>
            <w:right w:val="none" w:sz="0" w:space="0" w:color="auto"/>
          </w:divBdr>
        </w:div>
      </w:divsChild>
    </w:div>
    <w:div w:id="681782216">
      <w:bodyDiv w:val="1"/>
      <w:marLeft w:val="0"/>
      <w:marRight w:val="0"/>
      <w:marTop w:val="0"/>
      <w:marBottom w:val="0"/>
      <w:divBdr>
        <w:top w:val="none" w:sz="0" w:space="0" w:color="auto"/>
        <w:left w:val="none" w:sz="0" w:space="0" w:color="auto"/>
        <w:bottom w:val="none" w:sz="0" w:space="0" w:color="auto"/>
        <w:right w:val="none" w:sz="0" w:space="0" w:color="auto"/>
      </w:divBdr>
    </w:div>
    <w:div w:id="934820745">
      <w:bodyDiv w:val="1"/>
      <w:marLeft w:val="0"/>
      <w:marRight w:val="0"/>
      <w:marTop w:val="0"/>
      <w:marBottom w:val="0"/>
      <w:divBdr>
        <w:top w:val="none" w:sz="0" w:space="0" w:color="auto"/>
        <w:left w:val="none" w:sz="0" w:space="0" w:color="auto"/>
        <w:bottom w:val="none" w:sz="0" w:space="0" w:color="auto"/>
        <w:right w:val="none" w:sz="0" w:space="0" w:color="auto"/>
      </w:divBdr>
    </w:div>
    <w:div w:id="994918400">
      <w:bodyDiv w:val="1"/>
      <w:marLeft w:val="0"/>
      <w:marRight w:val="0"/>
      <w:marTop w:val="0"/>
      <w:marBottom w:val="0"/>
      <w:divBdr>
        <w:top w:val="none" w:sz="0" w:space="0" w:color="auto"/>
        <w:left w:val="none" w:sz="0" w:space="0" w:color="auto"/>
        <w:bottom w:val="none" w:sz="0" w:space="0" w:color="auto"/>
        <w:right w:val="none" w:sz="0" w:space="0" w:color="auto"/>
      </w:divBdr>
    </w:div>
    <w:div w:id="1326468738">
      <w:bodyDiv w:val="1"/>
      <w:marLeft w:val="0"/>
      <w:marRight w:val="0"/>
      <w:marTop w:val="0"/>
      <w:marBottom w:val="0"/>
      <w:divBdr>
        <w:top w:val="none" w:sz="0" w:space="0" w:color="auto"/>
        <w:left w:val="none" w:sz="0" w:space="0" w:color="auto"/>
        <w:bottom w:val="none" w:sz="0" w:space="0" w:color="auto"/>
        <w:right w:val="none" w:sz="0" w:space="0" w:color="auto"/>
      </w:divBdr>
    </w:div>
    <w:div w:id="170212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hyperlink" Target="https://www.lockhartsuver.com/" TargetMode="External"/><Relationship Id="rId18" Type="http://schemas.openxmlformats.org/officeDocument/2006/relationships/hyperlink" Target="https://lennonwc.com/" TargetMode="External"/><Relationship Id="rId19" Type="http://schemas.openxmlformats.org/officeDocument/2006/relationships/hyperlink" Target="https://www.distinctiveglas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64af79-d013-4347-b6c3-f0f314e347ac">
      <Terms xmlns="http://schemas.microsoft.com/office/infopath/2007/PartnerControls"/>
    </lcf76f155ced4ddcb4097134ff3c332f>
    <TaxCatchAll xmlns="bfc4df1d-cba8-4124-a0af-2bf688d16d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EF3322364D5A4F9E027FE723C46D3C" ma:contentTypeVersion="15" ma:contentTypeDescription="Create a new document." ma:contentTypeScope="" ma:versionID="47d97cf3d9031aae653070e2c0b5284d">
  <xsd:schema xmlns:xsd="http://www.w3.org/2001/XMLSchema" xmlns:xs="http://www.w3.org/2001/XMLSchema" xmlns:p="http://schemas.microsoft.com/office/2006/metadata/properties" xmlns:ns2="0364af79-d013-4347-b6c3-f0f314e347ac" xmlns:ns3="bfc4df1d-cba8-4124-a0af-2bf688d16d97" targetNamespace="http://schemas.microsoft.com/office/2006/metadata/properties" ma:root="true" ma:fieldsID="fddbb6f30b6ff461ac383d5a47b9222d" ns2:_="" ns3:_="">
    <xsd:import namespace="0364af79-d013-4347-b6c3-f0f314e347ac"/>
    <xsd:import namespace="bfc4df1d-cba8-4124-a0af-2bf688d16d9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4af79-d013-4347-b6c3-f0f314e347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aa9a7e-6656-4517-b4bb-2975467175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c4df1d-cba8-4124-a0af-2bf688d16d9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1a5e756-4b77-4154-9284-a2d11424ea7a}" ma:internalName="TaxCatchAll" ma:showField="CatchAllData" ma:web="bfc4df1d-cba8-4124-a0af-2bf688d16d9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3545D-F8E3-47D6-A5CB-ACB5C0756858}">
  <ds:schemaRefs>
    <ds:schemaRef ds:uri="http://schemas.microsoft.com/sharepoint/v3/contenttype/forms"/>
  </ds:schemaRefs>
</ds:datastoreItem>
</file>

<file path=customXml/itemProps2.xml><?xml version="1.0" encoding="utf-8"?>
<ds:datastoreItem xmlns:ds="http://schemas.openxmlformats.org/officeDocument/2006/customXml" ds:itemID="{E05E47DD-33D0-438A-80AA-67D27D534959}">
  <ds:schemaRefs>
    <ds:schemaRef ds:uri="http://schemas.openxmlformats.org/officeDocument/2006/bibliography"/>
  </ds:schemaRefs>
</ds:datastoreItem>
</file>

<file path=customXml/itemProps3.xml><?xml version="1.0" encoding="utf-8"?>
<ds:datastoreItem xmlns:ds="http://schemas.openxmlformats.org/officeDocument/2006/customXml" ds:itemID="{363FF88A-29FE-4B1C-9288-51F5C3389A54}">
  <ds:schemaRefs>
    <ds:schemaRef ds:uri="http://schemas.microsoft.com/office/2006/metadata/properties"/>
    <ds:schemaRef ds:uri="http://schemas.microsoft.com/office/infopath/2007/PartnerControls"/>
    <ds:schemaRef ds:uri="0364af79-d013-4347-b6c3-f0f314e347ac"/>
    <ds:schemaRef ds:uri="bfc4df1d-cba8-4124-a0af-2bf688d16d97"/>
  </ds:schemaRefs>
</ds:datastoreItem>
</file>

<file path=customXml/itemProps4.xml><?xml version="1.0" encoding="utf-8"?>
<ds:datastoreItem xmlns:ds="http://schemas.openxmlformats.org/officeDocument/2006/customXml" ds:itemID="{FF39EE14-9494-42CB-BDEB-AC9A0AD10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64af79-d013-4347-b6c3-f0f314e347ac"/>
    <ds:schemaRef ds:uri="bfc4df1d-cba8-4124-a0af-2bf688d16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1656</Words>
  <Characters>9443</Characters>
  <Application>Microsoft Office Word</Application>
  <DocSecurity>0</DocSecurity>
  <Lines>78</Lines>
  <Paragraphs>22</Paragraphs>
  <ScaleCrop>false</ScaleCrop>
  <Company>Snohomish County</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RFP-25-0606BC Attachment A Submittal Packet</dc:title>
  <dc:creator>Alpath Engineering</dc:creator>
  <cp:lastModifiedBy>Cassese, Brett</cp:lastModifiedBy>
  <cp:revision>23</cp:revision>
  <dcterms:created xsi:type="dcterms:W3CDTF">2023-04-06T15:11:00Z</dcterms:created>
  <dcterms:modified xsi:type="dcterms:W3CDTF">2026-08-26T21:17:00Z</dcterms:modified>
  <dc:subject>Web Design Hosting and CMS Solution</dc:subject>
  <cp:keywords>RFP-25-0606BC, Snohomish County, Alpath Engineering</cp:keywords>
  <dc:description>Prepared by Alpath Engineering</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0x010100EFEF3322364D5A4F9E027FE723C46D3C</vt:lpwstr>
  </property>
  <property fmtid="{D5CDD505-2E9C-101B-9397-08002B2CF9AE}" pid="3" name="MediaServiceImageTags">
    <vt:lpwstr/>
  </property>
</Properties>
</file>