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019A2" w14:textId="77777777" w:rsidR="00DA1033" w:rsidRPr="00AD7E8A" w:rsidRDefault="00000000">
      <w:pPr>
        <w:spacing w:after="0" w:line="259" w:lineRule="auto"/>
        <w:ind w:left="1" w:right="0" w:firstLine="0"/>
        <w:jc w:val="center"/>
        <w:rPr>
          <w:rFonts w:ascii="Arial" w:hAnsi="Arial" w:cs="Arial"/>
          <w:szCs w:val="22"/>
        </w:rPr>
      </w:pPr>
      <w:r w:rsidRPr="00AD7E8A">
        <w:rPr>
          <w:rFonts w:ascii="Arial" w:hAnsi="Arial" w:cs="Arial"/>
          <w:b/>
          <w:color w:val="2B6CB0"/>
          <w:szCs w:val="22"/>
        </w:rPr>
        <w:t>EVALUACIÓN DE LA CORTE III</w:t>
      </w:r>
    </w:p>
    <w:p w14:paraId="6D444B91" w14:textId="77777777" w:rsidR="00DA1033" w:rsidRPr="00AD7E8A" w:rsidRDefault="00000000">
      <w:pPr>
        <w:spacing w:after="0" w:line="259" w:lineRule="auto"/>
        <w:ind w:left="0" w:firstLine="0"/>
        <w:jc w:val="center"/>
        <w:rPr>
          <w:rFonts w:ascii="Arial" w:hAnsi="Arial" w:cs="Arial"/>
          <w:szCs w:val="22"/>
        </w:rPr>
      </w:pPr>
      <w:r w:rsidRPr="00AD7E8A">
        <w:rPr>
          <w:rFonts w:ascii="Arial" w:hAnsi="Arial" w:cs="Arial"/>
          <w:szCs w:val="22"/>
        </w:rPr>
        <w:t>Servicios Telemáticos - Diseño de Interfaz (GUI)</w:t>
      </w:r>
    </w:p>
    <w:tbl>
      <w:tblPr>
        <w:tblStyle w:val="TableGrid"/>
        <w:tblW w:w="9615" w:type="dxa"/>
        <w:tblInd w:w="23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71"/>
        <w:gridCol w:w="5144"/>
      </w:tblGrid>
      <w:tr w:rsidR="00DA1033" w:rsidRPr="00AD7E8A" w14:paraId="15C100D9" w14:textId="77777777">
        <w:trPr>
          <w:trHeight w:val="1203"/>
        </w:trPr>
        <w:tc>
          <w:tcPr>
            <w:tcW w:w="4471" w:type="dxa"/>
            <w:tcBorders>
              <w:top w:val="single" w:sz="12" w:space="0" w:color="2B6CB0"/>
              <w:left w:val="nil"/>
              <w:bottom w:val="nil"/>
              <w:right w:val="nil"/>
            </w:tcBorders>
            <w:vAlign w:val="center"/>
          </w:tcPr>
          <w:p w14:paraId="48662A12" w14:textId="7157C5A3" w:rsidR="00DA1033" w:rsidRPr="00AD7E8A" w:rsidRDefault="00000000" w:rsidP="00AD7E8A">
            <w:pPr>
              <w:spacing w:after="17" w:line="259" w:lineRule="auto"/>
              <w:ind w:right="0"/>
              <w:jc w:val="left"/>
              <w:rPr>
                <w:rFonts w:ascii="Arial" w:hAnsi="Arial" w:cs="Arial"/>
                <w:szCs w:val="22"/>
              </w:rPr>
            </w:pPr>
            <w:r w:rsidRPr="00AD7E8A">
              <w:rPr>
                <w:rFonts w:ascii="Arial" w:hAnsi="Arial" w:cs="Arial"/>
                <w:b/>
                <w:szCs w:val="22"/>
              </w:rPr>
              <w:t>Plataforma de Gestión de Estudi</w:t>
            </w:r>
            <w:r w:rsidR="00AD7E8A" w:rsidRPr="00AD7E8A">
              <w:rPr>
                <w:rFonts w:ascii="Arial" w:hAnsi="Arial" w:cs="Arial"/>
                <w:b/>
                <w:szCs w:val="22"/>
              </w:rPr>
              <w:t xml:space="preserve">o </w:t>
            </w:r>
            <w:r w:rsidRPr="00AD7E8A">
              <w:rPr>
                <w:rFonts w:ascii="Arial" w:hAnsi="Arial" w:cs="Arial"/>
                <w:b/>
                <w:szCs w:val="22"/>
              </w:rPr>
              <w:t>Optimizado</w:t>
            </w:r>
          </w:p>
        </w:tc>
        <w:tc>
          <w:tcPr>
            <w:tcW w:w="5145" w:type="dxa"/>
            <w:tcBorders>
              <w:top w:val="single" w:sz="12" w:space="0" w:color="2B6CB0"/>
              <w:left w:val="nil"/>
              <w:bottom w:val="nil"/>
              <w:right w:val="nil"/>
            </w:tcBorders>
            <w:vAlign w:val="center"/>
          </w:tcPr>
          <w:p w14:paraId="5943B699" w14:textId="45AF2D06" w:rsidR="00DA1033" w:rsidRPr="00AD7E8A" w:rsidRDefault="00DA1033">
            <w:pPr>
              <w:spacing w:after="0" w:line="259" w:lineRule="auto"/>
              <w:ind w:left="0" w:right="0" w:firstLine="0"/>
              <w:jc w:val="left"/>
              <w:rPr>
                <w:rFonts w:ascii="Arial" w:hAnsi="Arial" w:cs="Arial"/>
                <w:szCs w:val="22"/>
              </w:rPr>
            </w:pPr>
          </w:p>
        </w:tc>
      </w:tr>
      <w:tr w:rsidR="00DA1033" w:rsidRPr="00AD7E8A" w14:paraId="554CC0EC" w14:textId="77777777">
        <w:trPr>
          <w:trHeight w:val="486"/>
        </w:trPr>
        <w:tc>
          <w:tcPr>
            <w:tcW w:w="4471" w:type="dxa"/>
            <w:tcBorders>
              <w:top w:val="nil"/>
              <w:left w:val="single" w:sz="24" w:space="0" w:color="3182CE"/>
              <w:bottom w:val="nil"/>
              <w:right w:val="nil"/>
            </w:tcBorders>
            <w:shd w:val="clear" w:color="auto" w:fill="EBF8FF"/>
            <w:vAlign w:val="center"/>
          </w:tcPr>
          <w:p w14:paraId="284A4293" w14:textId="77777777" w:rsidR="00DA1033" w:rsidRPr="00AD7E8A" w:rsidRDefault="00000000">
            <w:pPr>
              <w:spacing w:after="0" w:line="259" w:lineRule="auto"/>
              <w:ind w:left="188" w:right="0" w:firstLine="0"/>
              <w:jc w:val="left"/>
              <w:rPr>
                <w:rFonts w:ascii="Arial" w:hAnsi="Arial" w:cs="Arial"/>
                <w:szCs w:val="22"/>
              </w:rPr>
            </w:pPr>
            <w:r w:rsidRPr="00AD7E8A">
              <w:rPr>
                <w:rFonts w:ascii="Arial" w:hAnsi="Arial" w:cs="Arial"/>
                <w:b/>
                <w:color w:val="2B6CB0"/>
                <w:szCs w:val="22"/>
              </w:rPr>
              <w:t>1. Representación de la Cara (GUI)</w:t>
            </w:r>
          </w:p>
        </w:tc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val="clear" w:color="auto" w:fill="EBF8FF"/>
          </w:tcPr>
          <w:p w14:paraId="43E8CEA7" w14:textId="77777777" w:rsidR="00DA1033" w:rsidRPr="00AD7E8A" w:rsidRDefault="00DA1033">
            <w:pPr>
              <w:spacing w:after="160" w:line="259" w:lineRule="auto"/>
              <w:ind w:left="0" w:right="0" w:firstLine="0"/>
              <w:jc w:val="left"/>
              <w:rPr>
                <w:rFonts w:ascii="Arial" w:hAnsi="Arial" w:cs="Arial"/>
                <w:szCs w:val="22"/>
              </w:rPr>
            </w:pPr>
          </w:p>
        </w:tc>
      </w:tr>
    </w:tbl>
    <w:p w14:paraId="7C91F8EB" w14:textId="77777777" w:rsidR="00DA1033" w:rsidRPr="00AD7E8A" w:rsidRDefault="00000000">
      <w:pPr>
        <w:spacing w:after="450" w:line="259" w:lineRule="auto"/>
        <w:ind w:left="-6" w:right="-91" w:firstLine="0"/>
        <w:jc w:val="left"/>
        <w:rPr>
          <w:rFonts w:ascii="Arial" w:hAnsi="Arial" w:cs="Arial"/>
          <w:szCs w:val="22"/>
        </w:rPr>
      </w:pPr>
      <w:r w:rsidRPr="00AD7E8A">
        <w:rPr>
          <w:rFonts w:ascii="Arial" w:hAnsi="Arial" w:cs="Arial"/>
          <w:noProof/>
          <w:szCs w:val="22"/>
        </w:rPr>
        <w:drawing>
          <wp:inline distT="0" distB="0" distL="0" distR="0" wp14:anchorId="4FD72FB8" wp14:editId="0D4E9291">
            <wp:extent cx="6181344" cy="3395472"/>
            <wp:effectExtent l="0" t="0" r="0" b="0"/>
            <wp:docPr id="1860" name="Picture 1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" name="Picture 18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1344" cy="339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51C0" w14:textId="77777777" w:rsidR="00DA1033" w:rsidRPr="00AD7E8A" w:rsidRDefault="00000000">
      <w:pPr>
        <w:pBdr>
          <w:left w:val="single" w:sz="24" w:space="0" w:color="3182CE"/>
        </w:pBdr>
        <w:shd w:val="clear" w:color="auto" w:fill="EBF8FF"/>
        <w:spacing w:after="299" w:line="259" w:lineRule="auto"/>
        <w:ind w:left="210" w:right="0" w:firstLine="0"/>
        <w:jc w:val="left"/>
        <w:rPr>
          <w:rFonts w:ascii="Arial" w:hAnsi="Arial" w:cs="Arial"/>
          <w:szCs w:val="22"/>
        </w:rPr>
      </w:pPr>
      <w:r w:rsidRPr="00AD7E8A">
        <w:rPr>
          <w:rFonts w:ascii="Arial" w:hAnsi="Arial" w:cs="Arial"/>
          <w:b/>
          <w:color w:val="2B6CB0"/>
          <w:szCs w:val="22"/>
        </w:rPr>
        <w:t>2. Servicio a Prestar</w:t>
      </w:r>
    </w:p>
    <w:p w14:paraId="3ED7E853" w14:textId="77777777" w:rsidR="00DA1033" w:rsidRPr="00AD7E8A" w:rsidRDefault="00000000">
      <w:pPr>
        <w:spacing w:after="157"/>
        <w:ind w:right="0"/>
        <w:rPr>
          <w:rFonts w:ascii="Arial" w:hAnsi="Arial" w:cs="Arial"/>
          <w:szCs w:val="22"/>
        </w:rPr>
      </w:pPr>
      <w:r w:rsidRPr="00AD7E8A">
        <w:rPr>
          <w:rFonts w:ascii="Arial" w:hAnsi="Arial" w:cs="Arial"/>
          <w:szCs w:val="22"/>
        </w:rPr>
        <w:t xml:space="preserve">El servicio telemático a prestar es una </w:t>
      </w:r>
      <w:r w:rsidRPr="00AD7E8A">
        <w:rPr>
          <w:rFonts w:ascii="Arial" w:hAnsi="Arial" w:cs="Arial"/>
          <w:b/>
          <w:szCs w:val="22"/>
        </w:rPr>
        <w:t>Plataforma Combinacional de Optimización Académica</w:t>
      </w:r>
      <w:r w:rsidRPr="00AD7E8A">
        <w:rPr>
          <w:rFonts w:ascii="Arial" w:hAnsi="Arial" w:cs="Arial"/>
          <w:szCs w:val="22"/>
        </w:rPr>
        <w:t>. Su objetivo es centralizar la gestión del conocimiento y la colaboración síncrona en un único entorno digital, mitigando la dispersión cognitiva de los estudiantes.</w:t>
      </w:r>
    </w:p>
    <w:p w14:paraId="7BF88D1E" w14:textId="77777777" w:rsidR="00DA1033" w:rsidRPr="00AD7E8A" w:rsidRDefault="00000000">
      <w:pPr>
        <w:spacing w:after="157"/>
        <w:ind w:right="0"/>
        <w:rPr>
          <w:rFonts w:ascii="Arial" w:hAnsi="Arial" w:cs="Arial"/>
          <w:szCs w:val="22"/>
        </w:rPr>
      </w:pPr>
      <w:r w:rsidRPr="00AD7E8A">
        <w:rPr>
          <w:rFonts w:ascii="Arial" w:hAnsi="Arial" w:cs="Arial"/>
          <w:szCs w:val="22"/>
        </w:rPr>
        <w:t>El área central interactiva ("X") funciona de manera similar a las bases de datos y páginas dinámicas, permitiendo al grupo interactuar con los cuatro módulos simultáneamente. Las funciones en la barra lateral izquierda alimentan el flujo de trabajo de la siguiente manera:</w:t>
      </w:r>
    </w:p>
    <w:p w14:paraId="094AB75B" w14:textId="77777777" w:rsidR="00DA1033" w:rsidRPr="00AD7E8A" w:rsidRDefault="00000000">
      <w:pPr>
        <w:numPr>
          <w:ilvl w:val="0"/>
          <w:numId w:val="1"/>
        </w:numPr>
        <w:ind w:right="0" w:hanging="138"/>
        <w:rPr>
          <w:rFonts w:ascii="Arial" w:hAnsi="Arial" w:cs="Arial"/>
          <w:szCs w:val="22"/>
        </w:rPr>
      </w:pPr>
      <w:r w:rsidRPr="00AD7E8A">
        <w:rPr>
          <w:rFonts w:ascii="Arial" w:hAnsi="Arial" w:cs="Arial"/>
          <w:b/>
          <w:szCs w:val="22"/>
        </w:rPr>
        <w:t>F1 (Calendario):</w:t>
      </w:r>
      <w:r w:rsidRPr="00AD7E8A">
        <w:rPr>
          <w:rFonts w:ascii="Arial" w:hAnsi="Arial" w:cs="Arial"/>
          <w:szCs w:val="22"/>
        </w:rPr>
        <w:t xml:space="preserve"> Ajusta el entorno automáticamente según las fechas de entrega.</w:t>
      </w:r>
    </w:p>
    <w:p w14:paraId="1268D07D" w14:textId="77777777" w:rsidR="00DA1033" w:rsidRPr="00AD7E8A" w:rsidRDefault="00000000">
      <w:pPr>
        <w:numPr>
          <w:ilvl w:val="0"/>
          <w:numId w:val="1"/>
        </w:numPr>
        <w:ind w:right="0" w:hanging="138"/>
        <w:rPr>
          <w:rFonts w:ascii="Arial" w:hAnsi="Arial" w:cs="Arial"/>
          <w:szCs w:val="22"/>
        </w:rPr>
      </w:pPr>
      <w:r w:rsidRPr="00AD7E8A">
        <w:rPr>
          <w:rFonts w:ascii="Arial" w:hAnsi="Arial" w:cs="Arial"/>
          <w:b/>
          <w:szCs w:val="22"/>
        </w:rPr>
        <w:t>F2 (VoIP):</w:t>
      </w:r>
      <w:r w:rsidRPr="00AD7E8A">
        <w:rPr>
          <w:rFonts w:ascii="Arial" w:hAnsi="Arial" w:cs="Arial"/>
          <w:szCs w:val="22"/>
        </w:rPr>
        <w:t xml:space="preserve"> Permite la comunicación por voz ininterrumpida mientras se edita el contenido.</w:t>
      </w:r>
    </w:p>
    <w:p w14:paraId="5A130840" w14:textId="77777777" w:rsidR="00DA1033" w:rsidRPr="00AD7E8A" w:rsidRDefault="00000000">
      <w:pPr>
        <w:numPr>
          <w:ilvl w:val="0"/>
          <w:numId w:val="1"/>
        </w:numPr>
        <w:ind w:right="0" w:hanging="138"/>
        <w:rPr>
          <w:rFonts w:ascii="Arial" w:hAnsi="Arial" w:cs="Arial"/>
          <w:szCs w:val="22"/>
        </w:rPr>
      </w:pPr>
      <w:r w:rsidRPr="00AD7E8A">
        <w:rPr>
          <w:rFonts w:ascii="Arial" w:hAnsi="Arial" w:cs="Arial"/>
          <w:b/>
          <w:szCs w:val="22"/>
        </w:rPr>
        <w:t>F3 (Edición):</w:t>
      </w:r>
      <w:r w:rsidRPr="00AD7E8A">
        <w:rPr>
          <w:rFonts w:ascii="Arial" w:hAnsi="Arial" w:cs="Arial"/>
          <w:szCs w:val="22"/>
        </w:rPr>
        <w:t xml:space="preserve"> Provee el lienzo para estructurar la investigación y redactar el informe mediante bloques de contenido.</w:t>
      </w:r>
    </w:p>
    <w:p w14:paraId="64A59529" w14:textId="6119C74E" w:rsidR="00AD7E8A" w:rsidRDefault="00000000" w:rsidP="00AD7E8A">
      <w:pPr>
        <w:numPr>
          <w:ilvl w:val="0"/>
          <w:numId w:val="1"/>
        </w:numPr>
        <w:ind w:right="0" w:hanging="138"/>
        <w:rPr>
          <w:rFonts w:ascii="Arial" w:hAnsi="Arial" w:cs="Arial"/>
          <w:szCs w:val="22"/>
        </w:rPr>
      </w:pPr>
      <w:r w:rsidRPr="00AD7E8A">
        <w:rPr>
          <w:rFonts w:ascii="Arial" w:hAnsi="Arial" w:cs="Arial"/>
          <w:b/>
          <w:szCs w:val="22"/>
        </w:rPr>
        <w:t>F4 (IA):</w:t>
      </w:r>
      <w:r w:rsidRPr="00AD7E8A">
        <w:rPr>
          <w:rFonts w:ascii="Arial" w:hAnsi="Arial" w:cs="Arial"/>
          <w:szCs w:val="22"/>
        </w:rPr>
        <w:t xml:space="preserve"> Asiste en la resolución de dudas bibliográficas directamente sobre el documento en curso</w:t>
      </w:r>
      <w:r w:rsidR="00AD7E8A">
        <w:rPr>
          <w:rFonts w:ascii="Arial" w:hAnsi="Arial" w:cs="Arial"/>
          <w:szCs w:val="22"/>
        </w:rPr>
        <w:t>.</w:t>
      </w:r>
    </w:p>
    <w:p w14:paraId="273DCBB7" w14:textId="77777777" w:rsidR="00AD7E8A" w:rsidRPr="00AD7E8A" w:rsidRDefault="00AD7E8A" w:rsidP="00AD7E8A">
      <w:pPr>
        <w:ind w:right="0"/>
        <w:rPr>
          <w:rFonts w:ascii="Arial" w:hAnsi="Arial" w:cs="Arial"/>
          <w:szCs w:val="22"/>
        </w:rPr>
      </w:pPr>
    </w:p>
    <w:p w14:paraId="0D3F369E" w14:textId="77777777" w:rsidR="00AD7E8A" w:rsidRPr="00AD7E8A" w:rsidRDefault="00AD7E8A" w:rsidP="00AD7E8A">
      <w:pPr>
        <w:spacing w:after="17" w:line="259" w:lineRule="auto"/>
        <w:ind w:left="0" w:right="0" w:firstLine="0"/>
        <w:jc w:val="left"/>
        <w:rPr>
          <w:rFonts w:ascii="Arial" w:hAnsi="Arial" w:cs="Arial"/>
          <w:b/>
          <w:szCs w:val="22"/>
        </w:rPr>
      </w:pPr>
      <w:r w:rsidRPr="00AD7E8A">
        <w:rPr>
          <w:rFonts w:ascii="Arial" w:hAnsi="Arial" w:cs="Arial"/>
          <w:b/>
          <w:szCs w:val="22"/>
        </w:rPr>
        <w:t xml:space="preserve">Integrantes (Grupo): </w:t>
      </w:r>
    </w:p>
    <w:p w14:paraId="368C1584" w14:textId="35E4406E" w:rsidR="00AD7E8A" w:rsidRPr="00AD7E8A" w:rsidRDefault="00AD7E8A" w:rsidP="00AD7E8A">
      <w:pPr>
        <w:ind w:right="0"/>
        <w:rPr>
          <w:rFonts w:ascii="Arial" w:hAnsi="Arial" w:cs="Arial"/>
          <w:b/>
          <w:szCs w:val="22"/>
        </w:rPr>
      </w:pPr>
      <w:r w:rsidRPr="00AD7E8A">
        <w:rPr>
          <w:rFonts w:ascii="Arial" w:hAnsi="Arial" w:cs="Arial"/>
          <w:b/>
          <w:szCs w:val="22"/>
        </w:rPr>
        <w:t>José Pulgar 31.542.384</w:t>
      </w:r>
    </w:p>
    <w:p w14:paraId="61B9D8B9" w14:textId="36CD02AC" w:rsidR="00AD7E8A" w:rsidRPr="00AD7E8A" w:rsidRDefault="00AD7E8A" w:rsidP="00AD7E8A">
      <w:pPr>
        <w:ind w:right="0"/>
        <w:rPr>
          <w:rFonts w:ascii="Arial" w:hAnsi="Arial" w:cs="Arial"/>
          <w:szCs w:val="22"/>
        </w:rPr>
      </w:pPr>
      <w:r w:rsidRPr="00AD7E8A">
        <w:rPr>
          <w:rFonts w:ascii="Arial" w:hAnsi="Arial" w:cs="Arial"/>
          <w:b/>
          <w:szCs w:val="22"/>
        </w:rPr>
        <w:t>Gabriel Rojas 31.017.483</w:t>
      </w:r>
    </w:p>
    <w:sectPr w:rsidR="00AD7E8A" w:rsidRPr="00AD7E8A">
      <w:pgSz w:w="11906" w:h="16838"/>
      <w:pgMar w:top="1440" w:right="1134" w:bottom="144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26B31"/>
    <w:multiLevelType w:val="hybridMultilevel"/>
    <w:tmpl w:val="5F722A44"/>
    <w:lvl w:ilvl="0" w:tplc="E76832D2">
      <w:start w:val="1"/>
      <w:numFmt w:val="bullet"/>
      <w:lvlText w:val="•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1A202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888928">
      <w:start w:val="1"/>
      <w:numFmt w:val="bullet"/>
      <w:lvlText w:val="o"/>
      <w:lvlJc w:val="left"/>
      <w:pPr>
        <w:ind w:left="1242"/>
      </w:pPr>
      <w:rPr>
        <w:rFonts w:ascii="Calibri" w:eastAsia="Calibri" w:hAnsi="Calibri" w:cs="Calibri"/>
        <w:b w:val="0"/>
        <w:i w:val="0"/>
        <w:strike w:val="0"/>
        <w:dstrike w:val="0"/>
        <w:color w:val="1A202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6C9EA4">
      <w:start w:val="1"/>
      <w:numFmt w:val="bullet"/>
      <w:lvlText w:val="▪"/>
      <w:lvlJc w:val="left"/>
      <w:pPr>
        <w:ind w:left="1962"/>
      </w:pPr>
      <w:rPr>
        <w:rFonts w:ascii="Calibri" w:eastAsia="Calibri" w:hAnsi="Calibri" w:cs="Calibri"/>
        <w:b w:val="0"/>
        <w:i w:val="0"/>
        <w:strike w:val="0"/>
        <w:dstrike w:val="0"/>
        <w:color w:val="1A202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F0F020">
      <w:start w:val="1"/>
      <w:numFmt w:val="bullet"/>
      <w:lvlText w:val="•"/>
      <w:lvlJc w:val="left"/>
      <w:pPr>
        <w:ind w:left="2682"/>
      </w:pPr>
      <w:rPr>
        <w:rFonts w:ascii="Calibri" w:eastAsia="Calibri" w:hAnsi="Calibri" w:cs="Calibri"/>
        <w:b w:val="0"/>
        <w:i w:val="0"/>
        <w:strike w:val="0"/>
        <w:dstrike w:val="0"/>
        <w:color w:val="1A202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F08AEA">
      <w:start w:val="1"/>
      <w:numFmt w:val="bullet"/>
      <w:lvlText w:val="o"/>
      <w:lvlJc w:val="left"/>
      <w:pPr>
        <w:ind w:left="3402"/>
      </w:pPr>
      <w:rPr>
        <w:rFonts w:ascii="Calibri" w:eastAsia="Calibri" w:hAnsi="Calibri" w:cs="Calibri"/>
        <w:b w:val="0"/>
        <w:i w:val="0"/>
        <w:strike w:val="0"/>
        <w:dstrike w:val="0"/>
        <w:color w:val="1A202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BCC406">
      <w:start w:val="1"/>
      <w:numFmt w:val="bullet"/>
      <w:lvlText w:val="▪"/>
      <w:lvlJc w:val="left"/>
      <w:pPr>
        <w:ind w:left="4122"/>
      </w:pPr>
      <w:rPr>
        <w:rFonts w:ascii="Calibri" w:eastAsia="Calibri" w:hAnsi="Calibri" w:cs="Calibri"/>
        <w:b w:val="0"/>
        <w:i w:val="0"/>
        <w:strike w:val="0"/>
        <w:dstrike w:val="0"/>
        <w:color w:val="1A202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DEF07C">
      <w:start w:val="1"/>
      <w:numFmt w:val="bullet"/>
      <w:lvlText w:val="•"/>
      <w:lvlJc w:val="left"/>
      <w:pPr>
        <w:ind w:left="4842"/>
      </w:pPr>
      <w:rPr>
        <w:rFonts w:ascii="Calibri" w:eastAsia="Calibri" w:hAnsi="Calibri" w:cs="Calibri"/>
        <w:b w:val="0"/>
        <w:i w:val="0"/>
        <w:strike w:val="0"/>
        <w:dstrike w:val="0"/>
        <w:color w:val="1A202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DA0C7E">
      <w:start w:val="1"/>
      <w:numFmt w:val="bullet"/>
      <w:lvlText w:val="o"/>
      <w:lvlJc w:val="left"/>
      <w:pPr>
        <w:ind w:left="5562"/>
      </w:pPr>
      <w:rPr>
        <w:rFonts w:ascii="Calibri" w:eastAsia="Calibri" w:hAnsi="Calibri" w:cs="Calibri"/>
        <w:b w:val="0"/>
        <w:i w:val="0"/>
        <w:strike w:val="0"/>
        <w:dstrike w:val="0"/>
        <w:color w:val="1A202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98CBE8">
      <w:start w:val="1"/>
      <w:numFmt w:val="bullet"/>
      <w:lvlText w:val="▪"/>
      <w:lvlJc w:val="left"/>
      <w:pPr>
        <w:ind w:left="6282"/>
      </w:pPr>
      <w:rPr>
        <w:rFonts w:ascii="Calibri" w:eastAsia="Calibri" w:hAnsi="Calibri" w:cs="Calibri"/>
        <w:b w:val="0"/>
        <w:i w:val="0"/>
        <w:strike w:val="0"/>
        <w:dstrike w:val="0"/>
        <w:color w:val="1A202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1663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033"/>
    <w:rsid w:val="0036487A"/>
    <w:rsid w:val="00AD7E8A"/>
    <w:rsid w:val="00DA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DF68E"/>
  <w15:docId w15:val="{DA1FB1F4-0E3C-47D9-B58F-C6D1606CB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7" w:lineRule="auto"/>
      <w:ind w:left="10" w:right="1" w:hanging="10"/>
      <w:jc w:val="both"/>
    </w:pPr>
    <w:rPr>
      <w:rFonts w:ascii="Calibri" w:eastAsia="Calibri" w:hAnsi="Calibri" w:cs="Calibri"/>
      <w:color w:val="1A202C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180</Words>
  <Characters>992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GUI - Corte III</dc:title>
  <dc:subject/>
  <dc:creator>José Pulgar</dc:creator>
  <cp:keywords/>
  <cp:lastModifiedBy>José Pulgar</cp:lastModifiedBy>
  <cp:revision>2</cp:revision>
  <dcterms:created xsi:type="dcterms:W3CDTF">2026-07-11T15:00:00Z</dcterms:created>
  <dcterms:modified xsi:type="dcterms:W3CDTF">2026-07-11T15:00:00Z</dcterms:modified>
</cp:coreProperties>
</file>