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Supervised Machine Learning: Regression and Classification</w:t>
      </w:r>
    </w:p>
    <w:p>
      <w:r>
        <w:t xml:space="preserve">AI Pioneers Internship | Week 2 technical report | Public-data benchmark</w:t>
      </w:r>
    </w:p>
    <w:p>
      <w:pPr>
        <w:pStyle w:val="Heading1"/>
      </w:pPr>
      <w:r>
        <w:t xml:space="preserve">1. Objective and scope</w:t>
      </w:r>
    </w:p>
    <w:p>
      <w:r>
        <w:t xml:space="preserve">This project asks whether simple supervised models remain competitive with tree-based and nearest-neighbor alternatives when every model is evaluated under the same leakage-safe protocol. It implements all five algorithm families specified in the task: Linear Regression, Logistic Regression, Decision Trees, Random Forest, and K-Nearest Neighbors (KNN). Regression predicts a numerical disease-progression score; classification predicts malignant versus benign tumor labels. Four nonbaseline models are compared for each task, alongside a dummy baseline.</w:t>
      </w:r>
    </w:p>
    <w:p>
      <w:r>
        <w:t xml:space="preserve">The analysis uses existing public datasets, not newly collected patient observations. All numerical results below were produced by the supplied Python script and independently checked against saved predictions. These are educational benchmark findings, not evidence that any model is suitable for clinical deployment. The main contribution is a reproducible comparison with error analysis, rather than a claim of a new algorithm.</w:t>
      </w:r>
    </w:p>
    <w:p>
      <w:pPr>
        <w:pStyle w:val="Heading1"/>
      </w:pPr>
      <w:r>
        <w:t xml:space="preserve">2. Data and preprocessing</w:t>
      </w:r>
    </w:p>
    <w:p>
      <w:r>
        <w:t xml:space="preserve">The Diabetes dataset contains 442 records and 10 predictors, with a quantitative measure of disease progression one year after baseline [1]. It is loaded with scaled=False: the loader’s default globally scaled predictors are deliberately avoided, and any standardization is fitted inside the training pipeline. The dataset is split into 353 training and 89 test records. The Breast Cancer Wisconsin Diagnostic dataset contains 569 records and 30 numeric predictors [2], split into 455 training and 114 test records. Its original malignant label 0 is remapped to positive class 1; benign becomes 0. Consequently, precision, recall and F1 throughout this report refer to malignancy, not to the majority benign class.</w:t>
      </w:r>
    </w:p>
    <w:p>
      <w:r>
        <w:t xml:space="preserve">The loaded predictors contain no missing values and no duplicate predictor rows in either dataset. No rows are dropped, and no artificial missing values are added to the benchmark. A median imputer remains inside each pipeline to support future missing-value inputs; a separate test confirms this behavior. All predictors are numerical, so categorical encoding is unnecessary. All 10 or 30 predictors are retained: no feature-selection rule is learned from the test data. Training summaries and the strongest training-only predictor correlations are exported for inspection. Correlated features caution against treating coefficients or importance rankings as causal explanations.</w:t>
      </w:r>
    </w:p>
    <w:p>
      <w:r>
        <w:t xml:space="preserve">StandardScaler is used for Linear Regression, Logistic Regression and KNN. Scaling is particularly relevant to distance calculations and regularized logistic fitting; it is not necessary for the chosen tree models. Each CV fold learns imputation and scaling only from its own training subset. Pipeline prevents the held-out fold from influencing these transformations [3]. Test features are transformed without refitting.</w:t>
      </w:r>
    </w:p>
    <w:p>
      <w:pPr>
        <w:pStyle w:val="Heading1"/>
      </w:pPr>
      <w:r>
        <w:t xml:space="preserve">3. Experimental design</w:t>
      </w:r>
    </w:p>
    <w:p>
      <w:r>
        <w:t xml:space="preserve">An 80/20 split with random_state=42 is fixed before training. Classification uses stratification: the training partition contains 170 malignant and 285 benign records; the test partition contains 42 malignant and 72 benign records. Five-fold shuffled KFold is used for regression and five-fold shuffled StratifiedKFold for classification, both with seed 42. All candidates within a task use the same folds. DummyRegressor predicts the training-target mean; DummyClassifier always predicts the training-majority class. These controls show whether a model improves on a trivial decision rule.</w:t>
      </w:r>
    </w:p>
    <w:p>
      <w:r>
        <w:t xml:space="preserve">GridSearchCV selects hyperparameters using only the training partition. Regression minimizes mean CV root mean squared error (RMSE); classification maximizes mean CV ROC-AUC. Linear Regression has no tuned hyperparameters. Both forests use 150 trees. Regression tree grids use max_depth={3,5,None} and min_samples_leaf={1,5,10}; the regression forest uses depth={5,None} and leaf size={1,5}. Regression KNN searches k={5,11,21}. Classification Logistic Regression searches C={0.01,0.1,1,10}; the tree uses depth={3,5,None} and leaf size={1,5}; the forest uses depth={5,None} and leaf size={1,3}; classification KNN searches k={3,5,11}. Both KNN tasks compare uniform and distance weights. Other estimator settings retain Scikit-learn defaults.</w:t>
      </w:r>
    </w:p>
    <w:p>
      <w:r>
        <w:t xml:space="preserve">Selected settings are: regression tree depth=3/leaf=10, forest unrestricted depth/leaf=5, and KNN k=21/distance weights; classification logistic C=1, tree depth=5/leaf=5, forest unrestricted depth/leaf=1, and KNN k=11/distance weights. Selected estimators are refitted on the full training partition. The winning algorithm is frozen from CV before any holdout predictions are inspected. Test results for every candidate are then reported for transparency, not used to switch the chosen model. CV standard deviations describe variability across five folds; they are not confidence intervals or statistical significance tests.</w:t>
      </w:r>
    </w:p>
    <w:p>
      <w:pPr>
        <w:pStyle w:val="Heading1"/>
      </w:pPr>
      <w:r>
        <w:t xml:space="preserve">4. Regression results and interpretation</w:t>
      </w:r>
    </w:p>
    <w:p>
      <w:r>
        <w:t xml:space="preserve">RMSE penalizes larger residuals more strongly than mean absolute error (MAE), so it is used for selection. Equation (1) defines the reported RMSE.</w:t>
      </w:r>
    </w:p>
    <w:p>
      <m:oMath>
        <m:r>
          <m:t xml:space="preserve">RMSE = </m:t>
        </m:r>
        <m:rad>
          <m:radPr>
            <m:degHide m:val="1"/>
          </m:radPr>
          <m:deg/>
          <m:e>
            <m:f>
              <m:num>
                <m:r>
                  <m:t>1</m:t>
                </m:r>
              </m:num>
              <m:den>
                <m:r>
                  <m:t>n</m:t>
                </m:r>
              </m:den>
            </m:f>
            <m:nary>
              <m:naryPr>
                <m:chr m:val="∑"/>
                <m:limLoc m:val="undOvr"/>
              </m:naryPr>
              <m:sub>
                <m:r>
                  <m:t>i=1</m:t>
                </m:r>
              </m:sub>
              <m:sup>
                <m:r>
                  <m:t>n</m:t>
                </m:r>
              </m:sup>
              <m:e>
                <m:sSup>
                  <m:sSupPr/>
                  <m:e>
                    <m:r>
                      <m:t>(yᵢ − ŷᵢ)</m:t>
                    </m:r>
                  </m:e>
                  <m:sup>
                    <m:r>
                      <m:t>2</m:t>
                    </m:r>
                  </m:sup>
                </m:sSup>
              </m:e>
            </m:nary>
          </m:e>
        </m:rad>
      </m:oMath>
      <w:r>
        <w:t xml:space="preserve">   (1)</w:t>
      </w:r>
    </w:p>
    <w:p>
      <w:r>
        <w:t xml:space="preserve">Here n is the number of evaluated records, yᵢ is the actual target and ŷᵢ is its prediction. RMSE and MAE are in the dataset’s disease-progression score units, not a physical clinical measurement. R² measures performance relative to predicting the evaluation-set target mean; a negative R² indicates worse performance than that reference. Lower MAE/RMSE and higher R² are preferable.</w:t>
      </w:r>
    </w:p>
    <w:p>
      <w:r>
        <w:t xml:space="preserve">Dummy mean: CV RMSE 78.13 ± 5.64; test MAE 64.01, RMSE 73.22, R² -0.012.</w:t>
      </w:r>
    </w:p>
    <w:p>
      <w:r>
        <w:t xml:space="preserve">Linear Regression: CV RMSE 55.39 ± 2.36; test MAE 42.79, RMSE 53.85, R² 0.453.</w:t>
      </w:r>
    </w:p>
    <w:p>
      <w:r>
        <w:t xml:space="preserve">Decision Tree: CV RMSE 64.42 ± 2.74; test MAE 45.02, RMSE 55.74, R² 0.414.</w:t>
      </w:r>
    </w:p>
    <w:p>
      <w:r>
        <w:t xml:space="preserve">Random Forest: CV RMSE 57.82 ± 1.91; test MAE 43.63, RMSE 53.73, R² 0.455.</w:t>
      </w:r>
    </w:p>
    <w:p>
      <w:r>
        <w:t xml:space="preserve">KNN: CV RMSE 58.60 ± 3.83; test MAE 44.86, RMSE 54.81, R² 0.433.</w:t>
      </w:r>
    </w:p>
    <w:p>
      <w:r>
        <w:t xml:space="preserve">Linear Regression is selected because its CV RMSE (55.39) is the lowest among nonbaseline models. Its test RMSE is 53.85, a 26.5% reduction relative to the dummy baseline. Random Forest has a slightly lower test RMSE (53.73 versus 53.85), but the difference is only about 0.12 score units on this one holdout. This does not overturn the training-only selection decision or establish a reliable forest advantage. It illustrates how a small test sample can produce a different ranking from CV.</w:t>
      </w:r>
    </w:p>
    <w:p>
      <w:r>
        <w:t xml:space="preserve">Train RMSE is 53.56 for Linear Regression and 37.58 for Random Forest, versus test RMSE 53.85 and 53.73 respectively. The larger forest gap suggests stronger fitting to training observations without a commensurate holdout gain. Distance-weighted KNN has zero training RMSE because a training point can reproduce its own target through the zero-distance neighbor; its test RMSE remains 54.81. Perfect resubstitution performance therefore does not establish generalization.</w:t>
      </w:r>
    </w:p>
    <w:p>
      <w:r>
        <w:t xml:space="preserve">The largest Linear Regression errors occur at dataset row IDs 56 (actual 52, predicted 206.49), 77 (actual 200, predicted 71.67), and 211 (actual 70, predicted 179.52). These are positional dataset identifiers, not patient identities. Large errors in both directions show that an acceptable average score can conceal poor individual predictions. Test R²=0.453 also leaves substantial residual variability unexplained. Residual patterns and sensitivity to atypical observations deserve further investigation; the three cases alone do not identify a clinical cause.</w:t>
      </w:r>
    </w:p>
    <w:p>
      <w:pPr>
        <w:pStyle w:val="Heading1"/>
      </w:pPr>
      <w:r>
        <w:t xml:space="preserve">5. Classification results and interpretation</w:t>
      </w:r>
    </w:p>
    <w:p>
      <w:r>
        <w:t xml:space="preserve">ROC-AUC evaluates the ordering of malignant versus benign probability scores across thresholds; it does not measure probability calibration or performance at a single decision threshold. Accuracy measures the fraction correctly labeled. Precision is the malignant fraction among positive predictions, and F1 balances malignant precision and recall. Recall is especially informative here because a false negative is a malignant record predicted benign. Equation (2) defines that metric.</w:t>
      </w:r>
    </w:p>
    <w:p>
      <m:oMath>
        <m:r>
          <m:t xml:space="preserve">Recall = </m:t>
        </m:r>
        <m:f>
          <m:num>
            <m:r>
              <m:t>TP</m:t>
            </m:r>
          </m:num>
          <m:den>
            <m:r>
              <m:t>TP + FN</m:t>
            </m:r>
          </m:den>
        </m:f>
      </m:oMath>
      <w:r>
        <w:t xml:space="preserve">   (2)</w:t>
      </w:r>
    </w:p>
    <w:p>
      <w:r>
        <w:t xml:space="preserve">TP denotes correctly identified malignant records and FN denotes malignant records predicted benign. Recall is dimensionless. Logistic Regression uses its standard 0.5 positive-probability threshold; tree, forest and KNN labels use their estimator predict rules, with no custom threshold tuning. A different threshold could change the error trade-off but would need to be selected on validation data, not this holdout.</w:t>
      </w:r>
    </w:p>
    <w:p>
      <w:r>
        <w:t xml:space="preserve">Dummy majority: CV ROC-AUC 0.5000 ± 0.0000; test accuracy 63.16%, malignant precision 0.0000, recall 0.0000, F1 0.0000, ROC-AUC 0.5000.</w:t>
      </w:r>
    </w:p>
    <w:p>
      <w:r>
        <w:t xml:space="preserve">Logistic Regression: CV ROC-AUC 0.9958 ± 0.0047; test accuracy 96.49%, malignant precision 0.9750, recall 0.9286, F1 0.9512, ROC-AUC 0.9960.</w:t>
      </w:r>
    </w:p>
    <w:p>
      <w:r>
        <w:t xml:space="preserve">Decision Tree: CV ROC-AUC 0.9554 ± 0.0270; test accuracy 90.35%, malignant precision 0.9189, recall 0.8095, F1 0.8608, ROC-AUC 0.9716.</w:t>
      </w:r>
    </w:p>
    <w:p>
      <w:r>
        <w:t xml:space="preserve">Random Forest: CV ROC-AUC 0.9885 ± 0.0070; test accuracy 96.49%, malignant precision 1.0000, recall 0.9048, F1 0.9500, ROC-AUC 0.9936.</w:t>
      </w:r>
    </w:p>
    <w:p>
      <w:r>
        <w:t xml:space="preserve">KNN: CV ROC-AUC 0.9892 ± 0.0109; test accuracy 94.74%, malignant precision 0.9737, recall 0.8810, F1 0.9250, ROC-AUC 0.9823.</w:t>
      </w:r>
    </w:p>
    <w:p>
      <w:r>
        <w:t xml:space="preserve">Logistic Regression is selected by its highest CV ROC-AUC, 0.9958. Its holdout confusion counts are TN=71, FP=1, FN=3 and TP=39. Equation (2) gives recall=39/(39+3)=0.9286. Random Forest achieves the same 96.49% accuracy but has TN=72, FP=0, FN=4 and TP=38. Thus equal accuracy hides different error types: the forest avoids one false positive but misses one additional malignant record. These counts are descriptive, not evidence of a statistically established difference.</w:t>
      </w:r>
    </w:p>
    <w:p>
      <w:r>
        <w:t xml:space="preserve">The majority baseline obtains 63.16% accuracy while missing all 42 malignant test records. Accuracy alone is therefore inadequate for judging this task. Logistic Regression improves both discrimination and minority-class detection, but still misses three malignant records despite ROC-AUC=0.9960. A very high AUC must not be interpreted as zero risk at the deployed threshold. Decision Tree misses eight malignant cases, KNN five, and Random Forest four under the current label rules.</w:t>
      </w:r>
    </w:p>
    <w:p>
      <w:r>
        <w:t xml:space="preserve">Random Forest and distance-weighted KNN both reach 100% training accuracy, falling to 96.49% and 94.74% on the holdout. Logistic Regression reaches 98.68% training accuracy and 96.49% test accuracy. These gaps favor examining generalization rather than celebrating perfect training fits. Logistic Regression is a compact starting point for this benchmark; the results do not show that nonlinear models are generally inferior across datasets.</w:t>
      </w:r>
    </w:p>
    <w:p>
      <w:pPr>
        <w:pStyle w:val="Heading1"/>
      </w:pPr>
      <w:r>
        <w:t xml:space="preserve">6. Limitations and next experiments</w:t>
      </w:r>
    </w:p>
    <w:p>
      <w:r>
        <w:t xml:space="preserve">Both datasets are small, established benchmarks. One random holdout does not establish robustness to distribution shift, future populations or different collection sites. Grid search over several candidates can make the selected CV score optimistic; CV means should not be treated as unbiased deployment estimates. A stronger follow-up would use nested CV or repeated outer splits while reserving any final external evaluation for a frozen model.</w:t>
      </w:r>
    </w:p>
    <w:p>
      <w:r>
        <w:t xml:space="preserve">For regression, examine residual distributions and whether regularization improves stability under correlated predictors. For classification, select any recall-focused threshold with training-only out-of-fold probabilities, then evaluate the frozen threshold separately. Probability calibration and subgroup performance should be checked before interpreting risks. No causal feature claims, clinical suitability, external validation or statistically significant winner is asserted here.</w:t>
      </w:r>
    </w:p>
    <w:p>
      <w:pPr>
        <w:pStyle w:val="Heading1"/>
      </w:pPr>
      <w:r>
        <w:t xml:space="preserve">7. Reproducibility and conclusion</w:t>
      </w:r>
    </w:p>
    <w:p>
      <w:r>
        <w:t xml:space="preserve">The recorded environment is Python 3.13.13, Scikit-learn 1.6.1, NumPy 2.3.5, Pandas 2.2.3, and SciPy 1.17.1. The package contains train.py, test_project.py, pinned dependencies, setup instructions, dataset exports, CV search outputs, holdout predictions and results.json. The JSON records dataset and source hashes plus split indices so results can be traced to code and data. No network connection is needed after dependency installation.</w:t>
      </w:r>
    </w:p>
    <w:p>
      <w:r>
        <w:t xml:space="preserve">Run python train.py --output-dir results, followed by python -m unittest -v. Five tests passed, covering target remapping, disjoint complete splits, training-only imputation/scaling, metric reconstruction from saved predictions, CV-based winner selection and metric edge cases. A second complete execution produced identical results.json. Exact agreement is verified for the recorded environment; different library versions may alter floating-point results or tie handling.</w:t>
      </w:r>
    </w:p>
    <w:p>
      <w:r>
        <w:t xml:space="preserve">Linear Regression and Logistic Regression are the CV-selected models for their respective tasks. The comparison supports simple baselines as serious candidates, while showing why model selection must remain separate from holdout inspection. The regression residuals and classification false negatives are as important as headline metrics. Review and rerun the code before submission, and follow the internship provider’s rules for AI assistance and disclosure; no provider policy was supplied with this task.</w:t>
      </w:r>
    </w:p>
    <w:p>
      <w:pPr>
        <w:pStyle w:val="Heading1"/>
      </w:pPr>
      <w:r>
        <w:t xml:space="preserve">References</w:t>
      </w:r>
    </w:p>
    <w:p>
      <w:pPr>
        <w:pStyle w:val="Reference"/>
      </w:pPr>
      <w:r>
        <w:t xml:space="preserve">[1] Scikit-learn developers, “sklearn.datasets.load_diabetes,” Scikit-learn documentation. Accessed Oct. 17, 2026. https://scikit-learn.org/stable/modules/generated/sklearn.datasets.load_diabetes.html</w:t>
      </w:r>
    </w:p>
    <w:p>
      <w:pPr>
        <w:pStyle w:val="Reference"/>
      </w:pPr>
      <w:r>
        <w:t xml:space="preserve">[2] Scikit-learn developers, “sklearn.datasets.load_breast_cancer,” Scikit-learn documentation. Accessed Oct. 17, 2026. https://scikit-learn.org/stable/modules/generated/sklearn.datasets.load_breast_cancer.html</w:t>
      </w:r>
    </w:p>
    <w:p>
      <w:pPr>
        <w:pStyle w:val="Reference"/>
      </w:pPr>
      <w:r>
        <w:t xml:space="preserve">[3] Scikit-learn developers, “Common pitfalls and recommended practices,” Scikit-learn documentation. Accessed Oct. 17, 2026. https://scikit-learn.org/stable/common_pitfalls.html</w:t>
      </w:r>
    </w:p>
    <w:sectPr>
      <w:footerReference w:type="default" r:id="rId6"/>
      <w:pgSz w:w="11906" w:h="16838" w:orient="portrait"/>
      <w:pgMar w:top="1134" w:right="1134" w:bottom="1134" w:left="1134"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18"/>
        <w:szCs w:val="18"/>
      </w:rPr>
      <w:fldChar w:fldCharType="begin"/>
    </w:r>
    <w:r>
      <w:rPr>
        <w:color w:val="000000"/>
        <w:sz w:val="18"/>
        <w:szCs w:val="18"/>
      </w:rPr>
      <w:instrText xml:space="preserve">PAGE</w:instrText>
    </w:r>
    <w:r>
      <w:rPr>
        <w:color w:val="000000"/>
        <w:sz w:val="18"/>
        <w:szCs w:val="18"/>
      </w:rPr>
      <w:fldChar w:fldCharType="separate"/>
    </w:r>
    <w:r>
      <w:rPr>
        <w:color w:val="00000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widowControl/>
        <w:spacing w:after="12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160"/>
    </w:pPr>
    <w:rPr>
      <w:b/>
      <w:bCs/>
      <w:color w:val="000000"/>
      <w:sz w:val="34"/>
      <w:szCs w:val="34"/>
    </w:rPr>
  </w:style>
  <w:style w:type="paragraph" w:styleId="Heading1">
    <w:name w:val="Heading 1"/>
    <w:basedOn w:val="Normal"/>
    <w:next w:val="Normal"/>
    <w:qFormat/>
    <w:pPr>
      <w:keepNext/>
      <w:spacing w:after="100" w:before="240"/>
      <w:outlineLvl w:val="0"/>
    </w:pPr>
    <w:rPr>
      <w:rFonts w:ascii="Arial" w:cs="Arial" w:eastAsia="Arial" w:hAnsi="Arial"/>
      <w:b/>
      <w:bCs/>
      <w:color w:val="000000"/>
      <w:sz w:val="26"/>
      <w:szCs w:val="26"/>
    </w:rPr>
  </w:style>
  <w:style w:type="paragraph" w:styleId="Reference">
    <w:name w:val="Reference"/>
    <w:basedOn w:val="Normal"/>
    <w:pPr>
      <w:keepLines/>
      <w:spacing w:after="100" w:line="240"/>
      <w:ind w:left="300" w:hanging="300"/>
    </w:pPr>
    <w:rPr>
      <w:color w:val="00000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Supervised Machine Learning</dc:title>
  <cp:revision>1</cp:revision>
  <dcterms:created xsi:type="dcterms:W3CDTF">2026-10-17T13:36:35.182Z</dcterms:created>
  <dcterms:modified xsi:type="dcterms:W3CDTF">2026-10-17T13:36:35.183Z</dcterms:modified>
</cp:coreProperties>
</file>

<file path=docProps/custom.xml><?xml version="1.0" encoding="utf-8"?>
<Properties xmlns="http://schemas.openxmlformats.org/officeDocument/2006/custom-properties" xmlns:vt="http://schemas.openxmlformats.org/officeDocument/2006/docPropsVTypes"/>
</file>