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2E75B6"/>
          <w:sz w:val="20"/>
        </w:rPr>
        <w:t>AI PIONEERS INTERNSHIP  |  MACHINE LEARNING</w:t>
      </w:r>
    </w:p>
    <w:p>
      <w:pPr>
        <w:pStyle w:val="Title"/>
        <w:spacing w:after="60"/>
        <w:jc w:val="center"/>
      </w:pPr>
      <w:r>
        <w:t>Week 2: Supervised Machine Learning Models</w:t>
      </w:r>
    </w:p>
    <w:p>
      <w:pPr>
        <w:spacing w:after="240"/>
        <w:jc w:val="center"/>
      </w:pPr>
      <w:r>
        <w:rPr>
          <w:i/>
          <w:color w:val="333333"/>
          <w:sz w:val="22"/>
        </w:rPr>
        <w:t>Regression and classification model comparison</w:t>
      </w:r>
    </w:p>
    <w:p>
      <w:pPr>
        <w:spacing w:after="120" w:line="259" w:lineRule="auto"/>
      </w:pPr>
      <w:r>
        <w:t>Objective: train and evaluate multiple supervised-learning models, then compare their performance using metrics suited to each prediction task.</w:t>
      </w:r>
    </w:p>
    <w:p>
      <w:pPr>
        <w:pStyle w:val="Heading1"/>
      </w:pPr>
      <w:r>
        <w:t>1. Overview</w:t>
      </w:r>
    </w:p>
    <w:p>
      <w:pPr>
        <w:spacing w:after="120" w:line="259" w:lineRule="auto"/>
      </w:pPr>
      <w:r>
        <w:t>This project compares three regression models and four classification models using two datasets bundled with scikit-learn. A fixed 80/20 holdout design separates training from evaluation. Scaling is fitted within training pipelines for models that depend on feature scale. The results show that model rankings depend on the metric: regression errors are close, while classification precision and recall reveal a meaningful trade-off even when accuracy is tied.</w:t>
      </w:r>
    </w:p>
    <w:p>
      <w:pPr>
        <w:pStyle w:val="Heading1"/>
      </w:pPr>
      <w:r>
        <w:t>2. Data and experimental setup</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12"/>
            <w:vAlign w:val="center"/>
            <w:shd w:fill="1F3864"/>
          </w:tcPr>
          <w:p>
            <w:pPr>
              <w:spacing w:after="0"/>
            </w:pPr>
            <w:r/>
            <w:r>
              <w:rPr>
                <w:rFonts w:ascii="Calibri" w:hAnsi="Calibri"/>
                <w:b/>
                <w:color w:val="FFFFFF"/>
                <w:sz w:val="18"/>
              </w:rPr>
              <w:t>Task</w:t>
            </w:r>
          </w:p>
        </w:tc>
        <w:tc>
          <w:tcPr>
            <w:tcW w:type="dxa" w:w="3672"/>
            <w:vAlign w:val="center"/>
            <w:shd w:fill="1F3864"/>
          </w:tcPr>
          <w:p>
            <w:pPr>
              <w:spacing w:after="0"/>
            </w:pPr>
            <w:r/>
            <w:r>
              <w:rPr>
                <w:rFonts w:ascii="Calibri" w:hAnsi="Calibri"/>
                <w:b/>
                <w:color w:val="FFFFFF"/>
                <w:sz w:val="18"/>
              </w:rPr>
              <w:t>Dataset and target</w:t>
            </w:r>
          </w:p>
        </w:tc>
        <w:tc>
          <w:tcPr>
            <w:tcW w:type="dxa" w:w="3024"/>
            <w:vAlign w:val="center"/>
            <w:shd w:fill="1F3864"/>
          </w:tcPr>
          <w:p>
            <w:pPr>
              <w:spacing w:after="0"/>
            </w:pPr>
            <w:r/>
            <w:r>
              <w:rPr>
                <w:rFonts w:ascii="Calibri" w:hAnsi="Calibri"/>
                <w:b/>
                <w:color w:val="FFFFFF"/>
                <w:sz w:val="18"/>
              </w:rPr>
              <w:t>Models</w:t>
            </w:r>
          </w:p>
        </w:tc>
        <w:tc>
          <w:tcPr>
            <w:tcW w:type="dxa" w:w="1512"/>
            <w:vAlign w:val="center"/>
            <w:shd w:fill="1F3864"/>
          </w:tcPr>
          <w:p>
            <w:pPr>
              <w:spacing w:after="0"/>
            </w:pPr>
            <w:r/>
            <w:r>
              <w:rPr>
                <w:rFonts w:ascii="Calibri" w:hAnsi="Calibri"/>
                <w:b/>
                <w:color w:val="FFFFFF"/>
                <w:sz w:val="18"/>
              </w:rPr>
              <w:t>Split</w:t>
            </w:r>
          </w:p>
        </w:tc>
      </w:tr>
      <w:tr>
        <w:tc>
          <w:tcPr>
            <w:tcW w:type="dxa" w:w="1512"/>
            <w:vAlign w:val="center"/>
          </w:tcPr>
          <w:p>
            <w:pPr>
              <w:spacing w:after="0"/>
            </w:pPr>
            <w:r/>
            <w:r>
              <w:rPr>
                <w:rFonts w:ascii="Calibri" w:hAnsi="Calibri"/>
                <w:b w:val="0"/>
                <w:color w:val="333333"/>
                <w:sz w:val="18"/>
              </w:rPr>
              <w:t>Regression</w:t>
            </w:r>
          </w:p>
        </w:tc>
        <w:tc>
          <w:tcPr>
            <w:tcW w:type="dxa" w:w="3672"/>
            <w:vAlign w:val="center"/>
          </w:tcPr>
          <w:p>
            <w:pPr>
              <w:spacing w:after="0"/>
            </w:pPr>
            <w:r/>
            <w:r>
              <w:rPr>
                <w:rFonts w:ascii="Calibri" w:hAnsi="Calibri"/>
                <w:b w:val="0"/>
                <w:color w:val="333333"/>
                <w:sz w:val="18"/>
              </w:rPr>
              <w:t>Diabetes; 442 rows, 10 features; quantitative disease-progression target</w:t>
            </w:r>
          </w:p>
        </w:tc>
        <w:tc>
          <w:tcPr>
            <w:tcW w:type="dxa" w:w="3024"/>
            <w:vAlign w:val="center"/>
          </w:tcPr>
          <w:p>
            <w:pPr>
              <w:spacing w:after="0"/>
            </w:pPr>
            <w:r/>
            <w:r>
              <w:rPr>
                <w:rFonts w:ascii="Calibri" w:hAnsi="Calibri"/>
                <w:b w:val="0"/>
                <w:color w:val="333333"/>
                <w:sz w:val="18"/>
              </w:rPr>
              <w:t>Linear Regression; 5-NN; Random Forest</w:t>
            </w:r>
          </w:p>
        </w:tc>
        <w:tc>
          <w:tcPr>
            <w:tcW w:type="dxa" w:w="1512"/>
            <w:vAlign w:val="center"/>
          </w:tcPr>
          <w:p>
            <w:pPr>
              <w:spacing w:after="0"/>
            </w:pPr>
            <w:r/>
            <w:r>
              <w:rPr>
                <w:rFonts w:ascii="Calibri" w:hAnsi="Calibri"/>
                <w:b w:val="0"/>
                <w:color w:val="333333"/>
                <w:sz w:val="18"/>
              </w:rPr>
              <w:t>353 train / 89 test</w:t>
            </w:r>
          </w:p>
        </w:tc>
      </w:tr>
      <w:tr>
        <w:tc>
          <w:tcPr>
            <w:tcW w:type="dxa" w:w="1512"/>
            <w:vAlign w:val="center"/>
            <w:shd w:fill="F3F6FA"/>
          </w:tcPr>
          <w:p>
            <w:pPr>
              <w:spacing w:after="0"/>
            </w:pPr>
            <w:r/>
            <w:r>
              <w:rPr>
                <w:rFonts w:ascii="Calibri" w:hAnsi="Calibri"/>
                <w:b w:val="0"/>
                <w:color w:val="333333"/>
                <w:sz w:val="18"/>
              </w:rPr>
              <w:t>Classification</w:t>
            </w:r>
          </w:p>
        </w:tc>
        <w:tc>
          <w:tcPr>
            <w:tcW w:type="dxa" w:w="3672"/>
            <w:vAlign w:val="center"/>
            <w:shd w:fill="F3F6FA"/>
          </w:tcPr>
          <w:p>
            <w:pPr>
              <w:spacing w:after="0"/>
            </w:pPr>
            <w:r/>
            <w:r>
              <w:rPr>
                <w:rFonts w:ascii="Calibri" w:hAnsi="Calibri"/>
                <w:b w:val="0"/>
                <w:color w:val="333333"/>
                <w:sz w:val="18"/>
              </w:rPr>
              <w:t>Breast Cancer Wisconsin; 569 rows, 30 features; malignant vs benign</w:t>
            </w:r>
          </w:p>
        </w:tc>
        <w:tc>
          <w:tcPr>
            <w:tcW w:type="dxa" w:w="3024"/>
            <w:vAlign w:val="center"/>
            <w:shd w:fill="F3F6FA"/>
          </w:tcPr>
          <w:p>
            <w:pPr>
              <w:spacing w:after="0"/>
            </w:pPr>
            <w:r/>
            <w:r>
              <w:rPr>
                <w:rFonts w:ascii="Calibri" w:hAnsi="Calibri"/>
                <w:b w:val="0"/>
                <w:color w:val="333333"/>
                <w:sz w:val="18"/>
              </w:rPr>
              <w:t>Logistic Regression; Decision Tree; 5-NN; Random Forest</w:t>
            </w:r>
          </w:p>
        </w:tc>
        <w:tc>
          <w:tcPr>
            <w:tcW w:type="dxa" w:w="1512"/>
            <w:vAlign w:val="center"/>
            <w:shd w:fill="F3F6FA"/>
          </w:tcPr>
          <w:p>
            <w:pPr>
              <w:spacing w:after="0"/>
            </w:pPr>
            <w:r/>
            <w:r>
              <w:rPr>
                <w:rFonts w:ascii="Calibri" w:hAnsi="Calibri"/>
                <w:b w:val="0"/>
                <w:color w:val="333333"/>
                <w:sz w:val="18"/>
              </w:rPr>
              <w:t>455 train / 114 test</w:t>
            </w:r>
          </w:p>
        </w:tc>
      </w:tr>
    </w:tbl>
    <w:p>
      <w:pPr>
        <w:spacing w:after="0"/>
      </w:pPr>
    </w:p>
    <w:p>
      <w:pPr>
        <w:spacing w:after="120" w:line="259" w:lineRule="auto"/>
      </w:pPr>
      <w:r>
        <w:t>Both splits use random seed 42. The classification split is stratified. In the classification experiment, malignant is explicitly mapped to the positive class (1); therefore, the reported precision, recall, F1-score and ROC-AUC concern malignant cases. StandardScaler is used within pipelines for KNN and Logistic Regression. It is fitted on the training portion only. Tree models and linear regression are not scaled in this experiment.</w:t>
      </w:r>
    </w:p>
    <w:p>
      <w:pPr>
        <w:pStyle w:val="Heading1"/>
      </w:pPr>
      <w:r>
        <w:t>3. Results</w:t>
      </w:r>
    </w:p>
    <w:p>
      <w:pPr>
        <w:pStyle w:val="Heading2"/>
      </w:pPr>
      <w:r>
        <w:t>3.1 Regression</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3744"/>
            <w:vAlign w:val="center"/>
            <w:shd w:fill="1F3864"/>
          </w:tcPr>
          <w:p>
            <w:pPr>
              <w:spacing w:after="0"/>
            </w:pPr>
            <w:r/>
            <w:r>
              <w:rPr>
                <w:rFonts w:ascii="Calibri" w:hAnsi="Calibri"/>
                <w:b/>
                <w:color w:val="FFFFFF"/>
                <w:sz w:val="18"/>
              </w:rPr>
              <w:t>Model</w:t>
            </w:r>
          </w:p>
        </w:tc>
        <w:tc>
          <w:tcPr>
            <w:tcW w:type="dxa" w:w="1800"/>
            <w:vAlign w:val="center"/>
            <w:shd w:fill="1F3864"/>
          </w:tcPr>
          <w:p>
            <w:pPr>
              <w:spacing w:after="0"/>
            </w:pPr>
            <w:r/>
            <w:r>
              <w:rPr>
                <w:rFonts w:ascii="Calibri" w:hAnsi="Calibri"/>
                <w:b/>
                <w:color w:val="FFFFFF"/>
                <w:sz w:val="18"/>
              </w:rPr>
              <w:t>MAE ↓</w:t>
            </w:r>
          </w:p>
        </w:tc>
        <w:tc>
          <w:tcPr>
            <w:tcW w:type="dxa" w:w="1800"/>
            <w:vAlign w:val="center"/>
            <w:shd w:fill="1F3864"/>
          </w:tcPr>
          <w:p>
            <w:pPr>
              <w:spacing w:after="0"/>
            </w:pPr>
            <w:r/>
            <w:r>
              <w:rPr>
                <w:rFonts w:ascii="Calibri" w:hAnsi="Calibri"/>
                <w:b/>
                <w:color w:val="FFFFFF"/>
                <w:sz w:val="18"/>
              </w:rPr>
              <w:t>RMSE ↓</w:t>
            </w:r>
          </w:p>
        </w:tc>
        <w:tc>
          <w:tcPr>
            <w:tcW w:type="dxa" w:w="1656"/>
            <w:vAlign w:val="center"/>
            <w:shd w:fill="1F3864"/>
          </w:tcPr>
          <w:p>
            <w:pPr>
              <w:spacing w:after="0"/>
            </w:pPr>
            <w:r/>
            <w:r>
              <w:rPr>
                <w:rFonts w:ascii="Calibri" w:hAnsi="Calibri"/>
                <w:b/>
                <w:color w:val="FFFFFF"/>
                <w:sz w:val="18"/>
              </w:rPr>
              <w:t>R² ↑</w:t>
            </w:r>
          </w:p>
        </w:tc>
      </w:tr>
      <w:tr>
        <w:tc>
          <w:tcPr>
            <w:tcW w:type="dxa" w:w="3744"/>
            <w:vAlign w:val="center"/>
          </w:tcPr>
          <w:p>
            <w:pPr>
              <w:spacing w:after="0"/>
            </w:pPr>
            <w:r/>
            <w:r>
              <w:rPr>
                <w:rFonts w:ascii="Calibri" w:hAnsi="Calibri"/>
                <w:b w:val="0"/>
                <w:color w:val="333333"/>
                <w:sz w:val="18"/>
              </w:rPr>
              <w:t>Linear Regression</w:t>
            </w:r>
          </w:p>
        </w:tc>
        <w:tc>
          <w:tcPr>
            <w:tcW w:type="dxa" w:w="1800"/>
            <w:vAlign w:val="center"/>
          </w:tcPr>
          <w:p>
            <w:pPr>
              <w:spacing w:after="0"/>
            </w:pPr>
            <w:r/>
            <w:r>
              <w:rPr>
                <w:rFonts w:ascii="Calibri" w:hAnsi="Calibri"/>
                <w:b w:val="0"/>
                <w:color w:val="333333"/>
                <w:sz w:val="18"/>
              </w:rPr>
              <w:t>42.79</w:t>
            </w:r>
          </w:p>
        </w:tc>
        <w:tc>
          <w:tcPr>
            <w:tcW w:type="dxa" w:w="1800"/>
            <w:vAlign w:val="center"/>
          </w:tcPr>
          <w:p>
            <w:pPr>
              <w:spacing w:after="0"/>
            </w:pPr>
            <w:r/>
            <w:r>
              <w:rPr>
                <w:rFonts w:ascii="Calibri" w:hAnsi="Calibri"/>
                <w:b w:val="0"/>
                <w:color w:val="333333"/>
                <w:sz w:val="18"/>
              </w:rPr>
              <w:t>53.85</w:t>
            </w:r>
          </w:p>
        </w:tc>
        <w:tc>
          <w:tcPr>
            <w:tcW w:type="dxa" w:w="1656"/>
            <w:vAlign w:val="center"/>
          </w:tcPr>
          <w:p>
            <w:pPr>
              <w:spacing w:after="0"/>
            </w:pPr>
            <w:r/>
            <w:r>
              <w:rPr>
                <w:rFonts w:ascii="Calibri" w:hAnsi="Calibri"/>
                <w:b w:val="0"/>
                <w:color w:val="333333"/>
                <w:sz w:val="18"/>
              </w:rPr>
              <w:t>0.453</w:t>
            </w:r>
          </w:p>
        </w:tc>
      </w:tr>
      <w:tr>
        <w:tc>
          <w:tcPr>
            <w:tcW w:type="dxa" w:w="3744"/>
            <w:vAlign w:val="center"/>
            <w:shd w:fill="F3F6FA"/>
          </w:tcPr>
          <w:p>
            <w:pPr>
              <w:spacing w:after="0"/>
            </w:pPr>
            <w:r/>
            <w:r>
              <w:rPr>
                <w:rFonts w:ascii="Calibri" w:hAnsi="Calibri"/>
                <w:b w:val="0"/>
                <w:color w:val="333333"/>
                <w:sz w:val="18"/>
              </w:rPr>
              <w:t>K-Nearest Neighbors</w:t>
            </w:r>
          </w:p>
        </w:tc>
        <w:tc>
          <w:tcPr>
            <w:tcW w:type="dxa" w:w="1800"/>
            <w:vAlign w:val="center"/>
            <w:shd w:fill="F3F6FA"/>
          </w:tcPr>
          <w:p>
            <w:pPr>
              <w:spacing w:after="0"/>
            </w:pPr>
            <w:r/>
            <w:r>
              <w:rPr>
                <w:rFonts w:ascii="Calibri" w:hAnsi="Calibri"/>
                <w:b w:val="0"/>
                <w:color w:val="333333"/>
                <w:sz w:val="18"/>
              </w:rPr>
              <w:t>42.78</w:t>
            </w:r>
          </w:p>
        </w:tc>
        <w:tc>
          <w:tcPr>
            <w:tcW w:type="dxa" w:w="1800"/>
            <w:vAlign w:val="center"/>
            <w:shd w:fill="F3F6FA"/>
          </w:tcPr>
          <w:p>
            <w:pPr>
              <w:spacing w:after="0"/>
            </w:pPr>
            <w:r/>
            <w:r>
              <w:rPr>
                <w:rFonts w:ascii="Calibri" w:hAnsi="Calibri"/>
                <w:b w:val="0"/>
                <w:color w:val="333333"/>
                <w:sz w:val="18"/>
              </w:rPr>
              <w:t>55.20</w:t>
            </w:r>
          </w:p>
        </w:tc>
        <w:tc>
          <w:tcPr>
            <w:tcW w:type="dxa" w:w="1656"/>
            <w:vAlign w:val="center"/>
            <w:shd w:fill="F3F6FA"/>
          </w:tcPr>
          <w:p>
            <w:pPr>
              <w:spacing w:after="0"/>
            </w:pPr>
            <w:r/>
            <w:r>
              <w:rPr>
                <w:rFonts w:ascii="Calibri" w:hAnsi="Calibri"/>
                <w:b w:val="0"/>
                <w:color w:val="333333"/>
                <w:sz w:val="18"/>
              </w:rPr>
              <w:t>0.425</w:t>
            </w:r>
          </w:p>
        </w:tc>
      </w:tr>
      <w:tr>
        <w:tc>
          <w:tcPr>
            <w:tcW w:type="dxa" w:w="3744"/>
            <w:vAlign w:val="center"/>
          </w:tcPr>
          <w:p>
            <w:pPr>
              <w:spacing w:after="0"/>
            </w:pPr>
            <w:r/>
            <w:r>
              <w:rPr>
                <w:rFonts w:ascii="Calibri" w:hAnsi="Calibri"/>
                <w:b w:val="0"/>
                <w:color w:val="333333"/>
                <w:sz w:val="18"/>
              </w:rPr>
              <w:t>Random Forest</w:t>
            </w:r>
          </w:p>
        </w:tc>
        <w:tc>
          <w:tcPr>
            <w:tcW w:type="dxa" w:w="1800"/>
            <w:vAlign w:val="center"/>
          </w:tcPr>
          <w:p>
            <w:pPr>
              <w:spacing w:after="0"/>
            </w:pPr>
            <w:r/>
            <w:r>
              <w:rPr>
                <w:rFonts w:ascii="Calibri" w:hAnsi="Calibri"/>
                <w:b w:val="0"/>
                <w:color w:val="333333"/>
                <w:sz w:val="18"/>
              </w:rPr>
              <w:t>44.28</w:t>
            </w:r>
          </w:p>
        </w:tc>
        <w:tc>
          <w:tcPr>
            <w:tcW w:type="dxa" w:w="1800"/>
            <w:vAlign w:val="center"/>
          </w:tcPr>
          <w:p>
            <w:pPr>
              <w:spacing w:after="0"/>
            </w:pPr>
            <w:r/>
            <w:r>
              <w:rPr>
                <w:rFonts w:ascii="Calibri" w:hAnsi="Calibri"/>
                <w:b w:val="0"/>
                <w:color w:val="333333"/>
                <w:sz w:val="18"/>
              </w:rPr>
              <w:t>54.46</w:t>
            </w:r>
          </w:p>
        </w:tc>
        <w:tc>
          <w:tcPr>
            <w:tcW w:type="dxa" w:w="1656"/>
            <w:vAlign w:val="center"/>
          </w:tcPr>
          <w:p>
            <w:pPr>
              <w:spacing w:after="0"/>
            </w:pPr>
            <w:r/>
            <w:r>
              <w:rPr>
                <w:rFonts w:ascii="Calibri" w:hAnsi="Calibri"/>
                <w:b w:val="0"/>
                <w:color w:val="333333"/>
                <w:sz w:val="18"/>
              </w:rPr>
              <w:t>0.440</w:t>
            </w:r>
          </w:p>
        </w:tc>
      </w:tr>
    </w:tbl>
    <w:p>
      <w:pPr>
        <w:spacing w:after="0"/>
      </w:pPr>
    </w:p>
    <w:p>
      <w:pPr>
        <w:spacing w:after="120" w:line="259" w:lineRule="auto"/>
      </w:pPr>
      <w:r>
        <w:t>KNN had the lowest MAE (42.78), only 0.02 lower than Linear Regression (42.79). Linear Regression had the lowest RMSE (53.85) and the highest R² (0.453). Because RMSE penalizes larger errors more heavily than MAE, these metrics emphasize different aspects of prediction error. Random Forest did not lead on any of the three reported metrics in this split. Overall differences are modest, and a single 89-row test set is not enough to establish that one model will consistently outperform the others.</w:t>
      </w:r>
    </w:p>
    <w:p>
      <w:pPr>
        <w:pStyle w:val="Heading2"/>
      </w:pPr>
      <w:r>
        <w:t>3.2 Classification</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2376"/>
            <w:vAlign w:val="center"/>
            <w:shd w:fill="1F3864"/>
          </w:tcPr>
          <w:p>
            <w:pPr>
              <w:spacing w:after="0"/>
            </w:pPr>
            <w:r/>
            <w:r>
              <w:rPr>
                <w:rFonts w:ascii="Calibri" w:hAnsi="Calibri"/>
                <w:b/>
                <w:color w:val="FFFFFF"/>
                <w:sz w:val="18"/>
              </w:rPr>
              <w:t>Model</w:t>
            </w:r>
          </w:p>
        </w:tc>
        <w:tc>
          <w:tcPr>
            <w:tcW w:type="dxa" w:w="1296"/>
            <w:vAlign w:val="center"/>
            <w:shd w:fill="1F3864"/>
          </w:tcPr>
          <w:p>
            <w:pPr>
              <w:spacing w:after="0"/>
            </w:pPr>
            <w:r/>
            <w:r>
              <w:rPr>
                <w:rFonts w:ascii="Calibri" w:hAnsi="Calibri"/>
                <w:b/>
                <w:color w:val="FFFFFF"/>
                <w:sz w:val="18"/>
              </w:rPr>
              <w:t>Accuracy</w:t>
            </w:r>
          </w:p>
        </w:tc>
        <w:tc>
          <w:tcPr>
            <w:tcW w:type="dxa" w:w="1584"/>
            <w:vAlign w:val="center"/>
            <w:shd w:fill="1F3864"/>
          </w:tcPr>
          <w:p>
            <w:pPr>
              <w:spacing w:after="0"/>
            </w:pPr>
            <w:r/>
            <w:r>
              <w:rPr>
                <w:rFonts w:ascii="Calibri" w:hAnsi="Calibri"/>
                <w:b/>
                <w:color w:val="FFFFFF"/>
                <w:sz w:val="18"/>
              </w:rPr>
              <w:t>Malig. precision</w:t>
            </w:r>
          </w:p>
        </w:tc>
        <w:tc>
          <w:tcPr>
            <w:tcW w:type="dxa" w:w="1440"/>
            <w:vAlign w:val="center"/>
            <w:shd w:fill="1F3864"/>
          </w:tcPr>
          <w:p>
            <w:pPr>
              <w:spacing w:after="0"/>
            </w:pPr>
            <w:r/>
            <w:r>
              <w:rPr>
                <w:rFonts w:ascii="Calibri" w:hAnsi="Calibri"/>
                <w:b/>
                <w:color w:val="FFFFFF"/>
                <w:sz w:val="18"/>
              </w:rPr>
              <w:t>Malig. recall</w:t>
            </w:r>
          </w:p>
        </w:tc>
        <w:tc>
          <w:tcPr>
            <w:tcW w:type="dxa" w:w="1224"/>
            <w:vAlign w:val="center"/>
            <w:shd w:fill="1F3864"/>
          </w:tcPr>
          <w:p>
            <w:pPr>
              <w:spacing w:after="0"/>
            </w:pPr>
            <w:r/>
            <w:r>
              <w:rPr>
                <w:rFonts w:ascii="Calibri" w:hAnsi="Calibri"/>
                <w:b/>
                <w:color w:val="FFFFFF"/>
                <w:sz w:val="18"/>
              </w:rPr>
              <w:t>Malig. F1</w:t>
            </w:r>
          </w:p>
        </w:tc>
        <w:tc>
          <w:tcPr>
            <w:tcW w:type="dxa" w:w="1296"/>
            <w:vAlign w:val="center"/>
            <w:shd w:fill="1F3864"/>
          </w:tcPr>
          <w:p>
            <w:pPr>
              <w:spacing w:after="0"/>
            </w:pPr>
            <w:r/>
            <w:r>
              <w:rPr>
                <w:rFonts w:ascii="Calibri" w:hAnsi="Calibri"/>
                <w:b/>
                <w:color w:val="FFFFFF"/>
                <w:sz w:val="18"/>
              </w:rPr>
              <w:t>ROC-AUC</w:t>
            </w:r>
          </w:p>
        </w:tc>
      </w:tr>
      <w:tr>
        <w:tc>
          <w:tcPr>
            <w:tcW w:type="dxa" w:w="2376"/>
            <w:vAlign w:val="center"/>
          </w:tcPr>
          <w:p>
            <w:pPr>
              <w:spacing w:after="0"/>
            </w:pPr>
            <w:r/>
            <w:r>
              <w:rPr>
                <w:rFonts w:ascii="Calibri" w:hAnsi="Calibri"/>
                <w:b w:val="0"/>
                <w:color w:val="333333"/>
                <w:sz w:val="18"/>
              </w:rPr>
              <w:t>Logistic Regression</w:t>
            </w:r>
          </w:p>
        </w:tc>
        <w:tc>
          <w:tcPr>
            <w:tcW w:type="dxa" w:w="1296"/>
            <w:vAlign w:val="center"/>
          </w:tcPr>
          <w:p>
            <w:pPr>
              <w:spacing w:after="0"/>
            </w:pPr>
            <w:r/>
            <w:r>
              <w:rPr>
                <w:rFonts w:ascii="Calibri" w:hAnsi="Calibri"/>
                <w:b w:val="0"/>
                <w:color w:val="333333"/>
                <w:sz w:val="18"/>
              </w:rPr>
              <w:t>0.965</w:t>
            </w:r>
          </w:p>
        </w:tc>
        <w:tc>
          <w:tcPr>
            <w:tcW w:type="dxa" w:w="1584"/>
            <w:vAlign w:val="center"/>
          </w:tcPr>
          <w:p>
            <w:pPr>
              <w:spacing w:after="0"/>
            </w:pPr>
            <w:r/>
            <w:r>
              <w:rPr>
                <w:rFonts w:ascii="Calibri" w:hAnsi="Calibri"/>
                <w:b w:val="0"/>
                <w:color w:val="333333"/>
                <w:sz w:val="18"/>
              </w:rPr>
              <w:t>0.975</w:t>
            </w:r>
          </w:p>
        </w:tc>
        <w:tc>
          <w:tcPr>
            <w:tcW w:type="dxa" w:w="1440"/>
            <w:vAlign w:val="center"/>
          </w:tcPr>
          <w:p>
            <w:pPr>
              <w:spacing w:after="0"/>
            </w:pPr>
            <w:r/>
            <w:r>
              <w:rPr>
                <w:rFonts w:ascii="Calibri" w:hAnsi="Calibri"/>
                <w:b w:val="0"/>
                <w:color w:val="333333"/>
                <w:sz w:val="18"/>
              </w:rPr>
              <w:t>0.929</w:t>
            </w:r>
          </w:p>
        </w:tc>
        <w:tc>
          <w:tcPr>
            <w:tcW w:type="dxa" w:w="1224"/>
            <w:vAlign w:val="center"/>
          </w:tcPr>
          <w:p>
            <w:pPr>
              <w:spacing w:after="0"/>
            </w:pPr>
            <w:r/>
            <w:r>
              <w:rPr>
                <w:rFonts w:ascii="Calibri" w:hAnsi="Calibri"/>
                <w:b w:val="0"/>
                <w:color w:val="333333"/>
                <w:sz w:val="18"/>
              </w:rPr>
              <w:t>0.951</w:t>
            </w:r>
          </w:p>
        </w:tc>
        <w:tc>
          <w:tcPr>
            <w:tcW w:type="dxa" w:w="1296"/>
            <w:vAlign w:val="center"/>
          </w:tcPr>
          <w:p>
            <w:pPr>
              <w:spacing w:after="0"/>
            </w:pPr>
            <w:r/>
            <w:r>
              <w:rPr>
                <w:rFonts w:ascii="Calibri" w:hAnsi="Calibri"/>
                <w:b w:val="0"/>
                <w:color w:val="333333"/>
                <w:sz w:val="18"/>
              </w:rPr>
              <w:t>0.996</w:t>
            </w:r>
          </w:p>
        </w:tc>
      </w:tr>
      <w:tr>
        <w:tc>
          <w:tcPr>
            <w:tcW w:type="dxa" w:w="2376"/>
            <w:vAlign w:val="center"/>
            <w:shd w:fill="F3F6FA"/>
          </w:tcPr>
          <w:p>
            <w:pPr>
              <w:spacing w:after="0"/>
            </w:pPr>
            <w:r/>
            <w:r>
              <w:rPr>
                <w:rFonts w:ascii="Calibri" w:hAnsi="Calibri"/>
                <w:b w:val="0"/>
                <w:color w:val="333333"/>
                <w:sz w:val="18"/>
              </w:rPr>
              <w:t>Decision Tree</w:t>
            </w:r>
          </w:p>
        </w:tc>
        <w:tc>
          <w:tcPr>
            <w:tcW w:type="dxa" w:w="1296"/>
            <w:vAlign w:val="center"/>
            <w:shd w:fill="F3F6FA"/>
          </w:tcPr>
          <w:p>
            <w:pPr>
              <w:spacing w:after="0"/>
            </w:pPr>
            <w:r/>
            <w:r>
              <w:rPr>
                <w:rFonts w:ascii="Calibri" w:hAnsi="Calibri"/>
                <w:b w:val="0"/>
                <w:color w:val="333333"/>
                <w:sz w:val="18"/>
              </w:rPr>
              <w:t>0.930</w:t>
            </w:r>
          </w:p>
        </w:tc>
        <w:tc>
          <w:tcPr>
            <w:tcW w:type="dxa" w:w="1584"/>
            <w:vAlign w:val="center"/>
            <w:shd w:fill="F3F6FA"/>
          </w:tcPr>
          <w:p>
            <w:pPr>
              <w:spacing w:after="0"/>
            </w:pPr>
            <w:r/>
            <w:r>
              <w:rPr>
                <w:rFonts w:ascii="Calibri" w:hAnsi="Calibri"/>
                <w:b w:val="0"/>
                <w:color w:val="333333"/>
                <w:sz w:val="18"/>
              </w:rPr>
              <w:t>0.905</w:t>
            </w:r>
          </w:p>
        </w:tc>
        <w:tc>
          <w:tcPr>
            <w:tcW w:type="dxa" w:w="1440"/>
            <w:vAlign w:val="center"/>
            <w:shd w:fill="F3F6FA"/>
          </w:tcPr>
          <w:p>
            <w:pPr>
              <w:spacing w:after="0"/>
            </w:pPr>
            <w:r/>
            <w:r>
              <w:rPr>
                <w:rFonts w:ascii="Calibri" w:hAnsi="Calibri"/>
                <w:b w:val="0"/>
                <w:color w:val="333333"/>
                <w:sz w:val="18"/>
              </w:rPr>
              <w:t>0.905</w:t>
            </w:r>
          </w:p>
        </w:tc>
        <w:tc>
          <w:tcPr>
            <w:tcW w:type="dxa" w:w="1224"/>
            <w:vAlign w:val="center"/>
            <w:shd w:fill="F3F6FA"/>
          </w:tcPr>
          <w:p>
            <w:pPr>
              <w:spacing w:after="0"/>
            </w:pPr>
            <w:r/>
            <w:r>
              <w:rPr>
                <w:rFonts w:ascii="Calibri" w:hAnsi="Calibri"/>
                <w:b w:val="0"/>
                <w:color w:val="333333"/>
                <w:sz w:val="18"/>
              </w:rPr>
              <w:t>0.905</w:t>
            </w:r>
          </w:p>
        </w:tc>
        <w:tc>
          <w:tcPr>
            <w:tcW w:type="dxa" w:w="1296"/>
            <w:vAlign w:val="center"/>
            <w:shd w:fill="F3F6FA"/>
          </w:tcPr>
          <w:p>
            <w:pPr>
              <w:spacing w:after="0"/>
            </w:pPr>
            <w:r/>
            <w:r>
              <w:rPr>
                <w:rFonts w:ascii="Calibri" w:hAnsi="Calibri"/>
                <w:b w:val="0"/>
                <w:color w:val="333333"/>
                <w:sz w:val="18"/>
              </w:rPr>
              <w:t>0.925</w:t>
            </w:r>
          </w:p>
        </w:tc>
      </w:tr>
      <w:tr>
        <w:tc>
          <w:tcPr>
            <w:tcW w:type="dxa" w:w="2376"/>
            <w:vAlign w:val="center"/>
          </w:tcPr>
          <w:p>
            <w:pPr>
              <w:spacing w:after="0"/>
            </w:pPr>
            <w:r/>
            <w:r>
              <w:rPr>
                <w:rFonts w:ascii="Calibri" w:hAnsi="Calibri"/>
                <w:b w:val="0"/>
                <w:color w:val="333333"/>
                <w:sz w:val="18"/>
              </w:rPr>
              <w:t>K-Nearest Neighbors</w:t>
            </w:r>
          </w:p>
        </w:tc>
        <w:tc>
          <w:tcPr>
            <w:tcW w:type="dxa" w:w="1296"/>
            <w:vAlign w:val="center"/>
          </w:tcPr>
          <w:p>
            <w:pPr>
              <w:spacing w:after="0"/>
            </w:pPr>
            <w:r/>
            <w:r>
              <w:rPr>
                <w:rFonts w:ascii="Calibri" w:hAnsi="Calibri"/>
                <w:b w:val="0"/>
                <w:color w:val="333333"/>
                <w:sz w:val="18"/>
              </w:rPr>
              <w:t>0.956</w:t>
            </w:r>
          </w:p>
        </w:tc>
        <w:tc>
          <w:tcPr>
            <w:tcW w:type="dxa" w:w="1584"/>
            <w:vAlign w:val="center"/>
          </w:tcPr>
          <w:p>
            <w:pPr>
              <w:spacing w:after="0"/>
            </w:pPr>
            <w:r/>
            <w:r>
              <w:rPr>
                <w:rFonts w:ascii="Calibri" w:hAnsi="Calibri"/>
                <w:b w:val="0"/>
                <w:color w:val="333333"/>
                <w:sz w:val="18"/>
              </w:rPr>
              <w:t>0.974</w:t>
            </w:r>
          </w:p>
        </w:tc>
        <w:tc>
          <w:tcPr>
            <w:tcW w:type="dxa" w:w="1440"/>
            <w:vAlign w:val="center"/>
          </w:tcPr>
          <w:p>
            <w:pPr>
              <w:spacing w:after="0"/>
            </w:pPr>
            <w:r/>
            <w:r>
              <w:rPr>
                <w:rFonts w:ascii="Calibri" w:hAnsi="Calibri"/>
                <w:b w:val="0"/>
                <w:color w:val="333333"/>
                <w:sz w:val="18"/>
              </w:rPr>
              <w:t>0.905</w:t>
            </w:r>
          </w:p>
        </w:tc>
        <w:tc>
          <w:tcPr>
            <w:tcW w:type="dxa" w:w="1224"/>
            <w:vAlign w:val="center"/>
          </w:tcPr>
          <w:p>
            <w:pPr>
              <w:spacing w:after="0"/>
            </w:pPr>
            <w:r/>
            <w:r>
              <w:rPr>
                <w:rFonts w:ascii="Calibri" w:hAnsi="Calibri"/>
                <w:b w:val="0"/>
                <w:color w:val="333333"/>
                <w:sz w:val="18"/>
              </w:rPr>
              <w:t>0.938</w:t>
            </w:r>
          </w:p>
        </w:tc>
        <w:tc>
          <w:tcPr>
            <w:tcW w:type="dxa" w:w="1296"/>
            <w:vAlign w:val="center"/>
          </w:tcPr>
          <w:p>
            <w:pPr>
              <w:spacing w:after="0"/>
            </w:pPr>
            <w:r/>
            <w:r>
              <w:rPr>
                <w:rFonts w:ascii="Calibri" w:hAnsi="Calibri"/>
                <w:b w:val="0"/>
                <w:color w:val="333333"/>
                <w:sz w:val="18"/>
              </w:rPr>
              <w:t>0.982</w:t>
            </w:r>
          </w:p>
        </w:tc>
      </w:tr>
      <w:tr>
        <w:tc>
          <w:tcPr>
            <w:tcW w:type="dxa" w:w="2376"/>
            <w:vAlign w:val="center"/>
            <w:shd w:fill="F3F6FA"/>
          </w:tcPr>
          <w:p>
            <w:pPr>
              <w:spacing w:after="0"/>
            </w:pPr>
            <w:r/>
            <w:r>
              <w:rPr>
                <w:rFonts w:ascii="Calibri" w:hAnsi="Calibri"/>
                <w:b w:val="0"/>
                <w:color w:val="333333"/>
                <w:sz w:val="18"/>
              </w:rPr>
              <w:t>Random Forest</w:t>
            </w:r>
          </w:p>
        </w:tc>
        <w:tc>
          <w:tcPr>
            <w:tcW w:type="dxa" w:w="1296"/>
            <w:vAlign w:val="center"/>
            <w:shd w:fill="F3F6FA"/>
          </w:tcPr>
          <w:p>
            <w:pPr>
              <w:spacing w:after="0"/>
            </w:pPr>
            <w:r/>
            <w:r>
              <w:rPr>
                <w:rFonts w:ascii="Calibri" w:hAnsi="Calibri"/>
                <w:b w:val="0"/>
                <w:color w:val="333333"/>
                <w:sz w:val="18"/>
              </w:rPr>
              <w:t>0.965</w:t>
            </w:r>
          </w:p>
        </w:tc>
        <w:tc>
          <w:tcPr>
            <w:tcW w:type="dxa" w:w="1584"/>
            <w:vAlign w:val="center"/>
            <w:shd w:fill="F3F6FA"/>
          </w:tcPr>
          <w:p>
            <w:pPr>
              <w:spacing w:after="0"/>
            </w:pPr>
            <w:r/>
            <w:r>
              <w:rPr>
                <w:rFonts w:ascii="Calibri" w:hAnsi="Calibri"/>
                <w:b w:val="0"/>
                <w:color w:val="333333"/>
                <w:sz w:val="18"/>
              </w:rPr>
              <w:t>1.000</w:t>
            </w:r>
          </w:p>
        </w:tc>
        <w:tc>
          <w:tcPr>
            <w:tcW w:type="dxa" w:w="1440"/>
            <w:vAlign w:val="center"/>
            <w:shd w:fill="F3F6FA"/>
          </w:tcPr>
          <w:p>
            <w:pPr>
              <w:spacing w:after="0"/>
            </w:pPr>
            <w:r/>
            <w:r>
              <w:rPr>
                <w:rFonts w:ascii="Calibri" w:hAnsi="Calibri"/>
                <w:b w:val="0"/>
                <w:color w:val="333333"/>
                <w:sz w:val="18"/>
              </w:rPr>
              <w:t>0.905</w:t>
            </w:r>
          </w:p>
        </w:tc>
        <w:tc>
          <w:tcPr>
            <w:tcW w:type="dxa" w:w="1224"/>
            <w:vAlign w:val="center"/>
            <w:shd w:fill="F3F6FA"/>
          </w:tcPr>
          <w:p>
            <w:pPr>
              <w:spacing w:after="0"/>
            </w:pPr>
            <w:r/>
            <w:r>
              <w:rPr>
                <w:rFonts w:ascii="Calibri" w:hAnsi="Calibri"/>
                <w:b w:val="0"/>
                <w:color w:val="333333"/>
                <w:sz w:val="18"/>
              </w:rPr>
              <w:t>0.950</w:t>
            </w:r>
          </w:p>
        </w:tc>
        <w:tc>
          <w:tcPr>
            <w:tcW w:type="dxa" w:w="1296"/>
            <w:vAlign w:val="center"/>
            <w:shd w:fill="F3F6FA"/>
          </w:tcPr>
          <w:p>
            <w:pPr>
              <w:spacing w:after="0"/>
            </w:pPr>
            <w:r/>
            <w:r>
              <w:rPr>
                <w:rFonts w:ascii="Calibri" w:hAnsi="Calibri"/>
                <w:b w:val="0"/>
                <w:color w:val="333333"/>
                <w:sz w:val="18"/>
              </w:rPr>
              <w:t>0.994</w:t>
            </w:r>
          </w:p>
        </w:tc>
      </w:tr>
    </w:tbl>
    <w:p>
      <w:pPr>
        <w:spacing w:after="0"/>
      </w:pPr>
    </w:p>
    <w:p>
      <w:pPr>
        <w:spacing w:after="120" w:line="259" w:lineRule="auto"/>
      </w:pPr>
      <w:r>
        <w:t>Logistic Regression and Random Forest tied at 0.965 accuracy. Their error profiles differ: Logistic Regression identified 39 of 42 malignant test cases (3 false negatives) and incorrectly flagged 1 benign case; Random Forest identified 38 of 42 malignant cases (4 false negatives) and made no false-positive predictions. Logistic Regression therefore had higher malignant recall (0.929 vs 0.905) and slightly higher F1 (0.951 vs 0.950), while Random Forest had higher malignant precision (1.000 vs 0.975). If missed malignant cases are especially costly, recall deserves particular attention; if false alarms are the primary concern, precision may matter more. In real screening or diagnosis, these models are not validated tools and must not be used for clinical decisions.</w:t>
      </w:r>
    </w:p>
    <w:p>
      <w:pPr>
        <w:spacing w:after="120" w:line="259" w:lineRule="auto"/>
      </w:pPr>
      <w:r>
        <w:t>The Decision Tree had the lowest classification scores in this comparison (accuracy 0.930; ROC-AUC 0.925). KNN reached 0.956 accuracy and 0.982 ROC-AUC, between the tree and the two top-performing models. ROC-AUC reflects ranking across thresholds, whereas accuracy and the class-specific metrics use the selected default decision threshold; they answer related but different questions.</w:t>
      </w:r>
    </w:p>
    <w:p>
      <w:pPr>
        <w:pStyle w:val="Heading1"/>
      </w:pPr>
      <w:r>
        <w:t>4. Evaluation choices and limitations</w:t>
      </w:r>
    </w:p>
    <w:p>
      <w:pPr>
        <w:pStyle w:val="ListBullet"/>
        <w:spacing w:after="60"/>
      </w:pPr>
      <w:r>
        <w:t>Held-out test data were not used to fit preprocessing or model parameters. Scaling is placed inside a pipeline to reduce leakage risk.</w:t>
      </w:r>
    </w:p>
    <w:p>
      <w:pPr>
        <w:pStyle w:val="ListBullet"/>
        <w:spacing w:after="60"/>
      </w:pPr>
      <w:r>
        <w:t>Regression MAE and RMSE are reported in the dataset target’s units; R² summarizes test-set variance explained. No medical meaning is inferred from the target values.</w:t>
      </w:r>
    </w:p>
    <w:p>
      <w:pPr>
        <w:pStyle w:val="ListBullet"/>
        <w:spacing w:after="60"/>
      </w:pPr>
      <w:r>
        <w:t>These are small, built-in benchmark datasets, and each task uses one fixed split. Results can vary under a different split and may not transfer to other data.</w:t>
      </w:r>
    </w:p>
    <w:p>
      <w:pPr>
        <w:pStyle w:val="ListBullet"/>
        <w:spacing w:after="60"/>
      </w:pPr>
      <w:r>
        <w:t>Models use simple settings (including five neighbors and 200 trees); no cross-validation, hyperparameter tuning, calibration, or external validation was performed.</w:t>
      </w:r>
    </w:p>
    <w:p>
      <w:pPr>
        <w:pStyle w:val="ListBullet"/>
        <w:spacing w:after="60"/>
      </w:pPr>
      <w:r>
        <w:t>Classification thresholds were not adjusted for a particular operational cost. High benchmark scores do not establish clinical suitability or fairness across populations.</w:t>
      </w:r>
    </w:p>
    <w:p>
      <w:pPr>
        <w:pStyle w:val="Heading1"/>
      </w:pPr>
      <w:r>
        <w:t>5. Conclusion</w:t>
      </w:r>
    </w:p>
    <w:p>
      <w:pPr>
        <w:spacing w:after="120" w:line="259" w:lineRule="auto"/>
      </w:pPr>
      <w:r>
        <w:t>The experiments demonstrate a complete supervised-learning workflow and show why evaluation should use more than one metric. Linear Regression led on RMSE and R² for regression, while KNN had a negligibly lower MAE. Logistic Regression and Random Forest tied on classification accuracy but differed in malignant-case precision and recall. The appropriate model depends on the task’s error costs, and stronger claims would require repeated validation, tuning, and testing on relevant independent data.</w:t>
      </w:r>
    </w:p>
    <w:p>
      <w:pPr>
        <w:pStyle w:val="Heading1"/>
      </w:pPr>
      <w:r>
        <w:t>Reproducibility</w:t>
      </w:r>
    </w:p>
    <w:p>
      <w:pPr>
        <w:spacing w:after="120" w:line="259" w:lineRule="auto"/>
      </w:pPr>
      <w:r>
        <w:t>Run `python -m pip install -r requirements.txt` followed by `python run_experiments.py`. The project package contains source code, dependencies, run instructions, exported metric tables, and experiment metadata. The script uses scikit-learn 1.6.1 in the recorded environment; results are tied to seed 42 and the supplied holdout splits.</w:t>
      </w:r>
    </w:p>
    <w:p>
      <w:pPr>
        <w:pStyle w:val="Heading1"/>
      </w:pPr>
      <w:r>
        <w:t>References</w:t>
      </w:r>
    </w:p>
    <w:p>
      <w:pPr>
        <w:spacing w:after="120" w:line="259" w:lineRule="auto"/>
      </w:pPr>
      <w:r>
        <w:t>Scikit-learn documentation: load_diabetes dataset; load_breast_cancer dataset; model evaluation metrics; Pipeline and StandardScaler. https://scikit-learn.org/stable/</w:t>
      </w:r>
    </w:p>
    <w:p>
      <w:pPr>
        <w:spacing w:after="120" w:line="259" w:lineRule="auto"/>
      </w:pPr>
      <w:r>
        <w:t>Dataset provenance and attribute descriptions are provided by the bundled scikit-learn dataset loaders. The regression target is described as a quantitative disease-progression measure; the classification dataset concerns benign and malignant breast tumor cases.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AI Pioneers Internship • Week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