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SAVE OUTFILE=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  'D:\xampp\htdocs\blogger-data\blog-pulipuli-info-data-2017\04\chi-squared-test\data-simpsons-para'+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05775">
        <w:rPr>
          <w:rFonts w:ascii="Courier New" w:hAnsi="Courier New" w:cs="Courier New"/>
          <w:color w:val="000000"/>
          <w:sz w:val="20"/>
          <w:szCs w:val="20"/>
        </w:rPr>
        <w:t>dox.sav</w:t>
      </w:r>
      <w:proofErr w:type="spellEnd"/>
      <w:r w:rsidRPr="00A0577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/COMPRESSED.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WEIGHT BY freq.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CROSSTABS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/TABLES=gender BY pass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/FORMAT=AVALUE TABLES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/STATISTICS=CHISQ CC PHI LAMBDA UC ETA CORR GAMMA D BTAU CTAU KAPPA RISK MCNEMAR </w:t>
      </w:r>
      <w:proofErr w:type="gramStart"/>
      <w:r w:rsidRPr="00A05775">
        <w:rPr>
          <w:rFonts w:ascii="Courier New" w:hAnsi="Courier New" w:cs="Courier New"/>
          <w:color w:val="000000"/>
          <w:sz w:val="20"/>
          <w:szCs w:val="20"/>
        </w:rPr>
        <w:t>CMH(</w:t>
      </w:r>
      <w:proofErr w:type="gramEnd"/>
      <w:r w:rsidRPr="00A05775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/CELLS=COUNT EXPECTED ROW COLUMN TOTAL RESID SRESID ASRESID BPROP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/COUNT ROUND CELL.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細明體" w:eastAsia="細明體" w:hAnsi="Times New Roman" w:cs="細明體"/>
          <w:b/>
          <w:bCs/>
          <w:color w:val="000000"/>
          <w:sz w:val="26"/>
          <w:szCs w:val="26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細明體" w:eastAsia="細明體" w:hAnsi="Times New Roman" w:cs="細明體"/>
          <w:b/>
          <w:bCs/>
          <w:color w:val="000000"/>
          <w:sz w:val="26"/>
          <w:szCs w:val="26"/>
        </w:rPr>
      </w:pPr>
      <w:r w:rsidRPr="00A05775">
        <w:rPr>
          <w:rFonts w:ascii="細明體" w:eastAsia="細明體" w:hAnsi="Times New Roman" w:cs="細明體" w:hint="eastAsia"/>
          <w:b/>
          <w:bCs/>
          <w:color w:val="000000"/>
          <w:sz w:val="26"/>
          <w:szCs w:val="26"/>
        </w:rPr>
        <w:t>交叉表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細明體" w:eastAsia="細明體" w:hAnsi="Times New Roman" w:cs="細明體"/>
          <w:color w:val="000000"/>
          <w:sz w:val="26"/>
          <w:szCs w:val="26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2715"/>
        <w:gridCol w:w="2749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注意事項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建立的輸出</w:t>
            </w:r>
          </w:p>
        </w:tc>
        <w:tc>
          <w:tcPr>
            <w:tcW w:w="274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02-MAY-2017 12:35:25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說明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輸入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資料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D:\xampp\htdocs\blogger-data\blog-pulipuli-info-data-2017\04\chi-squared-test\data-simpsons-paradox.sav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作用中資料集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資料集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過濾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&lt;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無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&gt;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加權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freq</w:t>
            </w:r>
            <w:proofErr w:type="spellEnd"/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分割檔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&lt;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無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&gt;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目前啟用的資料檔中之橫列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N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遺漏值的處理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遺漏值的定義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使用者界定的遺漏值會被視為遺漏值。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使用的觀察值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每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表格的統計量是以每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表格中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所有變數指定範圍內包含有效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資料的全部觀察值為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準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lastRenderedPageBreak/>
              <w:t>語法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CROSSTABS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/TABLES=gender BY pass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/FORMAT=AVALUE TABLES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/STATISTICS=CHISQ CC PHI LAMBDA UC ETA CORR GAMMA D BTAU CTAU KAPPA RISK MCNEMAR CMH(1)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/CELLS=COUNT EXPECTED ROW COLUMN TOTAL RESID SRESID ASRESID BPROP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/COUNT ROUND CELL.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資源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處理器時間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00:00:00.00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經過的時間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00:00:00.18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要求的向度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可用的格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131072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[</w:t>
      </w:r>
      <w:r w:rsidRPr="00A05775">
        <w:rPr>
          <w:rFonts w:ascii="Courier New" w:hAnsi="Courier New" w:cs="Courier New"/>
          <w:color w:val="000000"/>
          <w:sz w:val="20"/>
          <w:szCs w:val="20"/>
        </w:rPr>
        <w:t>資料集</w:t>
      </w:r>
      <w:r w:rsidRPr="00A05775">
        <w:rPr>
          <w:rFonts w:ascii="Courier New" w:hAnsi="Courier New" w:cs="Courier New"/>
          <w:color w:val="000000"/>
          <w:sz w:val="20"/>
          <w:szCs w:val="20"/>
        </w:rPr>
        <w:t>0] D:\xampp\htdocs\blogger-data\blog-pulipuli-info-data-2017\04\chi-squared-test\data-simpsons-paradox.sav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8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107"/>
        <w:gridCol w:w="1106"/>
        <w:gridCol w:w="1106"/>
        <w:gridCol w:w="1106"/>
        <w:gridCol w:w="1106"/>
        <w:gridCol w:w="1106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觀察值處理摘要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6636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觀察值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21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</w:p>
        </w:tc>
        <w:tc>
          <w:tcPr>
            <w:tcW w:w="2212" w:type="dxa"/>
            <w:gridSpan w:val="2"/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遺漏值</w:t>
            </w:r>
          </w:p>
        </w:tc>
        <w:tc>
          <w:tcPr>
            <w:tcW w:w="2212" w:type="dxa"/>
            <w:gridSpan w:val="2"/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 * pass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"/>
        <w:gridCol w:w="805"/>
        <w:gridCol w:w="1861"/>
        <w:gridCol w:w="1106"/>
        <w:gridCol w:w="1106"/>
        <w:gridCol w:w="1106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gender * pass </w:t>
            </w: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21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110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未通過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通過</w:t>
            </w:r>
          </w:p>
        </w:tc>
        <w:tc>
          <w:tcPr>
            <w:tcW w:w="110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80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男性</w:t>
            </w:r>
          </w:p>
        </w:tc>
        <w:tc>
          <w:tcPr>
            <w:tcW w:w="18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80.0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gender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56.2%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43.8%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52.9%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63.6%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57.1%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整體的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%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32.1%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25.0%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57.1%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-3.6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標準化殘差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-.5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調整後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女性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60.0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gender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66.7%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33.3%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47.1%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36.4%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42.9%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整體的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%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28.6%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42.9%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-3.6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標準化殘差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-.7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調整後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140.0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gender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60.7%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整體的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%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60.7%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每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下標字母都代表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類別的子集，其行比例在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.05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水準上，彼此差異不大。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8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107"/>
        <w:gridCol w:w="1106"/>
        <w:gridCol w:w="1609"/>
        <w:gridCol w:w="1609"/>
        <w:gridCol w:w="1609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卡方檢定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單尾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Pearson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1.560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連續性校正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1.154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.283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概似比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1.571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Fisher's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精確檢定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.141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線性對線性的關連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1.549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McNemar</w:t>
            </w:r>
            <w:proofErr w:type="spell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檢定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a. 0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(0.0%)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的預期個數少於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5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最小的預期個數為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23.57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b.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只能計算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2x2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表格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兩個變數必須具有相同類別的數值。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12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5"/>
        <w:gridCol w:w="2683"/>
        <w:gridCol w:w="1559"/>
        <w:gridCol w:w="1106"/>
        <w:gridCol w:w="1408"/>
        <w:gridCol w:w="1424"/>
        <w:gridCol w:w="1508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方向性量數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近似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T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分配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50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顯著性近似值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以名義量數為主</w:t>
            </w:r>
          </w:p>
        </w:tc>
        <w:tc>
          <w:tcPr>
            <w:tcW w:w="268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Lambda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Goodman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與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Kruskal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Tau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測量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不確定係數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e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e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e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以次序量數為主</w:t>
            </w: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Somers' d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.082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以名義量數和間隔為主</w:t>
            </w: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Eta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a.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未假定虛無假設為真。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b.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由於漸近標準誤等於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因此無法計算。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以卡方近似法為準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d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使用假定虛無假設為真時之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e.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概似比卡方機率。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1"/>
        <w:gridCol w:w="2532"/>
        <w:gridCol w:w="1106"/>
        <w:gridCol w:w="1408"/>
        <w:gridCol w:w="1425"/>
        <w:gridCol w:w="1508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近似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T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分配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顯著性近似值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以名義量數為主</w:t>
            </w:r>
          </w:p>
        </w:tc>
        <w:tc>
          <w:tcPr>
            <w:tcW w:w="253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Phi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Cramer's V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列聯係數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以次序量數為主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Kendall's tau-b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Kendall's tau-c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-.102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Gamma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-.217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.169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Spearman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相關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-1.247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以間隔為主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Pearson 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相關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-1.247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同意量數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Kappa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1.249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a.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未假定虛無假設為真。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b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使用假定虛無假設為真時之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漸近標準誤。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以一般近似值為準。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3"/>
        <w:gridCol w:w="1106"/>
        <w:gridCol w:w="1106"/>
        <w:gridCol w:w="1106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風險估計值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221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95%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信賴區間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較低</w:t>
            </w:r>
          </w:p>
        </w:tc>
        <w:tc>
          <w:tcPr>
            <w:tcW w:w="110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較高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/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)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的奇數比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.643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1.288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顯示相對風險之估計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=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未通過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.844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.648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1.098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顯示相對風險之估計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=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通過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1.313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.849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2.029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5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1307"/>
        <w:gridCol w:w="1106"/>
        <w:gridCol w:w="1609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勝數比的同質性檢定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卡方統計量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雙邊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Breslow-Day</w:t>
            </w: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Tarone's</w:t>
            </w:r>
            <w:proofErr w:type="spellEnd"/>
          </w:p>
        </w:tc>
        <w:tc>
          <w:tcPr>
            <w:tcW w:w="130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5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307"/>
        <w:gridCol w:w="1106"/>
        <w:gridCol w:w="1610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條件獨立性檢定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卡方統計量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雙邊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Cochran's</w:t>
            </w: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1.560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</w:p>
        </w:tc>
        <w:tc>
          <w:tcPr>
            <w:tcW w:w="130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1.145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.285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在有條件的獨立假設下，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Cochran's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統計量的分配接近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1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自由度的卡方分配，但是只有在層數固定時，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統計量的分配會接近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1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自由度的卡方分配。請注意，當觀察值與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期望值間的差異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總和為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0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，連續修正會由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統計量中移除。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5"/>
        <w:gridCol w:w="2514"/>
        <w:gridCol w:w="815"/>
        <w:gridCol w:w="1120"/>
      </w:tblGrid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Common Odds </w:t>
            </w: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比率估計值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2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估計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.643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ln(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估計值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-.442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ln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的誤差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估計值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.355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雙邊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95%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信賴區間</w:t>
            </w:r>
          </w:p>
        </w:tc>
        <w:tc>
          <w:tcPr>
            <w:tcW w:w="25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.321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1.288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ln(Common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-1.137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.253</w:t>
            </w:r>
          </w:p>
        </w:tc>
      </w:tr>
      <w:tr w:rsidR="00A05775" w:rsidRPr="00A05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1.000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假設的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比率下，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比率估計值接近常態分配。估計值的自然對數也是一樣。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7B2882" w:rsidRPr="00A05775" w:rsidRDefault="007B2882">
      <w:bookmarkStart w:id="0" w:name="_GoBack"/>
      <w:bookmarkEnd w:id="0"/>
    </w:p>
    <w:sectPr w:rsidR="007B2882" w:rsidRPr="00A05775" w:rsidSect="004F10A2">
      <w:pgSz w:w="17805" w:h="16839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75"/>
    <w:rsid w:val="00071F7E"/>
    <w:rsid w:val="000C6F2C"/>
    <w:rsid w:val="0052574C"/>
    <w:rsid w:val="005C51AA"/>
    <w:rsid w:val="00600F9A"/>
    <w:rsid w:val="007B2882"/>
    <w:rsid w:val="00A05775"/>
    <w:rsid w:val="00DD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261EA-78B9-419B-81CA-E216BD5E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F9A"/>
    <w:rPr>
      <w:rFonts w:cs="標楷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0F9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F9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00F9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F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F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F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F9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F9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F9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0F9A"/>
    <w:rPr>
      <w:rFonts w:asciiTheme="majorHAnsi" w:eastAsiaTheme="majorEastAsia" w:hAnsiTheme="majorHAnsi" w:cs="標楷體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600F9A"/>
    <w:rPr>
      <w:rFonts w:asciiTheme="majorHAnsi" w:eastAsiaTheme="majorEastAsia" w:hAnsiTheme="majorHAnsi" w:cs="標楷體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600F9A"/>
    <w:rPr>
      <w:rFonts w:asciiTheme="majorHAnsi" w:eastAsiaTheme="majorEastAsia" w:hAnsiTheme="majorHAnsi" w:cs="標楷體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600F9A"/>
    <w:rPr>
      <w:rFonts w:cs="標楷體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0F9A"/>
    <w:rPr>
      <w:rFonts w:cs="標楷體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600F9A"/>
    <w:rPr>
      <w:rFonts w:cs="標楷體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600F9A"/>
    <w:rPr>
      <w:rFonts w:cs="標楷體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600F9A"/>
    <w:rPr>
      <w:rFonts w:cs="標楷體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600F9A"/>
    <w:rPr>
      <w:rFonts w:asciiTheme="majorHAnsi" w:eastAsiaTheme="majorEastAsia" w:hAnsiTheme="majorHAnsi" w:cs="標楷體"/>
    </w:rPr>
  </w:style>
  <w:style w:type="paragraph" w:styleId="a3">
    <w:name w:val="caption"/>
    <w:basedOn w:val="a"/>
    <w:next w:val="a"/>
    <w:uiPriority w:val="35"/>
    <w:semiHidden/>
    <w:unhideWhenUsed/>
    <w:rsid w:val="005C51AA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0F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00F9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00F9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標題 字元"/>
    <w:basedOn w:val="a0"/>
    <w:link w:val="a6"/>
    <w:uiPriority w:val="11"/>
    <w:rsid w:val="00600F9A"/>
    <w:rPr>
      <w:rFonts w:asciiTheme="majorHAnsi" w:eastAsiaTheme="majorEastAsia" w:hAnsiTheme="majorHAnsi" w:cs="標楷體"/>
      <w:sz w:val="24"/>
      <w:szCs w:val="24"/>
    </w:rPr>
  </w:style>
  <w:style w:type="character" w:styleId="a8">
    <w:name w:val="Strong"/>
    <w:basedOn w:val="a0"/>
    <w:uiPriority w:val="22"/>
    <w:qFormat/>
    <w:rsid w:val="00600F9A"/>
    <w:rPr>
      <w:b/>
      <w:bCs/>
    </w:rPr>
  </w:style>
  <w:style w:type="character" w:styleId="a9">
    <w:name w:val="Emphasis"/>
    <w:basedOn w:val="a0"/>
    <w:uiPriority w:val="20"/>
    <w:qFormat/>
    <w:rsid w:val="00600F9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00F9A"/>
    <w:rPr>
      <w:rFonts w:cs="Times New Roman"/>
      <w:szCs w:val="32"/>
    </w:rPr>
  </w:style>
  <w:style w:type="paragraph" w:styleId="ab">
    <w:name w:val="List Paragraph"/>
    <w:basedOn w:val="a"/>
    <w:uiPriority w:val="34"/>
    <w:qFormat/>
    <w:rsid w:val="00600F9A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00F9A"/>
    <w:rPr>
      <w:i/>
    </w:rPr>
  </w:style>
  <w:style w:type="character" w:customStyle="1" w:styleId="ad">
    <w:name w:val="引文 字元"/>
    <w:basedOn w:val="a0"/>
    <w:link w:val="ac"/>
    <w:uiPriority w:val="29"/>
    <w:rsid w:val="00600F9A"/>
    <w:rPr>
      <w:rFonts w:cs="標楷體"/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00F9A"/>
    <w:pPr>
      <w:ind w:left="720" w:right="720"/>
    </w:pPr>
    <w:rPr>
      <w:b/>
      <w:i/>
      <w:szCs w:val="22"/>
    </w:rPr>
  </w:style>
  <w:style w:type="character" w:customStyle="1" w:styleId="af">
    <w:name w:val="鮮明引文 字元"/>
    <w:basedOn w:val="a0"/>
    <w:link w:val="ae"/>
    <w:uiPriority w:val="30"/>
    <w:rsid w:val="00600F9A"/>
    <w:rPr>
      <w:rFonts w:cs="標楷體"/>
      <w:b/>
      <w:i/>
      <w:sz w:val="24"/>
    </w:rPr>
  </w:style>
  <w:style w:type="character" w:styleId="af0">
    <w:name w:val="Subtle Emphasis"/>
    <w:uiPriority w:val="19"/>
    <w:qFormat/>
    <w:rsid w:val="00600F9A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600F9A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600F9A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600F9A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600F9A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600F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3298</Characters>
  <Application>Microsoft Office Word</Application>
  <DocSecurity>0</DocSecurity>
  <Lines>27</Lines>
  <Paragraphs>7</Paragraphs>
  <ScaleCrop>false</ScaleCrop>
  <Company>NCCU DLLL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1</cp:revision>
  <dcterms:created xsi:type="dcterms:W3CDTF">2017-05-02T04:38:00Z</dcterms:created>
  <dcterms:modified xsi:type="dcterms:W3CDTF">2017-05-02T04:38:00Z</dcterms:modified>
</cp:coreProperties>
</file>