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6"/>
        </w:rPr>
      </w:pPr>
    </w:p>
    <w:p>
      <w:pPr>
        <w:pStyle w:val="BodyText"/>
        <w:spacing w:before="606"/>
        <w:rPr>
          <w:rFonts w:ascii="Times New Roman"/>
          <w:sz w:val="56"/>
        </w:rPr>
      </w:pPr>
    </w:p>
    <w:p>
      <w:pPr>
        <w:pStyle w:val="Title"/>
      </w:pPr>
      <w:r>
        <w:rPr>
          <w:spacing w:val="-7"/>
        </w:rPr>
        <w:t>國家圖書館館藏發展政策</w:t>
      </w:r>
    </w:p>
    <w:p>
      <w:pPr>
        <w:pStyle w:val="BodyText"/>
        <w:spacing w:before="74"/>
        <w:rPr>
          <w:rFonts w:ascii="Malgun Gothic"/>
          <w:b/>
          <w:sz w:val="56"/>
        </w:rPr>
      </w:pPr>
    </w:p>
    <w:p>
      <w:pPr>
        <w:pStyle w:val="Heading1"/>
      </w:pPr>
      <w:r>
        <w:rPr>
          <w:spacing w:val="-7"/>
        </w:rPr>
        <w:t>第七版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12"/>
        <w:rPr>
          <w:sz w:val="44"/>
        </w:rPr>
      </w:pPr>
    </w:p>
    <w:p>
      <w:pPr>
        <w:spacing w:before="1"/>
        <w:ind w:left="3" w:right="424" w:firstLine="0"/>
        <w:jc w:val="center"/>
        <w:rPr>
          <w:sz w:val="36"/>
        </w:rPr>
      </w:pPr>
      <w:r>
        <w:rPr>
          <w:spacing w:val="-2"/>
          <w:sz w:val="36"/>
        </w:rPr>
        <w:t>國家圖書館</w:t>
      </w:r>
    </w:p>
    <w:p>
      <w:pPr>
        <w:spacing w:before="366"/>
        <w:ind w:left="6" w:right="424" w:firstLine="0"/>
        <w:jc w:val="center"/>
        <w:rPr>
          <w:sz w:val="36"/>
        </w:rPr>
      </w:pPr>
      <w:r>
        <w:rPr>
          <w:spacing w:val="-18"/>
          <w:sz w:val="36"/>
        </w:rPr>
        <w:t>中華民國 </w:t>
      </w:r>
      <w:r>
        <w:rPr>
          <w:rFonts w:ascii="Times New Roman" w:eastAsia="Times New Roman"/>
          <w:sz w:val="36"/>
        </w:rPr>
        <w:t>108</w:t>
      </w:r>
      <w:r>
        <w:rPr>
          <w:rFonts w:ascii="Times New Roman" w:eastAsia="Times New Roman"/>
          <w:spacing w:val="-2"/>
          <w:sz w:val="36"/>
        </w:rPr>
        <w:t> </w:t>
      </w:r>
      <w:r>
        <w:rPr>
          <w:spacing w:val="-45"/>
          <w:sz w:val="36"/>
        </w:rPr>
        <w:t>年 </w:t>
      </w:r>
      <w:r>
        <w:rPr>
          <w:rFonts w:ascii="Times New Roman" w:eastAsia="Times New Roman"/>
          <w:sz w:val="36"/>
        </w:rPr>
        <w:t>9</w:t>
      </w:r>
      <w:r>
        <w:rPr>
          <w:rFonts w:ascii="Times New Roman" w:eastAsia="Times New Roman"/>
          <w:spacing w:val="1"/>
          <w:sz w:val="36"/>
        </w:rPr>
        <w:t> </w:t>
      </w:r>
      <w:r>
        <w:rPr>
          <w:spacing w:val="-10"/>
          <w:sz w:val="36"/>
        </w:rPr>
        <w:t>月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920" w:bottom="280" w:left="1417" w:right="17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1910" w:h="16840"/>
          <w:pgMar w:top="1920" w:bottom="280" w:left="1417" w:right="1700"/>
        </w:sectPr>
      </w:pPr>
    </w:p>
    <w:p>
      <w:pPr>
        <w:pStyle w:val="Heading1"/>
        <w:spacing w:line="555" w:lineRule="exact"/>
        <w:ind w:left="6"/>
      </w:pPr>
      <w:r>
        <w:rPr>
          <w:spacing w:val="-10"/>
        </w:rPr>
        <w:t>序</w:t>
      </w:r>
    </w:p>
    <w:p>
      <w:pPr>
        <w:pStyle w:val="BodyText"/>
        <w:spacing w:line="302" w:lineRule="auto" w:before="288"/>
        <w:ind w:left="1" w:right="466" w:firstLine="520"/>
        <w:jc w:val="both"/>
      </w:pPr>
      <w:r>
        <w:rPr>
          <w:spacing w:val="-2"/>
        </w:rPr>
        <w:t>館藏發展是依據圖書館之任務、功能以及讀者需求等，建立圖書館館藏，並就圖書館館藏予以鑑定、分析，試圖就其缺失而予以改善的過程。國家圖書館依據「圖書館法」之規定，肩負「徵集、整理及典藏全國圖書資訊，保存文化、弘揚學術，研究、推動及輔導全國各類圖書館發展」之責任。為發揮典藏國家文獻、提供資訊服務之功能，透過訂定館藏發展政策以強化館藏的建置與特色，以作為發展館藏的工作準則。</w:t>
      </w:r>
    </w:p>
    <w:p>
      <w:pPr>
        <w:pStyle w:val="BodyText"/>
        <w:spacing w:line="302" w:lineRule="auto" w:before="107"/>
        <w:ind w:left="1" w:right="415" w:firstLine="520"/>
        <w:jc w:val="both"/>
      </w:pPr>
      <w:r>
        <w:rPr>
          <w:spacing w:val="-2"/>
        </w:rPr>
        <w:t>《國家圖書館館藏發展政策》為國圖館藏徵集提供工作準則，目標在於保存國家文化資產、典藏國家文獻，廣徵世界各國重要文獻，並透過館藏數位化與數位資源之徵集促進資源共建與共享。本次館藏發展政策之修</w:t>
      </w:r>
      <w:r>
        <w:rPr>
          <w:spacing w:val="-8"/>
        </w:rPr>
        <w:t>訂，主要內容有二：其一，為因應「學位授予法」論文送存條文之更動，將第八條修正為第十六條；其二，針對「南部分館館藏」部分，增訂有關「臺</w:t>
      </w:r>
      <w:r>
        <w:rPr>
          <w:spacing w:val="-2"/>
        </w:rPr>
        <w:t>灣兒童及青少年文學史料中心」與「臺灣出版產業博物館」之館藏範圍。</w:t>
      </w:r>
    </w:p>
    <w:p>
      <w:pPr>
        <w:pStyle w:val="BodyText"/>
        <w:spacing w:line="302" w:lineRule="auto" w:before="113"/>
        <w:ind w:left="1" w:right="415" w:firstLine="520"/>
        <w:jc w:val="both"/>
      </w:pPr>
      <w:r>
        <w:rPr>
          <w:spacing w:val="-2"/>
        </w:rPr>
        <w:t>館藏發展政策為充實館藏、維護館藏及提升服務品質之基礎，感謝全館各部門同仁共同參與，就業務相關部分集思廣益，修訂編輯而成。內容</w:t>
      </w:r>
      <w:r>
        <w:rPr/>
        <w:t>或有疏漏之處，尚祈 各界不吝指正。</w:t>
      </w:r>
    </w:p>
    <w:p>
      <w:pPr>
        <w:pStyle w:val="BodyText"/>
        <w:spacing w:line="321" w:lineRule="auto" w:before="44"/>
        <w:ind w:left="6547" w:right="422"/>
        <w:jc w:val="right"/>
      </w:pPr>
      <w:r>
        <w:rPr>
          <w:spacing w:val="-2"/>
        </w:rPr>
        <w:t>國家圖書館館長</w:t>
      </w:r>
      <w:r>
        <w:rPr>
          <w:spacing w:val="13"/>
        </w:rPr>
        <w:t>曾淑賢 謹誌</w:t>
      </w:r>
      <w:r>
        <w:rPr/>
        <w:t> </w:t>
      </w:r>
      <w:r>
        <w:rPr>
          <w:spacing w:val="-22"/>
        </w:rPr>
        <w:t>民國 </w:t>
      </w:r>
      <w:r>
        <w:rPr>
          <w:rFonts w:ascii="Times New Roman" w:eastAsia="Times New Roman"/>
        </w:rPr>
        <w:t>108</w:t>
      </w:r>
      <w:r>
        <w:rPr>
          <w:rFonts w:ascii="Times New Roman" w:eastAsia="Times New Roman"/>
          <w:spacing w:val="-8"/>
        </w:rPr>
        <w:t> </w:t>
      </w:r>
      <w:r>
        <w:rPr>
          <w:spacing w:val="-33"/>
        </w:rPr>
        <w:t>年 </w:t>
      </w:r>
      <w:r>
        <w:rPr>
          <w:rFonts w:ascii="Times New Roman" w:eastAsia="Times New Roman"/>
        </w:rPr>
        <w:t>9</w:t>
      </w:r>
      <w:r>
        <w:rPr>
          <w:rFonts w:ascii="Times New Roman" w:eastAsia="Times New Roman"/>
          <w:spacing w:val="-4"/>
        </w:rPr>
        <w:t> </w:t>
      </w:r>
      <w:r>
        <w:rPr>
          <w:spacing w:val="-10"/>
        </w:rPr>
        <w:t>月</w:t>
      </w:r>
    </w:p>
    <w:p>
      <w:pPr>
        <w:pStyle w:val="BodyText"/>
        <w:spacing w:after="0" w:line="321" w:lineRule="auto"/>
        <w:jc w:val="right"/>
        <w:sectPr>
          <w:pgSz w:w="11910" w:h="16840"/>
          <w:pgMar w:top="1320" w:bottom="280" w:left="1417" w:right="17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1910" w:h="16840"/>
          <w:pgMar w:top="1920" w:bottom="280" w:left="1417" w:right="1700"/>
        </w:sectPr>
      </w:pPr>
    </w:p>
    <w:p>
      <w:pPr>
        <w:pStyle w:val="Heading1"/>
        <w:spacing w:line="560" w:lineRule="exact"/>
      </w:pPr>
      <w:r>
        <w:rPr>
          <w:spacing w:val="-6"/>
        </w:rPr>
        <w:t>目 次</w:t>
      </w:r>
    </w:p>
    <w:p>
      <w:pPr>
        <w:tabs>
          <w:tab w:pos="8258" w:val="right" w:leader="dot"/>
        </w:tabs>
        <w:spacing w:before="22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16"/>
          <w:sz w:val="28"/>
        </w:rPr>
        <w:t>壹、前言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10"/>
          <w:sz w:val="28"/>
        </w:rPr>
        <w:t>1</w:t>
      </w:r>
    </w:p>
    <w:p>
      <w:pPr>
        <w:tabs>
          <w:tab w:pos="8258" w:val="right" w:leader="dot"/>
        </w:tabs>
        <w:spacing w:before="361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8"/>
          <w:sz w:val="28"/>
        </w:rPr>
        <w:t>貳、任務與服務對</w:t>
      </w:r>
      <w:r>
        <w:rPr>
          <w:spacing w:val="-10"/>
          <w:sz w:val="28"/>
        </w:rPr>
        <w:t>象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12"/>
          <w:sz w:val="28"/>
        </w:rPr>
        <w:t>3</w:t>
      </w:r>
    </w:p>
    <w:p>
      <w:pPr>
        <w:tabs>
          <w:tab w:pos="8258" w:val="right" w:leader="dot"/>
        </w:tabs>
        <w:spacing w:before="361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z w:val="28"/>
        </w:rPr>
        <w:t>參、館藏</w:t>
      </w:r>
      <w:r>
        <w:rPr>
          <w:spacing w:val="11"/>
          <w:sz w:val="28"/>
        </w:rPr>
        <w:t>發</w:t>
      </w:r>
      <w:r>
        <w:rPr>
          <w:sz w:val="28"/>
        </w:rPr>
        <w:t>展政</w:t>
      </w:r>
      <w:r>
        <w:rPr>
          <w:spacing w:val="-10"/>
          <w:sz w:val="28"/>
        </w:rPr>
        <w:t>策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10"/>
          <w:sz w:val="28"/>
        </w:rPr>
        <w:t>6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255" w:val="right" w:leader="dot"/>
        </w:tabs>
        <w:spacing w:line="240" w:lineRule="auto" w:before="362" w:after="0"/>
        <w:ind w:left="878" w:right="0" w:hanging="212"/>
        <w:jc w:val="left"/>
        <w:rPr>
          <w:rFonts w:ascii="Times New Roman" w:eastAsia="Times New Roman"/>
          <w:sz w:val="28"/>
        </w:rPr>
      </w:pPr>
      <w:r>
        <w:rPr>
          <w:sz w:val="28"/>
        </w:rPr>
        <w:t>通</w:t>
      </w:r>
      <w:r>
        <w:rPr>
          <w:spacing w:val="-10"/>
          <w:sz w:val="28"/>
        </w:rPr>
        <w:t>則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10"/>
          <w:sz w:val="28"/>
        </w:rPr>
        <w:t>6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8258" w:val="right" w:leader="dot"/>
        </w:tabs>
        <w:spacing w:line="240" w:lineRule="auto" w:before="361" w:after="0"/>
        <w:ind w:left="921" w:right="0" w:hanging="236"/>
        <w:jc w:val="left"/>
        <w:rPr>
          <w:rFonts w:ascii="Times New Roman" w:eastAsia="Times New Roman"/>
          <w:sz w:val="28"/>
        </w:rPr>
      </w:pPr>
      <w:r>
        <w:rPr>
          <w:spacing w:val="12"/>
          <w:sz w:val="28"/>
        </w:rPr>
        <w:t>普通</w:t>
      </w:r>
      <w:r>
        <w:rPr>
          <w:spacing w:val="14"/>
          <w:sz w:val="28"/>
        </w:rPr>
        <w:t>圖</w:t>
      </w:r>
      <w:r>
        <w:rPr>
          <w:spacing w:val="4"/>
          <w:sz w:val="28"/>
        </w:rPr>
        <w:t>書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7"/>
          <w:sz w:val="28"/>
        </w:rPr>
        <w:t>15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8258" w:val="right" w:leader="dot"/>
        </w:tabs>
        <w:spacing w:line="240" w:lineRule="auto" w:before="362" w:after="0"/>
        <w:ind w:left="921" w:right="0" w:hanging="236"/>
        <w:jc w:val="left"/>
        <w:rPr>
          <w:rFonts w:ascii="Times New Roman" w:eastAsia="Times New Roman"/>
          <w:sz w:val="28"/>
        </w:rPr>
      </w:pPr>
      <w:r>
        <w:rPr>
          <w:spacing w:val="11"/>
          <w:sz w:val="28"/>
        </w:rPr>
        <w:t>政府</w:t>
      </w:r>
      <w:r>
        <w:rPr>
          <w:spacing w:val="14"/>
          <w:sz w:val="28"/>
        </w:rPr>
        <w:t>出</w:t>
      </w:r>
      <w:r>
        <w:rPr>
          <w:spacing w:val="11"/>
          <w:sz w:val="28"/>
        </w:rPr>
        <w:t>版</w:t>
      </w:r>
      <w:r>
        <w:rPr>
          <w:spacing w:val="-10"/>
          <w:sz w:val="28"/>
        </w:rPr>
        <w:t>品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7"/>
          <w:sz w:val="28"/>
        </w:rPr>
        <w:t>20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8271" w:val="right" w:leader="dot"/>
        </w:tabs>
        <w:spacing w:line="240" w:lineRule="auto" w:before="361" w:after="0"/>
        <w:ind w:left="921" w:right="0" w:hanging="236"/>
        <w:jc w:val="left"/>
        <w:rPr>
          <w:rFonts w:ascii="Times New Roman" w:eastAsia="Times New Roman"/>
          <w:sz w:val="28"/>
        </w:rPr>
      </w:pPr>
      <w:r>
        <w:rPr>
          <w:spacing w:val="11"/>
          <w:sz w:val="28"/>
        </w:rPr>
        <w:t>學位</w:t>
      </w:r>
      <w:r>
        <w:rPr>
          <w:spacing w:val="14"/>
          <w:sz w:val="28"/>
        </w:rPr>
        <w:t>論</w:t>
      </w:r>
      <w:r>
        <w:rPr>
          <w:spacing w:val="-10"/>
          <w:sz w:val="28"/>
        </w:rPr>
        <w:t>文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8"/>
          <w:sz w:val="28"/>
        </w:rPr>
        <w:t>24</w:t>
      </w:r>
    </w:p>
    <w:p>
      <w:pPr>
        <w:pStyle w:val="ListParagraph"/>
        <w:numPr>
          <w:ilvl w:val="0"/>
          <w:numId w:val="1"/>
        </w:numPr>
        <w:tabs>
          <w:tab w:pos="893" w:val="left" w:leader="none"/>
          <w:tab w:pos="8247" w:val="right" w:leader="dot"/>
        </w:tabs>
        <w:spacing w:line="240" w:lineRule="auto" w:before="361" w:after="0"/>
        <w:ind w:left="893" w:right="0" w:hanging="208"/>
        <w:jc w:val="left"/>
        <w:rPr>
          <w:rFonts w:ascii="Times New Roman" w:eastAsia="Times New Roman"/>
          <w:sz w:val="28"/>
        </w:rPr>
      </w:pPr>
      <w:r>
        <w:rPr>
          <w:sz w:val="28"/>
        </w:rPr>
        <w:t>特藏文</w:t>
      </w:r>
      <w:r>
        <w:rPr>
          <w:spacing w:val="-10"/>
          <w:sz w:val="28"/>
        </w:rPr>
        <w:t>獻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27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8264" w:val="right" w:leader="dot"/>
        </w:tabs>
        <w:spacing w:line="240" w:lineRule="auto" w:before="362" w:after="0"/>
        <w:ind w:left="899" w:right="0" w:hanging="214"/>
        <w:jc w:val="left"/>
        <w:rPr>
          <w:rFonts w:ascii="Times New Roman" w:eastAsia="Times New Roman"/>
          <w:sz w:val="28"/>
        </w:rPr>
      </w:pPr>
      <w:r>
        <w:rPr>
          <w:sz w:val="28"/>
        </w:rPr>
        <w:t>漢學研究資</w:t>
      </w:r>
      <w:r>
        <w:rPr>
          <w:spacing w:val="-10"/>
          <w:sz w:val="28"/>
        </w:rPr>
        <w:t>料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31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8260" w:val="right" w:leader="dot"/>
        </w:tabs>
        <w:spacing w:line="240" w:lineRule="auto" w:before="361" w:after="0"/>
        <w:ind w:left="899" w:right="0" w:hanging="214"/>
        <w:jc w:val="left"/>
        <w:rPr>
          <w:rFonts w:ascii="Times New Roman" w:eastAsia="Times New Roman"/>
          <w:sz w:val="28"/>
        </w:rPr>
      </w:pPr>
      <w:r>
        <w:rPr>
          <w:sz w:val="28"/>
        </w:rPr>
        <w:t>期刊報</w:t>
      </w:r>
      <w:r>
        <w:rPr>
          <w:spacing w:val="-10"/>
          <w:sz w:val="28"/>
        </w:rPr>
        <w:t>紙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34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  <w:tab w:pos="8268" w:val="right" w:leader="dot"/>
        </w:tabs>
        <w:spacing w:line="240" w:lineRule="auto" w:before="361" w:after="0"/>
        <w:ind w:left="926" w:right="0" w:hanging="229"/>
        <w:jc w:val="left"/>
        <w:rPr>
          <w:rFonts w:ascii="Times New Roman" w:eastAsia="Times New Roman"/>
          <w:sz w:val="28"/>
        </w:rPr>
      </w:pPr>
      <w:r>
        <w:rPr>
          <w:sz w:val="28"/>
        </w:rPr>
        <w:t>地圖資</w:t>
      </w:r>
      <w:r>
        <w:rPr>
          <w:spacing w:val="-10"/>
          <w:sz w:val="28"/>
        </w:rPr>
        <w:t>料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7"/>
          <w:sz w:val="28"/>
        </w:rPr>
        <w:t>41</w:t>
      </w:r>
    </w:p>
    <w:p>
      <w:pPr>
        <w:pStyle w:val="ListParagraph"/>
        <w:numPr>
          <w:ilvl w:val="0"/>
          <w:numId w:val="1"/>
        </w:numPr>
        <w:tabs>
          <w:tab w:pos="899" w:val="left" w:leader="none"/>
          <w:tab w:pos="8260" w:val="right" w:leader="dot"/>
        </w:tabs>
        <w:spacing w:line="240" w:lineRule="auto" w:before="362" w:after="0"/>
        <w:ind w:left="899" w:right="0" w:hanging="214"/>
        <w:jc w:val="left"/>
        <w:rPr>
          <w:rFonts w:ascii="Times New Roman" w:eastAsia="Times New Roman"/>
          <w:sz w:val="28"/>
        </w:rPr>
      </w:pPr>
      <w:r>
        <w:rPr>
          <w:sz w:val="28"/>
        </w:rPr>
        <w:t>多媒體資</w:t>
      </w:r>
      <w:r>
        <w:rPr>
          <w:spacing w:val="-10"/>
          <w:sz w:val="28"/>
        </w:rPr>
        <w:t>料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43</w:t>
      </w:r>
    </w:p>
    <w:p>
      <w:pPr>
        <w:pStyle w:val="ListParagraph"/>
        <w:numPr>
          <w:ilvl w:val="0"/>
          <w:numId w:val="1"/>
        </w:numPr>
        <w:tabs>
          <w:tab w:pos="1058" w:val="left" w:leader="none"/>
          <w:tab w:pos="8260" w:val="right" w:leader="dot"/>
        </w:tabs>
        <w:spacing w:line="240" w:lineRule="auto" w:before="361" w:after="0"/>
        <w:ind w:left="1058" w:right="0" w:hanging="373"/>
        <w:jc w:val="left"/>
        <w:rPr>
          <w:rFonts w:ascii="Times New Roman" w:eastAsia="Times New Roman"/>
          <w:sz w:val="28"/>
        </w:rPr>
      </w:pPr>
      <w:r>
        <w:rPr>
          <w:sz w:val="28"/>
        </w:rPr>
        <w:t>電子資</w:t>
      </w:r>
      <w:r>
        <w:rPr>
          <w:spacing w:val="-10"/>
          <w:sz w:val="28"/>
        </w:rPr>
        <w:t>源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46</w:t>
      </w:r>
    </w:p>
    <w:p>
      <w:pPr>
        <w:pStyle w:val="ListParagraph"/>
        <w:numPr>
          <w:ilvl w:val="0"/>
          <w:numId w:val="1"/>
        </w:numPr>
        <w:tabs>
          <w:tab w:pos="1048" w:val="left" w:leader="none"/>
          <w:tab w:pos="8268" w:val="right" w:leader="dot"/>
        </w:tabs>
        <w:spacing w:line="240" w:lineRule="auto" w:before="361" w:after="0"/>
        <w:ind w:left="1048" w:right="0" w:hanging="363"/>
        <w:jc w:val="left"/>
        <w:rPr>
          <w:rFonts w:ascii="Times New Roman" w:eastAsia="Times New Roman"/>
          <w:sz w:val="28"/>
        </w:rPr>
      </w:pPr>
      <w:r>
        <w:rPr>
          <w:sz w:val="28"/>
        </w:rPr>
        <w:t>南部分館館</w:t>
      </w:r>
      <w:r>
        <w:rPr>
          <w:spacing w:val="-10"/>
          <w:sz w:val="28"/>
        </w:rPr>
        <w:t>藏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52</w:t>
      </w:r>
    </w:p>
    <w:p>
      <w:pPr>
        <w:tabs>
          <w:tab w:pos="8258" w:val="right" w:leader="dot"/>
        </w:tabs>
        <w:spacing w:before="721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z w:val="28"/>
        </w:rPr>
        <w:t>肆、附</w:t>
      </w:r>
      <w:r>
        <w:rPr>
          <w:spacing w:val="-10"/>
          <w:sz w:val="28"/>
        </w:rPr>
        <w:t>錄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60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258" w:val="right" w:leader="dot"/>
        </w:tabs>
        <w:spacing w:line="240" w:lineRule="auto" w:before="362" w:after="0"/>
        <w:ind w:left="880" w:right="0" w:hanging="214"/>
        <w:jc w:val="left"/>
        <w:rPr>
          <w:rFonts w:ascii="Times New Roman" w:eastAsia="Times New Roman"/>
          <w:sz w:val="28"/>
        </w:rPr>
      </w:pPr>
      <w:r>
        <w:rPr>
          <w:sz w:val="28"/>
        </w:rPr>
        <w:t>圖書館</w:t>
      </w:r>
      <w:r>
        <w:rPr>
          <w:spacing w:val="-10"/>
          <w:sz w:val="28"/>
        </w:rPr>
        <w:t>法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60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258" w:val="right" w:leader="dot"/>
        </w:tabs>
        <w:spacing w:line="240" w:lineRule="auto" w:before="362" w:after="0"/>
        <w:ind w:left="883" w:right="0" w:hanging="217"/>
        <w:jc w:val="left"/>
        <w:rPr>
          <w:rFonts w:ascii="Times New Roman" w:eastAsia="Times New Roman"/>
          <w:sz w:val="28"/>
        </w:rPr>
      </w:pPr>
      <w:r>
        <w:rPr>
          <w:sz w:val="28"/>
        </w:rPr>
        <w:t>國家圖書館全國出版品送存要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63</w:t>
      </w:r>
    </w:p>
    <w:p>
      <w:pPr>
        <w:pStyle w:val="ListParagraph"/>
        <w:spacing w:after="0" w:line="240" w:lineRule="auto"/>
        <w:jc w:val="left"/>
        <w:rPr>
          <w:rFonts w:ascii="Times New Roman" w:eastAsia="Times New Roman"/>
          <w:sz w:val="28"/>
        </w:rPr>
        <w:sectPr>
          <w:pgSz w:w="11910" w:h="16840"/>
          <w:pgMar w:top="1540" w:bottom="280" w:left="1417" w:right="1700"/>
        </w:sectPr>
      </w:pP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4" w:val="left" w:leader="dot"/>
        </w:tabs>
        <w:spacing w:line="240" w:lineRule="auto" w:before="44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政府出版品管理要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64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2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z w:val="28"/>
        </w:rPr>
        <w:t>學位授予</w:t>
      </w:r>
      <w:r>
        <w:rPr>
          <w:spacing w:val="-10"/>
          <w:sz w:val="28"/>
        </w:rPr>
        <w:t>法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68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1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學位論文送存國家圖書館典藏作業要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72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2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圖書館設立及營運標</w:t>
      </w:r>
      <w:r>
        <w:rPr>
          <w:spacing w:val="-10"/>
          <w:sz w:val="28"/>
        </w:rPr>
        <w:t>準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81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1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行政院所屬各機關委託研究計畫管理要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85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1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國家圖書館受贈圖書資料處理作業要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87</w:t>
      </w:r>
    </w:p>
    <w:p>
      <w:pPr>
        <w:pStyle w:val="ListParagraph"/>
        <w:numPr>
          <w:ilvl w:val="0"/>
          <w:numId w:val="2"/>
        </w:numPr>
        <w:tabs>
          <w:tab w:pos="876" w:val="left" w:leader="none"/>
          <w:tab w:pos="7952" w:val="left" w:leader="dot"/>
        </w:tabs>
        <w:spacing w:line="240" w:lineRule="auto" w:before="362" w:after="0"/>
        <w:ind w:left="876" w:right="0" w:hanging="21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國家圖書館圖書資料淘汰要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88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7954" w:val="left" w:leader="dot"/>
        </w:tabs>
        <w:spacing w:line="240" w:lineRule="auto" w:before="361" w:after="0"/>
        <w:ind w:left="1018" w:right="0" w:hanging="352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國家圖書館圖書資料盤點作業原</w:t>
      </w:r>
      <w:r>
        <w:rPr>
          <w:spacing w:val="-10"/>
          <w:sz w:val="28"/>
        </w:rPr>
        <w:t>則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89</w:t>
      </w:r>
    </w:p>
    <w:p>
      <w:pPr>
        <w:pStyle w:val="ListParagraph"/>
        <w:numPr>
          <w:ilvl w:val="0"/>
          <w:numId w:val="2"/>
        </w:numPr>
        <w:tabs>
          <w:tab w:pos="1007" w:val="left" w:leader="none"/>
          <w:tab w:pos="7940" w:val="left" w:leader="dot"/>
        </w:tabs>
        <w:spacing w:line="240" w:lineRule="auto" w:before="362" w:after="0"/>
        <w:ind w:left="1007" w:right="0" w:hanging="341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國家圖書館特藏文獻管理維護作業要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91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7954" w:val="left" w:leader="dot"/>
        </w:tabs>
        <w:spacing w:line="240" w:lineRule="auto" w:before="361" w:after="0"/>
        <w:ind w:left="1018" w:right="0" w:hanging="352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國家圖書館特藏文獻盤點作業要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93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  <w:tab w:pos="7932" w:val="left" w:leader="dot"/>
        </w:tabs>
        <w:spacing w:line="240" w:lineRule="auto" w:before="361" w:after="0"/>
        <w:ind w:left="999" w:right="0" w:hanging="35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國家圖書館手稿資料徵集要</w:t>
      </w:r>
      <w:r>
        <w:rPr>
          <w:spacing w:val="-10"/>
          <w:sz w:val="28"/>
        </w:rPr>
        <w:t>點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94</w:t>
      </w:r>
    </w:p>
    <w:p>
      <w:pPr>
        <w:pStyle w:val="ListParagraph"/>
        <w:numPr>
          <w:ilvl w:val="0"/>
          <w:numId w:val="2"/>
        </w:numPr>
        <w:tabs>
          <w:tab w:pos="1047" w:val="left" w:leader="none"/>
          <w:tab w:pos="1089" w:val="left" w:leader="none"/>
          <w:tab w:pos="7949" w:val="left" w:leader="dot"/>
        </w:tabs>
        <w:spacing w:line="482" w:lineRule="auto" w:before="362" w:after="0"/>
        <w:ind w:left="1089" w:right="555" w:hanging="392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國家圖書館與國外學術機構及圖書館簽署國際合作交流協</w:t>
      </w:r>
      <w:r>
        <w:rPr>
          <w:spacing w:val="-4"/>
          <w:sz w:val="28"/>
        </w:rPr>
        <w:t>議一覽表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6"/>
          <w:sz w:val="28"/>
        </w:rPr>
        <w:t>95</w:t>
      </w:r>
    </w:p>
    <w:p>
      <w:pPr>
        <w:pStyle w:val="ListParagraph"/>
        <w:spacing w:after="0" w:line="482" w:lineRule="auto"/>
        <w:jc w:val="left"/>
        <w:rPr>
          <w:rFonts w:ascii="Times New Roman" w:eastAsia="Times New Roman"/>
          <w:sz w:val="28"/>
        </w:rPr>
        <w:sectPr>
          <w:pgSz w:w="11910" w:h="16840"/>
          <w:pgMar w:top="1380" w:bottom="280" w:left="1417" w:right="1700"/>
        </w:sectPr>
      </w:pPr>
    </w:p>
    <w:p>
      <w:pPr>
        <w:spacing w:line="561" w:lineRule="exact" w:before="0"/>
        <w:ind w:left="3" w:right="424" w:firstLine="0"/>
        <w:jc w:val="center"/>
        <w:rPr>
          <w:sz w:val="44"/>
        </w:rPr>
      </w:pPr>
      <w:r>
        <w:rPr>
          <w:spacing w:val="-4"/>
          <w:sz w:val="44"/>
        </w:rPr>
        <w:t>表  次</w:t>
      </w:r>
    </w:p>
    <w:p>
      <w:pPr>
        <w:tabs>
          <w:tab w:pos="7949" w:val="left" w:leader="dot"/>
        </w:tabs>
        <w:spacing w:before="218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表一：採訪分級</w:t>
      </w:r>
      <w:r>
        <w:rPr>
          <w:spacing w:val="-10"/>
          <w:sz w:val="28"/>
        </w:rPr>
        <w:t>表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12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52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表二：圖書文獻採訪分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19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52" w:val="left" w:leader="dot"/>
        </w:tabs>
        <w:spacing w:before="1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表三：政府出版品採訪分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23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表四：學位論文採訪分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26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表五：漢學研究資料採訪分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32</w:t>
      </w:r>
    </w:p>
    <w:p>
      <w:pPr>
        <w:pStyle w:val="BodyText"/>
        <w:spacing w:before="40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表六：期刊採訪分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37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表七：報紙採訪分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40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表八：地圖資料採訪分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41</w:t>
      </w:r>
    </w:p>
    <w:p>
      <w:pPr>
        <w:pStyle w:val="BodyText"/>
        <w:spacing w:before="40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表九：多媒體資料採訪分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45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表十：電子資源採訪分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49</w:t>
      </w:r>
    </w:p>
    <w:p>
      <w:pPr>
        <w:pStyle w:val="BodyText"/>
        <w:spacing w:before="40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表十一：電子資源授權使用模式</w:t>
      </w:r>
      <w:r>
        <w:rPr>
          <w:spacing w:val="-10"/>
          <w:sz w:val="28"/>
        </w:rPr>
        <w:t>表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50</w:t>
      </w:r>
    </w:p>
    <w:p>
      <w:pPr>
        <w:pStyle w:val="BodyText"/>
        <w:spacing w:before="39"/>
        <w:rPr>
          <w:rFonts w:ascii="Times New Roman"/>
          <w:sz w:val="28"/>
        </w:rPr>
      </w:pPr>
    </w:p>
    <w:p>
      <w:pPr>
        <w:tabs>
          <w:tab w:pos="7949" w:val="left" w:leader="dot"/>
        </w:tabs>
        <w:spacing w:before="0"/>
        <w:ind w:left="109" w:right="0" w:firstLine="0"/>
        <w:jc w:val="left"/>
        <w:rPr>
          <w:rFonts w:ascii="Times New Roman" w:eastAsia="Times New Roman"/>
          <w:sz w:val="28"/>
        </w:rPr>
      </w:pPr>
      <w:r>
        <w:rPr>
          <w:spacing w:val="-2"/>
          <w:sz w:val="28"/>
        </w:rPr>
        <w:t>表十二：南部分館館藏採訪分</w:t>
      </w:r>
      <w:r>
        <w:rPr>
          <w:spacing w:val="-10"/>
          <w:sz w:val="28"/>
        </w:rPr>
        <w:t>級</w:t>
      </w:r>
      <w:r>
        <w:rPr>
          <w:rFonts w:ascii="Times New Roman" w:eastAsia="Times New Roman"/>
          <w:sz w:val="28"/>
        </w:rPr>
        <w:tab/>
      </w:r>
      <w:r>
        <w:rPr>
          <w:rFonts w:ascii="Times New Roman" w:eastAsia="Times New Roman"/>
          <w:spacing w:val="-5"/>
          <w:sz w:val="28"/>
        </w:rPr>
        <w:t>56</w:t>
      </w:r>
    </w:p>
    <w:sectPr>
      <w:pgSz w:w="11910" w:h="16840"/>
      <w:pgMar w:top="120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82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1"/>
        <w:w w:val="96"/>
        <w:sz w:val="26"/>
        <w:szCs w:val="26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670" w:hanging="216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461" w:hanging="216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252" w:hanging="216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043" w:hanging="216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834" w:hanging="216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625" w:hanging="216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416" w:hanging="216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207" w:hanging="216"/>
      </w:pPr>
      <w:rPr>
        <w:rFonts w:hint="default"/>
        <w:lang w:val="en-US" w:eastAsia="zh-TW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6"/>
        <w:szCs w:val="26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670" w:hanging="216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461" w:hanging="216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252" w:hanging="216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043" w:hanging="216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834" w:hanging="216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625" w:hanging="216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416" w:hanging="216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207" w:hanging="216"/>
      </w:pPr>
      <w:rPr>
        <w:rFonts w:hint="default"/>
        <w:lang w:val="en-US" w:eastAsia="zh-TW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6"/>
      <w:szCs w:val="26"/>
      <w:lang w:val="en-US" w:eastAsia="zh-TW" w:bidi="ar-SA"/>
    </w:rPr>
  </w:style>
  <w:style w:styleId="Heading1" w:type="paragraph">
    <w:name w:val="Heading 1"/>
    <w:basedOn w:val="Normal"/>
    <w:uiPriority w:val="1"/>
    <w:qFormat/>
    <w:pPr>
      <w:ind w:left="3" w:right="424"/>
      <w:jc w:val="center"/>
      <w:outlineLvl w:val="1"/>
    </w:pPr>
    <w:rPr>
      <w:rFonts w:ascii="SimSun" w:hAnsi="SimSun" w:eastAsia="SimSun" w:cs="SimSun"/>
      <w:sz w:val="44"/>
      <w:szCs w:val="44"/>
      <w:lang w:val="en-US" w:eastAsia="zh-TW" w:bidi="ar-SA"/>
    </w:rPr>
  </w:style>
  <w:style w:styleId="Title" w:type="paragraph">
    <w:name w:val="Title"/>
    <w:basedOn w:val="Normal"/>
    <w:uiPriority w:val="1"/>
    <w:qFormat/>
    <w:pPr>
      <w:ind w:right="424"/>
      <w:jc w:val="center"/>
    </w:pPr>
    <w:rPr>
      <w:rFonts w:ascii="Malgun Gothic" w:hAnsi="Malgun Gothic" w:eastAsia="Malgun Gothic" w:cs="Malgun Gothic"/>
      <w:b/>
      <w:bCs/>
      <w:sz w:val="56"/>
      <w:szCs w:val="56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361"/>
      <w:ind w:left="876" w:hanging="210"/>
    </w:pPr>
    <w:rPr>
      <w:rFonts w:ascii="SimSun" w:hAnsi="SimSun" w:eastAsia="SimSun" w:cs="SimSun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980812  館藏發展政策</dc:title>
  <dcterms:created xsi:type="dcterms:W3CDTF">2025-03-15T05:49:49Z</dcterms:created>
  <dcterms:modified xsi:type="dcterms:W3CDTF">2025-03-15T05:49:49Z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PDFsam Basic v4.0.1</vt:lpwstr>
  </property>
  <property fmtid="{D5CDD505-2E9C-101B-9397-08002B2CF9AE}" pid="4" name="LastSaved">
    <vt:filetime>2025-03-15T00:00:00Z</vt:filetime>
  </property>
  <property fmtid="{D5CDD505-2E9C-101B-9397-08002B2CF9AE}" pid="5" name="Producer">
    <vt:lpwstr>SAMBox 1.1.46 (www.sejda.org)</vt:lpwstr>
  </property>
</Properties>
</file>