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F625B" w14:textId="4DB97C75" w:rsidR="009221EF" w:rsidRDefault="009221EF" w:rsidP="009221EF">
      <w:pPr>
        <w:spacing w:after="0" w:line="480" w:lineRule="auto"/>
        <w:ind w:firstLine="720"/>
        <w:rPr>
          <w:rFonts w:ascii="Times New Roman" w:eastAsia="Times New Roman" w:hAnsi="Times New Roman" w:cs="Times New Roman"/>
          <w:color w:val="000000"/>
          <w:sz w:val="24"/>
          <w:szCs w:val="24"/>
          <w:lang w:eastAsia="en-IN"/>
        </w:rPr>
      </w:pPr>
      <w:r w:rsidRPr="006F778E">
        <w:rPr>
          <w:rFonts w:ascii="Times New Roman" w:eastAsia="Times New Roman" w:hAnsi="Times New Roman" w:cs="Times New Roman"/>
          <w:color w:val="000000"/>
          <w:sz w:val="24"/>
          <w:szCs w:val="24"/>
          <w:lang w:eastAsia="en-IN"/>
        </w:rPr>
        <w:t>It is really important to talk about different principles of ACM Code of Ethics and Professional Conduct (ACM, 2018) that Boeing violated in this Socio-technical system. ACM Code gives us a framework which could be used to evaluate Boeing’s ethical approach in this scandal.  The entire ACM code focuses on keeping the public good as the ultimate priority when inventing a technology. In particular Principle 1.2 specifies to avoid any serious negative consequences. The death of so many people because of Boeing’s deliberate security incumbencies in the system is a big contradiction to this rule. Additionally, the document in Principle 2.1 also states that a computing professional should ensure high quality in their work and product. However, Boeing tried to find inexpensive suppliers which could be the reason for the low quality of the MCAS safety system (CBC News, 2020).  In addition, defying 2.1, Boeing followed a vigorous strategy to cut costs as much as possible by not setting up a proper and well instructed training program for pilots</w:t>
      </w:r>
      <w:r>
        <w:rPr>
          <w:rFonts w:ascii="Times New Roman" w:eastAsia="Times New Roman" w:hAnsi="Times New Roman" w:cs="Times New Roman"/>
          <w:color w:val="000000"/>
          <w:sz w:val="24"/>
          <w:szCs w:val="24"/>
          <w:lang w:eastAsia="en-IN"/>
        </w:rPr>
        <w:t xml:space="preserve"> </w:t>
      </w:r>
      <w:r w:rsidRPr="006F778E">
        <w:rPr>
          <w:rFonts w:ascii="Times New Roman" w:eastAsia="Times New Roman" w:hAnsi="Times New Roman" w:cs="Times New Roman"/>
          <w:color w:val="000000"/>
          <w:sz w:val="24"/>
          <w:szCs w:val="24"/>
          <w:lang w:eastAsia="en-IN"/>
        </w:rPr>
        <w:t xml:space="preserve">(CBC News, 2020). This could be a reason that pilots were not well informed about the system which led to plane crashes. In principle 2.3, the code mentions that a technology specialist should pertain to all local, global, and internal laws associated with that profession. Boeing violated 2.3 by not following local laws as they tried to lobby the aviation regulators to work in their favour (CBC News, 2020). Equally important, FAA inspectors if agreeing to do so </w:t>
      </w:r>
      <w:r>
        <w:rPr>
          <w:rFonts w:ascii="Times New Roman" w:eastAsia="Times New Roman" w:hAnsi="Times New Roman" w:cs="Times New Roman"/>
          <w:color w:val="000000"/>
          <w:sz w:val="24"/>
          <w:szCs w:val="24"/>
          <w:lang w:eastAsia="en-IN"/>
        </w:rPr>
        <w:t>and</w:t>
      </w:r>
      <w:r w:rsidRPr="006F778E">
        <w:rPr>
          <w:rFonts w:ascii="Times New Roman" w:eastAsia="Times New Roman" w:hAnsi="Times New Roman" w:cs="Times New Roman"/>
          <w:color w:val="000000"/>
          <w:sz w:val="24"/>
          <w:szCs w:val="24"/>
          <w:lang w:eastAsia="en-IN"/>
        </w:rPr>
        <w:t xml:space="preserve"> by not reporting Boeing’s actions also disobeyed 2.3. Another important point, 2.5 indicates professionals to do a detailed assessment of computer systems including a risk analysis. However, based on the number of unfortunate accidents, </w:t>
      </w:r>
      <w:proofErr w:type="gramStart"/>
      <w:r w:rsidRPr="006F778E">
        <w:rPr>
          <w:rFonts w:ascii="Times New Roman" w:eastAsia="Times New Roman" w:hAnsi="Times New Roman" w:cs="Times New Roman"/>
          <w:color w:val="000000"/>
          <w:sz w:val="24"/>
          <w:szCs w:val="24"/>
          <w:lang w:eastAsia="en-IN"/>
        </w:rPr>
        <w:t>it</w:t>
      </w:r>
      <w:proofErr w:type="gramEnd"/>
      <w:r w:rsidRPr="006F778E">
        <w:rPr>
          <w:rFonts w:ascii="Times New Roman" w:eastAsia="Times New Roman" w:hAnsi="Times New Roman" w:cs="Times New Roman"/>
          <w:color w:val="000000"/>
          <w:sz w:val="24"/>
          <w:szCs w:val="24"/>
          <w:lang w:eastAsia="en-IN"/>
        </w:rPr>
        <w:t xml:space="preserve"> casts doubt on the risk and safety assessment plans executed by Boeing for 737 MAX. Boeing failed miserably in following 2.9 by not implementing a safe and secure software as the program failed multiple times causing accidents. Lastly, Principle 3.2 claims that an organization should take extra care if a technology can become a crucial part of the society</w:t>
      </w:r>
      <w:r>
        <w:rPr>
          <w:rFonts w:ascii="Times New Roman" w:eastAsia="Times New Roman" w:hAnsi="Times New Roman" w:cs="Times New Roman"/>
          <w:color w:val="000000"/>
          <w:sz w:val="24"/>
          <w:szCs w:val="24"/>
          <w:lang w:eastAsia="en-IN"/>
        </w:rPr>
        <w:t>. I</w:t>
      </w:r>
      <w:r w:rsidRPr="006F778E">
        <w:rPr>
          <w:rFonts w:ascii="Times New Roman" w:eastAsia="Times New Roman" w:hAnsi="Times New Roman" w:cs="Times New Roman"/>
          <w:color w:val="000000"/>
          <w:sz w:val="24"/>
          <w:szCs w:val="24"/>
          <w:lang w:eastAsia="en-IN"/>
        </w:rPr>
        <w:t>n contrast to taking extra measures, Boeing cut down even on general protocols associated with the system.  </w:t>
      </w:r>
    </w:p>
    <w:p w14:paraId="76590F8C" w14:textId="77777777" w:rsidR="009221EF" w:rsidRPr="006F778E" w:rsidRDefault="009221EF" w:rsidP="009221EF">
      <w:pPr>
        <w:spacing w:after="240" w:line="480" w:lineRule="auto"/>
        <w:ind w:firstLine="720"/>
        <w:jc w:val="center"/>
        <w:rPr>
          <w:rFonts w:ascii="Times New Roman" w:eastAsia="Times New Roman" w:hAnsi="Times New Roman" w:cs="Times New Roman"/>
          <w:b/>
          <w:bCs/>
          <w:color w:val="000000"/>
          <w:sz w:val="24"/>
          <w:szCs w:val="24"/>
          <w:lang w:eastAsia="en-IN"/>
        </w:rPr>
      </w:pPr>
      <w:r w:rsidRPr="006F778E">
        <w:rPr>
          <w:rFonts w:ascii="Times New Roman" w:eastAsia="Times New Roman" w:hAnsi="Times New Roman" w:cs="Times New Roman"/>
          <w:b/>
          <w:bCs/>
          <w:color w:val="000000"/>
          <w:sz w:val="24"/>
          <w:szCs w:val="24"/>
          <w:lang w:eastAsia="en-IN"/>
        </w:rPr>
        <w:lastRenderedPageBreak/>
        <w:t>Bibliography</w:t>
      </w:r>
    </w:p>
    <w:p w14:paraId="51B66213" w14:textId="77777777" w:rsidR="009221EF" w:rsidRPr="006F778E" w:rsidRDefault="009221EF" w:rsidP="009221EF">
      <w:pPr>
        <w:spacing w:after="240" w:line="480" w:lineRule="auto"/>
        <w:ind w:firstLine="720"/>
        <w:rPr>
          <w:rFonts w:ascii="Times New Roman" w:eastAsia="Times New Roman" w:hAnsi="Times New Roman" w:cs="Times New Roman"/>
          <w:color w:val="000000"/>
          <w:sz w:val="24"/>
          <w:szCs w:val="24"/>
          <w:lang w:eastAsia="en-IN"/>
        </w:rPr>
      </w:pPr>
      <w:r w:rsidRPr="006F778E">
        <w:rPr>
          <w:rFonts w:ascii="Times New Roman" w:eastAsia="Times New Roman" w:hAnsi="Times New Roman" w:cs="Times New Roman"/>
          <w:color w:val="000000"/>
          <w:sz w:val="24"/>
          <w:szCs w:val="24"/>
          <w:lang w:eastAsia="en-IN"/>
        </w:rPr>
        <w:t>ACM. (2018, June 22). ACM Code of Ethics and Professional Conduct. Code of Ethics | ACM Ethics. Retrieved October 7, 2020, from https://ethics.acm.org/code-of-ethics/</w:t>
      </w:r>
    </w:p>
    <w:p w14:paraId="5CDD4240" w14:textId="77777777" w:rsidR="009221EF" w:rsidRPr="006F778E" w:rsidRDefault="009221EF" w:rsidP="009221EF">
      <w:pPr>
        <w:spacing w:after="240" w:line="480" w:lineRule="auto"/>
        <w:ind w:firstLine="720"/>
        <w:rPr>
          <w:rFonts w:ascii="Times New Roman" w:eastAsia="Times New Roman" w:hAnsi="Times New Roman" w:cs="Times New Roman"/>
          <w:color w:val="000000"/>
          <w:sz w:val="24"/>
          <w:szCs w:val="24"/>
          <w:lang w:eastAsia="en-IN"/>
        </w:rPr>
      </w:pPr>
      <w:r w:rsidRPr="006F778E">
        <w:rPr>
          <w:rFonts w:ascii="Times New Roman" w:eastAsia="Times New Roman" w:hAnsi="Times New Roman" w:cs="Times New Roman"/>
          <w:color w:val="000000"/>
          <w:sz w:val="24"/>
          <w:szCs w:val="24"/>
          <w:lang w:eastAsia="en-IN"/>
        </w:rPr>
        <w:t>CBC News. (2020, January 10). 'Designed by clowns': Boeing employees ridicule 737 Max, regulators in internal messages. 'Designed by clowns': Boeing employees ridicule 737 Max, regulators in internal messages | CBC News. Retrieved October 6, 2020, from https://www.cbc.ca/news/business/boeing-employees-ridicule-737-max-in-internal-messages-1.5421816</w:t>
      </w:r>
    </w:p>
    <w:p w14:paraId="2F4378CD" w14:textId="77777777" w:rsidR="009221EF" w:rsidRPr="006F778E" w:rsidRDefault="009221EF" w:rsidP="009221EF">
      <w:pPr>
        <w:spacing w:after="240" w:line="480" w:lineRule="auto"/>
        <w:ind w:firstLine="720"/>
        <w:rPr>
          <w:rFonts w:ascii="Times New Roman" w:eastAsia="Times New Roman" w:hAnsi="Times New Roman" w:cs="Times New Roman"/>
          <w:color w:val="000000"/>
          <w:sz w:val="24"/>
          <w:szCs w:val="24"/>
          <w:lang w:eastAsia="en-IN"/>
        </w:rPr>
      </w:pPr>
      <w:r w:rsidRPr="006F778E">
        <w:rPr>
          <w:rFonts w:ascii="Times New Roman" w:eastAsia="Times New Roman" w:hAnsi="Times New Roman" w:cs="Times New Roman"/>
          <w:color w:val="000000"/>
          <w:sz w:val="24"/>
          <w:szCs w:val="24"/>
          <w:lang w:eastAsia="en-IN"/>
        </w:rPr>
        <w:t>Huff, C. (2000). Why a Socio-Technical System? Socio-Technical System Main Page. Retrieved October 7, 2020, from http://computingcases.org/general_tools/sia/socio_tech_system.html</w:t>
      </w:r>
    </w:p>
    <w:p w14:paraId="5FE88592" w14:textId="77777777" w:rsidR="009221EF" w:rsidRPr="006F778E" w:rsidRDefault="009221EF" w:rsidP="009221EF">
      <w:pPr>
        <w:spacing w:after="0" w:line="480" w:lineRule="auto"/>
        <w:ind w:firstLine="720"/>
        <w:rPr>
          <w:rFonts w:ascii="Times New Roman" w:eastAsia="Times New Roman" w:hAnsi="Times New Roman" w:cs="Times New Roman"/>
          <w:sz w:val="24"/>
          <w:szCs w:val="24"/>
          <w:lang w:eastAsia="en-IN"/>
        </w:rPr>
      </w:pPr>
    </w:p>
    <w:p w14:paraId="182AC2CF" w14:textId="77777777" w:rsidR="001143E1" w:rsidRDefault="001143E1"/>
    <w:sectPr w:rsidR="00114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EF"/>
    <w:rsid w:val="001143E1"/>
    <w:rsid w:val="0016042D"/>
    <w:rsid w:val="00214F99"/>
    <w:rsid w:val="002B6322"/>
    <w:rsid w:val="00475046"/>
    <w:rsid w:val="00922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C661"/>
  <w15:chartTrackingRefBased/>
  <w15:docId w15:val="{E15BED96-0C8C-4404-941F-F105B6B1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Garg</dc:creator>
  <cp:keywords/>
  <dc:description/>
  <cp:lastModifiedBy>Pulkit Garg</cp:lastModifiedBy>
  <cp:revision>1</cp:revision>
  <dcterms:created xsi:type="dcterms:W3CDTF">2020-12-30T15:36:00Z</dcterms:created>
  <dcterms:modified xsi:type="dcterms:W3CDTF">2020-12-30T15:37:00Z</dcterms:modified>
</cp:coreProperties>
</file>