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BEE0F" w14:textId="7937FD92" w:rsidR="00966903" w:rsidRPr="00966903" w:rsidRDefault="00966903" w:rsidP="00966903">
      <w:pPr>
        <w:pStyle w:val="Title"/>
        <w:jc w:val="center"/>
        <w:rPr>
          <w:rFonts w:eastAsia="Times New Roman"/>
          <w:lang w:eastAsia="en-GB"/>
        </w:rPr>
      </w:pPr>
      <w:r>
        <w:rPr>
          <w:rFonts w:eastAsia="Times New Roman"/>
          <w:lang w:eastAsia="en-GB"/>
        </w:rPr>
        <w:t>Google Cloud</w:t>
      </w:r>
    </w:p>
    <w:p w14:paraId="16E7B5D4" w14:textId="04E45038" w:rsidR="00F00AEF" w:rsidRDefault="00F00AEF"/>
    <w:p w14:paraId="1AA13C50" w14:textId="77777777" w:rsidR="00966903" w:rsidRDefault="00966903" w:rsidP="00966903">
      <w:pPr>
        <w:rPr>
          <w:rFonts w:ascii="ArialMT" w:eastAsia="Times New Roman" w:hAnsi="ArialMT" w:cs="Times New Roman"/>
          <w:sz w:val="22"/>
          <w:szCs w:val="22"/>
          <w:lang w:eastAsia="en-GB"/>
        </w:rPr>
      </w:pPr>
      <w:r w:rsidRPr="00966903">
        <w:drawing>
          <wp:inline distT="0" distB="0" distL="0" distR="0" wp14:anchorId="2834ADED" wp14:editId="037D0724">
            <wp:extent cx="5731070" cy="300575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6619" cy="3019149"/>
                    </a:xfrm>
                    <a:prstGeom prst="rect">
                      <a:avLst/>
                    </a:prstGeom>
                  </pic:spPr>
                </pic:pic>
              </a:graphicData>
            </a:graphic>
          </wp:inline>
        </w:drawing>
      </w:r>
    </w:p>
    <w:p w14:paraId="53D2A3A8" w14:textId="77777777" w:rsidR="00966903" w:rsidRDefault="00966903" w:rsidP="00966903">
      <w:pPr>
        <w:rPr>
          <w:rFonts w:ascii="ArialMT" w:eastAsia="Times New Roman" w:hAnsi="ArialMT" w:cs="Times New Roman"/>
          <w:sz w:val="22"/>
          <w:szCs w:val="22"/>
          <w:lang w:eastAsia="en-GB"/>
        </w:rPr>
      </w:pPr>
    </w:p>
    <w:p w14:paraId="272F23C3" w14:textId="36938142" w:rsidR="00966903" w:rsidRPr="00966903" w:rsidRDefault="00966903" w:rsidP="00482170">
      <w:pPr>
        <w:spacing w:line="276" w:lineRule="auto"/>
        <w:jc w:val="both"/>
        <w:rPr>
          <w:rFonts w:cstheme="minorHAnsi"/>
        </w:rPr>
      </w:pPr>
      <w:r w:rsidRPr="00966903">
        <w:rPr>
          <w:rFonts w:eastAsia="Times New Roman" w:cstheme="minorHAnsi"/>
          <w:lang w:eastAsia="en-GB"/>
        </w:rPr>
        <w:t xml:space="preserve">There are four fundamental aspects of Google’s core infrastructure and a top layer of products and services that you’ll interact with most often. </w:t>
      </w:r>
    </w:p>
    <w:p w14:paraId="69D53F0B" w14:textId="52DD4656" w:rsidR="00966903" w:rsidRPr="00482170" w:rsidRDefault="00966903" w:rsidP="00482170">
      <w:pPr>
        <w:spacing w:line="276" w:lineRule="auto"/>
        <w:jc w:val="both"/>
        <w:rPr>
          <w:rFonts w:cstheme="minorHAnsi"/>
        </w:rPr>
      </w:pPr>
    </w:p>
    <w:p w14:paraId="0DE03713" w14:textId="2406AB64" w:rsidR="00966903" w:rsidRPr="00482170" w:rsidRDefault="00966903" w:rsidP="00482170">
      <w:pPr>
        <w:pStyle w:val="ListParagraph"/>
        <w:numPr>
          <w:ilvl w:val="0"/>
          <w:numId w:val="1"/>
        </w:numPr>
        <w:spacing w:line="276" w:lineRule="auto"/>
        <w:rPr>
          <w:rFonts w:cstheme="minorHAnsi"/>
        </w:rPr>
      </w:pPr>
      <w:r w:rsidRPr="00482170">
        <w:rPr>
          <w:rFonts w:cstheme="minorHAnsi"/>
          <w:b/>
          <w:bCs/>
        </w:rPr>
        <w:t>Security (Base Layer)</w:t>
      </w:r>
      <w:r w:rsidR="000862F4" w:rsidRPr="00482170">
        <w:rPr>
          <w:rFonts w:cstheme="minorHAnsi"/>
        </w:rPr>
        <w:br/>
        <w:t>The base layer that covers all of Google’s application is security.</w:t>
      </w:r>
    </w:p>
    <w:p w14:paraId="5B8C942D" w14:textId="6C3AD1B2" w:rsidR="00966903" w:rsidRPr="00482170" w:rsidRDefault="00966903" w:rsidP="00482170">
      <w:pPr>
        <w:pStyle w:val="NormalWeb"/>
        <w:numPr>
          <w:ilvl w:val="0"/>
          <w:numId w:val="1"/>
        </w:numPr>
        <w:spacing w:line="276" w:lineRule="auto"/>
        <w:rPr>
          <w:rFonts w:asciiTheme="minorHAnsi" w:hAnsiTheme="minorHAnsi" w:cstheme="minorHAnsi"/>
        </w:rPr>
      </w:pPr>
      <w:r w:rsidRPr="00482170">
        <w:rPr>
          <w:rFonts w:asciiTheme="minorHAnsi" w:hAnsiTheme="minorHAnsi" w:cstheme="minorHAnsi"/>
          <w:b/>
          <w:bCs/>
        </w:rPr>
        <w:t>Compute, Storage and Networking</w:t>
      </w:r>
      <w:r w:rsidRPr="00482170">
        <w:rPr>
          <w:rFonts w:asciiTheme="minorHAnsi" w:hAnsiTheme="minorHAnsi" w:cstheme="minorHAnsi"/>
        </w:rPr>
        <w:br/>
        <w:t>O</w:t>
      </w:r>
      <w:r w:rsidRPr="00482170">
        <w:rPr>
          <w:rFonts w:asciiTheme="minorHAnsi" w:hAnsiTheme="minorHAnsi" w:cstheme="minorHAnsi"/>
        </w:rPr>
        <w:t xml:space="preserve">n top of that are compute, storage, and networking. These allow you to process, store, and deliver those business-changing insights, data pipelines, and ML models. </w:t>
      </w:r>
    </w:p>
    <w:p w14:paraId="572DA881" w14:textId="6FB03A60" w:rsidR="000862F4" w:rsidRPr="00482170" w:rsidRDefault="000862F4" w:rsidP="00482170">
      <w:pPr>
        <w:pStyle w:val="ListParagraph"/>
        <w:numPr>
          <w:ilvl w:val="0"/>
          <w:numId w:val="1"/>
        </w:numPr>
        <w:spacing w:line="276" w:lineRule="auto"/>
        <w:rPr>
          <w:rFonts w:cstheme="minorHAnsi"/>
        </w:rPr>
      </w:pPr>
      <w:r w:rsidRPr="00482170">
        <w:rPr>
          <w:rFonts w:cstheme="minorHAnsi"/>
          <w:b/>
          <w:bCs/>
        </w:rPr>
        <w:t>Big Data and ML Products</w:t>
      </w:r>
      <w:r w:rsidRPr="00482170">
        <w:rPr>
          <w:rFonts w:cstheme="minorHAnsi"/>
        </w:rPr>
        <w:br/>
        <w:t>Finally running your Big Data applications on bare metal virtual machines is possible, Google has developed the top layer of big data and ML products to abstract away a lot of the hard work and managing and scaling the infrastructure for you.</w:t>
      </w:r>
    </w:p>
    <w:p w14:paraId="270DF2F4" w14:textId="3E9B8EC7" w:rsidR="000862F4" w:rsidRDefault="000862F4" w:rsidP="00482170">
      <w:pPr>
        <w:pStyle w:val="NormalWeb"/>
        <w:spacing w:line="276" w:lineRule="auto"/>
        <w:jc w:val="both"/>
        <w:rPr>
          <w:rFonts w:asciiTheme="minorHAnsi" w:hAnsiTheme="minorHAnsi" w:cstheme="minorHAnsi"/>
        </w:rPr>
      </w:pPr>
      <w:r w:rsidRPr="00482170">
        <w:rPr>
          <w:rFonts w:asciiTheme="minorHAnsi" w:hAnsiTheme="minorHAnsi" w:cstheme="minorHAnsi"/>
        </w:rPr>
        <w:t xml:space="preserve">A </w:t>
      </w:r>
      <w:r w:rsidRPr="00482170">
        <w:rPr>
          <w:rFonts w:asciiTheme="minorHAnsi" w:hAnsiTheme="minorHAnsi" w:cstheme="minorHAnsi"/>
        </w:rPr>
        <w:t>growing data organization like yours will need lots of compute power to run big data jobs -- especially as you design for the future to outpace your growth in new users and data for the next decade</w:t>
      </w:r>
      <w:r w:rsidRPr="00482170">
        <w:rPr>
          <w:rFonts w:asciiTheme="minorHAnsi" w:hAnsiTheme="minorHAnsi" w:cstheme="minorHAnsi"/>
        </w:rPr>
        <w:t>.</w:t>
      </w:r>
    </w:p>
    <w:p w14:paraId="368402B5" w14:textId="6E540281" w:rsidR="008B7C86" w:rsidRDefault="008B7C86" w:rsidP="008B7C86">
      <w:pPr>
        <w:pStyle w:val="Heading1"/>
      </w:pPr>
      <w:r>
        <w:t>Google Storage</w:t>
      </w:r>
    </w:p>
    <w:p w14:paraId="3B795852" w14:textId="77777777" w:rsidR="008B7C86" w:rsidRDefault="008B7C86" w:rsidP="008B7C86">
      <w:pPr>
        <w:spacing w:before="100" w:beforeAutospacing="1" w:after="100" w:afterAutospacing="1"/>
        <w:rPr>
          <w:rFonts w:ascii="Times New Roman" w:eastAsia="Times New Roman" w:hAnsi="Times New Roman" w:cs="Times New Roman"/>
          <w:lang w:eastAsia="en-GB"/>
        </w:rPr>
      </w:pPr>
      <w:r>
        <w:rPr>
          <w:rFonts w:ascii="ArialMT" w:eastAsia="Times New Roman" w:hAnsi="ArialMT" w:cs="Times New Roman"/>
          <w:sz w:val="22"/>
          <w:szCs w:val="22"/>
          <w:lang w:eastAsia="en-GB"/>
        </w:rPr>
        <w:t>The</w:t>
      </w:r>
      <w:r w:rsidRPr="008B7C86">
        <w:rPr>
          <w:rFonts w:ascii="ArialMT" w:eastAsia="Times New Roman" w:hAnsi="ArialMT" w:cs="Times New Roman"/>
          <w:sz w:val="22"/>
          <w:szCs w:val="22"/>
          <w:lang w:eastAsia="en-GB"/>
        </w:rPr>
        <w:t xml:space="preserve">re are four storage classes for you to choose from based on your data needs. </w:t>
      </w:r>
    </w:p>
    <w:p w14:paraId="0DCE11BE" w14:textId="77777777" w:rsidR="008B7C86" w:rsidRPr="008B7C86" w:rsidRDefault="008B7C86" w:rsidP="008B7C86">
      <w:pPr>
        <w:pStyle w:val="ListParagraph"/>
        <w:numPr>
          <w:ilvl w:val="0"/>
          <w:numId w:val="3"/>
        </w:numPr>
        <w:spacing w:before="100" w:beforeAutospacing="1" w:after="100" w:afterAutospacing="1"/>
        <w:rPr>
          <w:rFonts w:ascii="Times New Roman" w:eastAsia="Times New Roman" w:hAnsi="Times New Roman" w:cs="Times New Roman"/>
          <w:lang w:eastAsia="en-GB"/>
        </w:rPr>
      </w:pPr>
      <w:r w:rsidRPr="008B7C86">
        <w:rPr>
          <w:rFonts w:ascii="ArialMT" w:eastAsia="Times New Roman" w:hAnsi="ArialMT" w:cs="Times New Roman"/>
          <w:sz w:val="22"/>
          <w:szCs w:val="22"/>
          <w:lang w:eastAsia="en-GB"/>
        </w:rPr>
        <w:t xml:space="preserve">Standard Storage </w:t>
      </w:r>
    </w:p>
    <w:p w14:paraId="6CC7811F" w14:textId="77777777" w:rsidR="008B7C86" w:rsidRPr="008B7C86" w:rsidRDefault="008B7C86" w:rsidP="008B7C86">
      <w:pPr>
        <w:pStyle w:val="ListParagraph"/>
        <w:numPr>
          <w:ilvl w:val="0"/>
          <w:numId w:val="3"/>
        </w:numPr>
        <w:spacing w:before="100" w:beforeAutospacing="1" w:after="100" w:afterAutospacing="1"/>
        <w:rPr>
          <w:rFonts w:ascii="Times New Roman" w:eastAsia="Times New Roman" w:hAnsi="Times New Roman" w:cs="Times New Roman"/>
          <w:lang w:eastAsia="en-GB"/>
        </w:rPr>
      </w:pPr>
      <w:r w:rsidRPr="008B7C86">
        <w:rPr>
          <w:rFonts w:ascii="ArialMT" w:eastAsia="Times New Roman" w:hAnsi="ArialMT" w:cs="Times New Roman"/>
          <w:sz w:val="22"/>
          <w:szCs w:val="22"/>
          <w:lang w:eastAsia="en-GB"/>
        </w:rPr>
        <w:t>Nearline Storage</w:t>
      </w:r>
    </w:p>
    <w:p w14:paraId="16CECCC2" w14:textId="77777777" w:rsidR="008B7C86" w:rsidRPr="008B7C86" w:rsidRDefault="008B7C86" w:rsidP="008B7C86">
      <w:pPr>
        <w:pStyle w:val="ListParagraph"/>
        <w:numPr>
          <w:ilvl w:val="0"/>
          <w:numId w:val="3"/>
        </w:numPr>
        <w:spacing w:before="100" w:beforeAutospacing="1" w:after="100" w:afterAutospacing="1"/>
        <w:rPr>
          <w:rFonts w:ascii="Times New Roman" w:eastAsia="Times New Roman" w:hAnsi="Times New Roman" w:cs="Times New Roman"/>
          <w:lang w:eastAsia="en-GB"/>
        </w:rPr>
      </w:pPr>
      <w:proofErr w:type="spellStart"/>
      <w:r w:rsidRPr="008B7C86">
        <w:rPr>
          <w:rFonts w:ascii="ArialMT" w:eastAsia="Times New Roman" w:hAnsi="ArialMT" w:cs="Times New Roman"/>
          <w:sz w:val="22"/>
          <w:szCs w:val="22"/>
          <w:lang w:eastAsia="en-GB"/>
        </w:rPr>
        <w:t>Coldline</w:t>
      </w:r>
      <w:proofErr w:type="spellEnd"/>
      <w:r w:rsidRPr="008B7C86">
        <w:rPr>
          <w:rFonts w:ascii="ArialMT" w:eastAsia="Times New Roman" w:hAnsi="ArialMT" w:cs="Times New Roman"/>
          <w:sz w:val="22"/>
          <w:szCs w:val="22"/>
          <w:lang w:eastAsia="en-GB"/>
        </w:rPr>
        <w:t xml:space="preserve"> Storage, and</w:t>
      </w:r>
    </w:p>
    <w:p w14:paraId="47E9C5BF" w14:textId="54BD215A" w:rsidR="008B7C86" w:rsidRPr="005031E1" w:rsidRDefault="008B7C86" w:rsidP="008B7C86">
      <w:pPr>
        <w:pStyle w:val="ListParagraph"/>
        <w:numPr>
          <w:ilvl w:val="0"/>
          <w:numId w:val="3"/>
        </w:numPr>
        <w:spacing w:before="100" w:beforeAutospacing="1" w:after="100" w:afterAutospacing="1"/>
        <w:rPr>
          <w:rFonts w:ascii="Times New Roman" w:eastAsia="Times New Roman" w:hAnsi="Times New Roman" w:cs="Times New Roman"/>
          <w:lang w:eastAsia="en-GB"/>
        </w:rPr>
      </w:pPr>
      <w:r w:rsidRPr="008B7C86">
        <w:rPr>
          <w:rFonts w:ascii="ArialMT" w:eastAsia="Times New Roman" w:hAnsi="ArialMT" w:cs="Times New Roman"/>
          <w:sz w:val="22"/>
          <w:szCs w:val="22"/>
          <w:lang w:eastAsia="en-GB"/>
        </w:rPr>
        <w:t xml:space="preserve">Archive Storage </w:t>
      </w:r>
    </w:p>
    <w:p w14:paraId="76B5510F" w14:textId="1D4B3D79" w:rsidR="005031E1" w:rsidRDefault="005031E1" w:rsidP="005031E1">
      <w:pPr>
        <w:pStyle w:val="ListParagraph"/>
        <w:numPr>
          <w:ilvl w:val="0"/>
          <w:numId w:val="5"/>
        </w:numPr>
        <w:spacing w:before="100" w:beforeAutospacing="1" w:after="100" w:afterAutospacing="1"/>
        <w:jc w:val="both"/>
        <w:rPr>
          <w:rFonts w:ascii="ArialMT" w:eastAsia="Times New Roman" w:hAnsi="ArialMT" w:cs="Times New Roman"/>
          <w:sz w:val="22"/>
          <w:szCs w:val="22"/>
          <w:lang w:eastAsia="en-GB"/>
        </w:rPr>
      </w:pPr>
      <w:r w:rsidRPr="005031E1">
        <w:rPr>
          <w:rFonts w:ascii="ArialMT" w:eastAsia="Times New Roman" w:hAnsi="ArialMT" w:cs="Times New Roman"/>
          <w:sz w:val="22"/>
          <w:szCs w:val="22"/>
          <w:lang w:eastAsia="en-GB"/>
        </w:rPr>
        <w:lastRenderedPageBreak/>
        <w:t>Regardless of which one you choose, all classes have multi-region, dual-region, and region location options.</w:t>
      </w:r>
    </w:p>
    <w:p w14:paraId="190B6A54" w14:textId="276A77EA" w:rsidR="005031E1" w:rsidRPr="005031E1" w:rsidRDefault="005031E1" w:rsidP="005031E1">
      <w:pPr>
        <w:pStyle w:val="ListParagraph"/>
        <w:numPr>
          <w:ilvl w:val="0"/>
          <w:numId w:val="5"/>
        </w:numPr>
        <w:spacing w:before="100" w:beforeAutospacing="1" w:after="100" w:afterAutospacing="1"/>
        <w:jc w:val="both"/>
        <w:rPr>
          <w:rFonts w:ascii="ArialMT" w:eastAsia="Times New Roman" w:hAnsi="ArialMT" w:cs="Times New Roman"/>
          <w:sz w:val="22"/>
          <w:szCs w:val="22"/>
          <w:lang w:eastAsia="en-GB"/>
        </w:rPr>
      </w:pPr>
      <w:r>
        <w:rPr>
          <w:rFonts w:ascii="ArialMT" w:eastAsia="Times New Roman" w:hAnsi="ArialMT" w:cs="Times New Roman"/>
          <w:sz w:val="22"/>
          <w:szCs w:val="22"/>
          <w:lang w:eastAsia="en-GB"/>
        </w:rPr>
        <w:t>Bucket names have to be globally unique and GCP assigns a project id that is globally unique too.</w:t>
      </w:r>
    </w:p>
    <w:p w14:paraId="27EFA934" w14:textId="31AB2CD8" w:rsidR="008B7C86" w:rsidRPr="007F54DA" w:rsidRDefault="00EE4028" w:rsidP="007F54DA">
      <w:pPr>
        <w:spacing w:before="100" w:beforeAutospacing="1" w:after="100" w:afterAutospacing="1"/>
        <w:rPr>
          <w:rFonts w:ascii="Times New Roman" w:eastAsia="Times New Roman" w:hAnsi="Times New Roman" w:cs="Times New Roman"/>
          <w:lang w:eastAsia="en-GB"/>
        </w:rPr>
      </w:pPr>
      <w:r>
        <w:rPr>
          <w:rFonts w:ascii="Times New Roman" w:eastAsia="Times New Roman" w:hAnsi="Times New Roman" w:cs="Times New Roman"/>
          <w:noProof/>
          <w:lang w:eastAsia="en-GB"/>
        </w:rPr>
        <w:drawing>
          <wp:inline distT="0" distB="0" distL="0" distR="0" wp14:anchorId="7401211A" wp14:editId="233490BB">
            <wp:extent cx="5732604" cy="2572385"/>
            <wp:effectExtent l="25400" t="0" r="825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106D66BD" w14:textId="0EE420C1" w:rsidR="0073169C" w:rsidRDefault="0073169C" w:rsidP="007F54DA">
      <w:pPr>
        <w:pStyle w:val="Heading1"/>
      </w:pPr>
      <w:r>
        <w:t>GCP Resource Hierarchy</w:t>
      </w:r>
    </w:p>
    <w:p w14:paraId="6D48C47C" w14:textId="57B631AC" w:rsidR="00A9703E" w:rsidRDefault="00A9703E" w:rsidP="0073169C">
      <w:pPr>
        <w:jc w:val="both"/>
      </w:pPr>
      <w:r w:rsidRPr="00A9703E">
        <w:drawing>
          <wp:inline distT="0" distB="0" distL="0" distR="0" wp14:anchorId="039C7F76" wp14:editId="62F18BC1">
            <wp:extent cx="5731510" cy="27901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90190"/>
                    </a:xfrm>
                    <a:prstGeom prst="rect">
                      <a:avLst/>
                    </a:prstGeom>
                  </pic:spPr>
                </pic:pic>
              </a:graphicData>
            </a:graphic>
          </wp:inline>
        </w:drawing>
      </w:r>
    </w:p>
    <w:p w14:paraId="25C6FC71" w14:textId="77777777" w:rsidR="007F54DA" w:rsidRDefault="007F54DA" w:rsidP="00A9703E">
      <w:pPr>
        <w:pStyle w:val="Heading2"/>
        <w:rPr>
          <w:b/>
          <w:bCs/>
        </w:rPr>
      </w:pPr>
    </w:p>
    <w:p w14:paraId="7EAE59FB" w14:textId="60C94E20" w:rsidR="00A9703E" w:rsidRPr="00A9703E" w:rsidRDefault="00A9703E" w:rsidP="00A9703E">
      <w:pPr>
        <w:pStyle w:val="Heading2"/>
        <w:rPr>
          <w:b/>
          <w:bCs/>
        </w:rPr>
      </w:pPr>
      <w:r w:rsidRPr="00A9703E">
        <w:rPr>
          <w:b/>
          <w:bCs/>
        </w:rPr>
        <w:t>Project</w:t>
      </w:r>
    </w:p>
    <w:p w14:paraId="5120A742" w14:textId="77777777" w:rsidR="00A9703E" w:rsidRDefault="00A9703E" w:rsidP="0073169C">
      <w:pPr>
        <w:jc w:val="both"/>
      </w:pPr>
    </w:p>
    <w:p w14:paraId="552CE795" w14:textId="156B5175" w:rsidR="0073169C" w:rsidRDefault="0073169C" w:rsidP="0073169C">
      <w:pPr>
        <w:jc w:val="both"/>
      </w:pPr>
      <w:r>
        <w:t>A project is the base level organising entity for creating and using resources and services and managing billing, API’s and permissions.</w:t>
      </w:r>
    </w:p>
    <w:p w14:paraId="362A3DB0" w14:textId="57FAAFBD" w:rsidR="0073169C" w:rsidRDefault="0073169C" w:rsidP="0073169C">
      <w:pPr>
        <w:jc w:val="both"/>
      </w:pPr>
      <w:r>
        <w:t>Zones and regions physically organise the GCP resources you use, projects and logically organise them. Projects can be easily created, managed, deleted or even recovered from accidental deletion.</w:t>
      </w:r>
    </w:p>
    <w:p w14:paraId="4734BBE7" w14:textId="4D196961" w:rsidR="00A9703E" w:rsidRDefault="00A9703E" w:rsidP="0073169C">
      <w:pPr>
        <w:jc w:val="both"/>
      </w:pPr>
    </w:p>
    <w:p w14:paraId="0A384957" w14:textId="77777777" w:rsidR="007F54DA" w:rsidRDefault="007F54DA" w:rsidP="0073169C">
      <w:pPr>
        <w:jc w:val="both"/>
      </w:pPr>
    </w:p>
    <w:p w14:paraId="521D7F53" w14:textId="5E09681E" w:rsidR="007F54DA" w:rsidRDefault="007F54DA" w:rsidP="0073169C">
      <w:pPr>
        <w:jc w:val="both"/>
      </w:pPr>
      <w:r w:rsidRPr="007F54DA">
        <w:lastRenderedPageBreak/>
        <w:drawing>
          <wp:inline distT="0" distB="0" distL="0" distR="0" wp14:anchorId="29EC3A24" wp14:editId="50644616">
            <wp:extent cx="5731510" cy="51638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63820"/>
                    </a:xfrm>
                    <a:prstGeom prst="rect">
                      <a:avLst/>
                    </a:prstGeom>
                  </pic:spPr>
                </pic:pic>
              </a:graphicData>
            </a:graphic>
          </wp:inline>
        </w:drawing>
      </w:r>
    </w:p>
    <w:p w14:paraId="39273F10" w14:textId="77777777" w:rsidR="007F54DA" w:rsidRDefault="007F54DA" w:rsidP="0073169C">
      <w:pPr>
        <w:jc w:val="both"/>
      </w:pPr>
    </w:p>
    <w:p w14:paraId="62EC8D9F" w14:textId="31E1A943" w:rsidR="00A9703E" w:rsidRDefault="00A9703E" w:rsidP="0073169C">
      <w:pPr>
        <w:jc w:val="both"/>
      </w:pPr>
      <w:r w:rsidRPr="007F54DA">
        <w:rPr>
          <w:b/>
          <w:bCs/>
        </w:rPr>
        <w:t>Folders</w:t>
      </w:r>
      <w:r>
        <w:t xml:space="preserve"> are another logical grouping you can have for collections of projects. Having an organisation is required to use folders, and the organisation is the root node of the entire GCP hierarchy.</w:t>
      </w:r>
    </w:p>
    <w:p w14:paraId="29500F39" w14:textId="7F64C5B6" w:rsidR="00A9703E" w:rsidRDefault="00A9703E" w:rsidP="0073169C">
      <w:pPr>
        <w:jc w:val="both"/>
      </w:pPr>
    </w:p>
    <w:p w14:paraId="5801C64F" w14:textId="720760A0" w:rsidR="00A9703E" w:rsidRPr="0073169C" w:rsidRDefault="00A9703E" w:rsidP="0073169C">
      <w:pPr>
        <w:jc w:val="both"/>
      </w:pPr>
      <w:r>
        <w:t>Lastly, while not required</w:t>
      </w:r>
      <w:r w:rsidR="007F54DA">
        <w:t>, an organisation is quite useful because it will allow you set policies that apply throughout the enterprise.</w:t>
      </w:r>
    </w:p>
    <w:sectPr w:rsidR="00A9703E" w:rsidRPr="007316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C5421"/>
    <w:multiLevelType w:val="hybridMultilevel"/>
    <w:tmpl w:val="348C3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9F4717"/>
    <w:multiLevelType w:val="hybridMultilevel"/>
    <w:tmpl w:val="2344502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8D7AF2"/>
    <w:multiLevelType w:val="multilevel"/>
    <w:tmpl w:val="D6B8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D1BD3"/>
    <w:multiLevelType w:val="hybridMultilevel"/>
    <w:tmpl w:val="5ED8F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631E38"/>
    <w:multiLevelType w:val="multilevel"/>
    <w:tmpl w:val="F694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F960A0"/>
    <w:multiLevelType w:val="hybridMultilevel"/>
    <w:tmpl w:val="6A1AC0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03"/>
    <w:rsid w:val="000862F4"/>
    <w:rsid w:val="00252DA3"/>
    <w:rsid w:val="00482170"/>
    <w:rsid w:val="005031E1"/>
    <w:rsid w:val="0068324A"/>
    <w:rsid w:val="0073169C"/>
    <w:rsid w:val="007A2F7F"/>
    <w:rsid w:val="007F54DA"/>
    <w:rsid w:val="00882029"/>
    <w:rsid w:val="008B7C86"/>
    <w:rsid w:val="00966903"/>
    <w:rsid w:val="00A9703E"/>
    <w:rsid w:val="00B726B0"/>
    <w:rsid w:val="00EE4028"/>
    <w:rsid w:val="00F00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8EA0E"/>
  <w15:chartTrackingRefBased/>
  <w15:docId w15:val="{1D26D982-0790-764B-B3CC-7F0BD67A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02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03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s1">
    <w:name w:val="Notes 1"/>
    <w:basedOn w:val="Heading1"/>
    <w:next w:val="Normal"/>
    <w:qFormat/>
    <w:rsid w:val="00882029"/>
    <w:pPr>
      <w:spacing w:before="120" w:after="120"/>
    </w:pPr>
    <w:rPr>
      <w:u w:val="single"/>
    </w:rPr>
  </w:style>
  <w:style w:type="character" w:customStyle="1" w:styleId="Heading1Char">
    <w:name w:val="Heading 1 Char"/>
    <w:basedOn w:val="DefaultParagraphFont"/>
    <w:link w:val="Heading1"/>
    <w:uiPriority w:val="9"/>
    <w:rsid w:val="0088202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669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90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66903"/>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966903"/>
    <w:pPr>
      <w:ind w:left="720"/>
      <w:contextualSpacing/>
    </w:pPr>
  </w:style>
  <w:style w:type="character" w:customStyle="1" w:styleId="Heading2Char">
    <w:name w:val="Heading 2 Char"/>
    <w:basedOn w:val="DefaultParagraphFont"/>
    <w:link w:val="Heading2"/>
    <w:uiPriority w:val="9"/>
    <w:rsid w:val="00A970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4927">
      <w:bodyDiv w:val="1"/>
      <w:marLeft w:val="0"/>
      <w:marRight w:val="0"/>
      <w:marTop w:val="0"/>
      <w:marBottom w:val="0"/>
      <w:divBdr>
        <w:top w:val="none" w:sz="0" w:space="0" w:color="auto"/>
        <w:left w:val="none" w:sz="0" w:space="0" w:color="auto"/>
        <w:bottom w:val="none" w:sz="0" w:space="0" w:color="auto"/>
        <w:right w:val="none" w:sz="0" w:space="0" w:color="auto"/>
      </w:divBdr>
      <w:divsChild>
        <w:div w:id="1128430801">
          <w:marLeft w:val="0"/>
          <w:marRight w:val="0"/>
          <w:marTop w:val="0"/>
          <w:marBottom w:val="0"/>
          <w:divBdr>
            <w:top w:val="none" w:sz="0" w:space="0" w:color="auto"/>
            <w:left w:val="none" w:sz="0" w:space="0" w:color="auto"/>
            <w:bottom w:val="none" w:sz="0" w:space="0" w:color="auto"/>
            <w:right w:val="none" w:sz="0" w:space="0" w:color="auto"/>
          </w:divBdr>
          <w:divsChild>
            <w:div w:id="1511068682">
              <w:marLeft w:val="0"/>
              <w:marRight w:val="0"/>
              <w:marTop w:val="0"/>
              <w:marBottom w:val="0"/>
              <w:divBdr>
                <w:top w:val="none" w:sz="0" w:space="0" w:color="auto"/>
                <w:left w:val="none" w:sz="0" w:space="0" w:color="auto"/>
                <w:bottom w:val="none" w:sz="0" w:space="0" w:color="auto"/>
                <w:right w:val="none" w:sz="0" w:space="0" w:color="auto"/>
              </w:divBdr>
              <w:divsChild>
                <w:div w:id="15171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40968">
      <w:bodyDiv w:val="1"/>
      <w:marLeft w:val="0"/>
      <w:marRight w:val="0"/>
      <w:marTop w:val="0"/>
      <w:marBottom w:val="0"/>
      <w:divBdr>
        <w:top w:val="none" w:sz="0" w:space="0" w:color="auto"/>
        <w:left w:val="none" w:sz="0" w:space="0" w:color="auto"/>
        <w:bottom w:val="none" w:sz="0" w:space="0" w:color="auto"/>
        <w:right w:val="none" w:sz="0" w:space="0" w:color="auto"/>
      </w:divBdr>
      <w:divsChild>
        <w:div w:id="1557012580">
          <w:marLeft w:val="0"/>
          <w:marRight w:val="0"/>
          <w:marTop w:val="0"/>
          <w:marBottom w:val="0"/>
          <w:divBdr>
            <w:top w:val="none" w:sz="0" w:space="0" w:color="auto"/>
            <w:left w:val="none" w:sz="0" w:space="0" w:color="auto"/>
            <w:bottom w:val="none" w:sz="0" w:space="0" w:color="auto"/>
            <w:right w:val="none" w:sz="0" w:space="0" w:color="auto"/>
          </w:divBdr>
          <w:divsChild>
            <w:div w:id="1854607497">
              <w:marLeft w:val="0"/>
              <w:marRight w:val="0"/>
              <w:marTop w:val="0"/>
              <w:marBottom w:val="0"/>
              <w:divBdr>
                <w:top w:val="none" w:sz="0" w:space="0" w:color="auto"/>
                <w:left w:val="none" w:sz="0" w:space="0" w:color="auto"/>
                <w:bottom w:val="none" w:sz="0" w:space="0" w:color="auto"/>
                <w:right w:val="none" w:sz="0" w:space="0" w:color="auto"/>
              </w:divBdr>
              <w:divsChild>
                <w:div w:id="13608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97872">
      <w:bodyDiv w:val="1"/>
      <w:marLeft w:val="0"/>
      <w:marRight w:val="0"/>
      <w:marTop w:val="0"/>
      <w:marBottom w:val="0"/>
      <w:divBdr>
        <w:top w:val="none" w:sz="0" w:space="0" w:color="auto"/>
        <w:left w:val="none" w:sz="0" w:space="0" w:color="auto"/>
        <w:bottom w:val="none" w:sz="0" w:space="0" w:color="auto"/>
        <w:right w:val="none" w:sz="0" w:space="0" w:color="auto"/>
      </w:divBdr>
      <w:divsChild>
        <w:div w:id="1465658599">
          <w:marLeft w:val="0"/>
          <w:marRight w:val="0"/>
          <w:marTop w:val="0"/>
          <w:marBottom w:val="0"/>
          <w:divBdr>
            <w:top w:val="none" w:sz="0" w:space="0" w:color="auto"/>
            <w:left w:val="none" w:sz="0" w:space="0" w:color="auto"/>
            <w:bottom w:val="none" w:sz="0" w:space="0" w:color="auto"/>
            <w:right w:val="none" w:sz="0" w:space="0" w:color="auto"/>
          </w:divBdr>
          <w:divsChild>
            <w:div w:id="14165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7177">
      <w:bodyDiv w:val="1"/>
      <w:marLeft w:val="0"/>
      <w:marRight w:val="0"/>
      <w:marTop w:val="0"/>
      <w:marBottom w:val="0"/>
      <w:divBdr>
        <w:top w:val="none" w:sz="0" w:space="0" w:color="auto"/>
        <w:left w:val="none" w:sz="0" w:space="0" w:color="auto"/>
        <w:bottom w:val="none" w:sz="0" w:space="0" w:color="auto"/>
        <w:right w:val="none" w:sz="0" w:space="0" w:color="auto"/>
      </w:divBdr>
      <w:divsChild>
        <w:div w:id="1565530469">
          <w:marLeft w:val="0"/>
          <w:marRight w:val="0"/>
          <w:marTop w:val="0"/>
          <w:marBottom w:val="0"/>
          <w:divBdr>
            <w:top w:val="none" w:sz="0" w:space="0" w:color="auto"/>
            <w:left w:val="none" w:sz="0" w:space="0" w:color="auto"/>
            <w:bottom w:val="none" w:sz="0" w:space="0" w:color="auto"/>
            <w:right w:val="none" w:sz="0" w:space="0" w:color="auto"/>
          </w:divBdr>
          <w:divsChild>
            <w:div w:id="204215243">
              <w:marLeft w:val="0"/>
              <w:marRight w:val="0"/>
              <w:marTop w:val="0"/>
              <w:marBottom w:val="0"/>
              <w:divBdr>
                <w:top w:val="none" w:sz="0" w:space="0" w:color="auto"/>
                <w:left w:val="none" w:sz="0" w:space="0" w:color="auto"/>
                <w:bottom w:val="none" w:sz="0" w:space="0" w:color="auto"/>
                <w:right w:val="none" w:sz="0" w:space="0" w:color="auto"/>
              </w:divBdr>
              <w:divsChild>
                <w:div w:id="13383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95633">
      <w:bodyDiv w:val="1"/>
      <w:marLeft w:val="0"/>
      <w:marRight w:val="0"/>
      <w:marTop w:val="0"/>
      <w:marBottom w:val="0"/>
      <w:divBdr>
        <w:top w:val="none" w:sz="0" w:space="0" w:color="auto"/>
        <w:left w:val="none" w:sz="0" w:space="0" w:color="auto"/>
        <w:bottom w:val="none" w:sz="0" w:space="0" w:color="auto"/>
        <w:right w:val="none" w:sz="0" w:space="0" w:color="auto"/>
      </w:divBdr>
      <w:divsChild>
        <w:div w:id="728576522">
          <w:marLeft w:val="0"/>
          <w:marRight w:val="0"/>
          <w:marTop w:val="0"/>
          <w:marBottom w:val="0"/>
          <w:divBdr>
            <w:top w:val="none" w:sz="0" w:space="0" w:color="auto"/>
            <w:left w:val="none" w:sz="0" w:space="0" w:color="auto"/>
            <w:bottom w:val="none" w:sz="0" w:space="0" w:color="auto"/>
            <w:right w:val="none" w:sz="0" w:space="0" w:color="auto"/>
          </w:divBdr>
          <w:divsChild>
            <w:div w:id="672925437">
              <w:marLeft w:val="0"/>
              <w:marRight w:val="0"/>
              <w:marTop w:val="0"/>
              <w:marBottom w:val="0"/>
              <w:divBdr>
                <w:top w:val="none" w:sz="0" w:space="0" w:color="auto"/>
                <w:left w:val="none" w:sz="0" w:space="0" w:color="auto"/>
                <w:bottom w:val="none" w:sz="0" w:space="0" w:color="auto"/>
                <w:right w:val="none" w:sz="0" w:space="0" w:color="auto"/>
              </w:divBdr>
              <w:divsChild>
                <w:div w:id="21125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4025">
      <w:bodyDiv w:val="1"/>
      <w:marLeft w:val="0"/>
      <w:marRight w:val="0"/>
      <w:marTop w:val="0"/>
      <w:marBottom w:val="0"/>
      <w:divBdr>
        <w:top w:val="none" w:sz="0" w:space="0" w:color="auto"/>
        <w:left w:val="none" w:sz="0" w:space="0" w:color="auto"/>
        <w:bottom w:val="none" w:sz="0" w:space="0" w:color="auto"/>
        <w:right w:val="none" w:sz="0" w:space="0" w:color="auto"/>
      </w:divBdr>
      <w:divsChild>
        <w:div w:id="2145388930">
          <w:marLeft w:val="0"/>
          <w:marRight w:val="0"/>
          <w:marTop w:val="0"/>
          <w:marBottom w:val="0"/>
          <w:divBdr>
            <w:top w:val="none" w:sz="0" w:space="0" w:color="auto"/>
            <w:left w:val="none" w:sz="0" w:space="0" w:color="auto"/>
            <w:bottom w:val="none" w:sz="0" w:space="0" w:color="auto"/>
            <w:right w:val="none" w:sz="0" w:space="0" w:color="auto"/>
          </w:divBdr>
          <w:divsChild>
            <w:div w:id="728727170">
              <w:marLeft w:val="0"/>
              <w:marRight w:val="0"/>
              <w:marTop w:val="0"/>
              <w:marBottom w:val="0"/>
              <w:divBdr>
                <w:top w:val="none" w:sz="0" w:space="0" w:color="auto"/>
                <w:left w:val="none" w:sz="0" w:space="0" w:color="auto"/>
                <w:bottom w:val="none" w:sz="0" w:space="0" w:color="auto"/>
                <w:right w:val="none" w:sz="0" w:space="0" w:color="auto"/>
              </w:divBdr>
              <w:divsChild>
                <w:div w:id="1040472021">
                  <w:marLeft w:val="0"/>
                  <w:marRight w:val="0"/>
                  <w:marTop w:val="0"/>
                  <w:marBottom w:val="0"/>
                  <w:divBdr>
                    <w:top w:val="none" w:sz="0" w:space="0" w:color="auto"/>
                    <w:left w:val="none" w:sz="0" w:space="0" w:color="auto"/>
                    <w:bottom w:val="none" w:sz="0" w:space="0" w:color="auto"/>
                    <w:right w:val="none" w:sz="0" w:space="0" w:color="auto"/>
                  </w:divBdr>
                  <w:divsChild>
                    <w:div w:id="12564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853544">
      <w:bodyDiv w:val="1"/>
      <w:marLeft w:val="0"/>
      <w:marRight w:val="0"/>
      <w:marTop w:val="0"/>
      <w:marBottom w:val="0"/>
      <w:divBdr>
        <w:top w:val="none" w:sz="0" w:space="0" w:color="auto"/>
        <w:left w:val="none" w:sz="0" w:space="0" w:color="auto"/>
        <w:bottom w:val="none" w:sz="0" w:space="0" w:color="auto"/>
        <w:right w:val="none" w:sz="0" w:space="0" w:color="auto"/>
      </w:divBdr>
      <w:divsChild>
        <w:div w:id="1572809614">
          <w:marLeft w:val="0"/>
          <w:marRight w:val="0"/>
          <w:marTop w:val="0"/>
          <w:marBottom w:val="0"/>
          <w:divBdr>
            <w:top w:val="none" w:sz="0" w:space="0" w:color="auto"/>
            <w:left w:val="none" w:sz="0" w:space="0" w:color="auto"/>
            <w:bottom w:val="none" w:sz="0" w:space="0" w:color="auto"/>
            <w:right w:val="none" w:sz="0" w:space="0" w:color="auto"/>
          </w:divBdr>
          <w:divsChild>
            <w:div w:id="906501605">
              <w:marLeft w:val="0"/>
              <w:marRight w:val="0"/>
              <w:marTop w:val="0"/>
              <w:marBottom w:val="0"/>
              <w:divBdr>
                <w:top w:val="none" w:sz="0" w:space="0" w:color="auto"/>
                <w:left w:val="none" w:sz="0" w:space="0" w:color="auto"/>
                <w:bottom w:val="none" w:sz="0" w:space="0" w:color="auto"/>
                <w:right w:val="none" w:sz="0" w:space="0" w:color="auto"/>
              </w:divBdr>
              <w:divsChild>
                <w:div w:id="14112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AC556C-ADEF-2B41-8402-796EE928B2DC}" type="doc">
      <dgm:prSet loTypeId="urn:microsoft.com/office/officeart/2005/8/layout/vList2" loCatId="" qsTypeId="urn:microsoft.com/office/officeart/2005/8/quickstyle/simple1" qsCatId="simple" csTypeId="urn:microsoft.com/office/officeart/2005/8/colors/accent1_2" csCatId="accent1" phldr="1"/>
      <dgm:spPr/>
      <dgm:t>
        <a:bodyPr/>
        <a:lstStyle/>
        <a:p>
          <a:endParaRPr lang="en-GB"/>
        </a:p>
      </dgm:t>
    </dgm:pt>
    <dgm:pt modelId="{46ABB6CF-7BF9-0949-988B-2E86A69F5DCC}">
      <dgm:prSet phldrT="[Text]"/>
      <dgm:spPr/>
      <dgm:t>
        <a:bodyPr/>
        <a:lstStyle/>
        <a:p>
          <a:r>
            <a:rPr lang="en-GB"/>
            <a:t>Standard Storage</a:t>
          </a:r>
        </a:p>
      </dgm:t>
    </dgm:pt>
    <dgm:pt modelId="{DFA2154F-0FB2-9945-95F3-B0D4F542E5F9}" type="parTrans" cxnId="{7AAEC029-8FD6-0045-8B73-9984E126BC15}">
      <dgm:prSet/>
      <dgm:spPr/>
      <dgm:t>
        <a:bodyPr/>
        <a:lstStyle/>
        <a:p>
          <a:endParaRPr lang="en-GB"/>
        </a:p>
      </dgm:t>
    </dgm:pt>
    <dgm:pt modelId="{BEBC1489-B595-8C48-BD6C-CA94AEDCBBD5}" type="sibTrans" cxnId="{7AAEC029-8FD6-0045-8B73-9984E126BC15}">
      <dgm:prSet/>
      <dgm:spPr/>
      <dgm:t>
        <a:bodyPr/>
        <a:lstStyle/>
        <a:p>
          <a:endParaRPr lang="en-GB"/>
        </a:p>
      </dgm:t>
    </dgm:pt>
    <dgm:pt modelId="{85FF99F5-F835-6848-8842-DBABBB8FB79E}">
      <dgm:prSet/>
      <dgm:spPr/>
      <dgm:t>
        <a:bodyPr/>
        <a:lstStyle/>
        <a:p>
          <a:pPr>
            <a:buFont typeface="Symbol" pitchFamily="2" charset="2"/>
            <a:buChar char=""/>
          </a:pPr>
          <a:r>
            <a:rPr lang="en-IN"/>
            <a:t>Archive Storage</a:t>
          </a:r>
        </a:p>
      </dgm:t>
    </dgm:pt>
    <dgm:pt modelId="{3AE8C3DD-FDF0-154A-B6D6-7E4F783067DB}" type="parTrans" cxnId="{B37E16AC-95BB-0C4F-BFE2-1429A700FA2F}">
      <dgm:prSet/>
      <dgm:spPr/>
      <dgm:t>
        <a:bodyPr/>
        <a:lstStyle/>
        <a:p>
          <a:endParaRPr lang="en-GB"/>
        </a:p>
      </dgm:t>
    </dgm:pt>
    <dgm:pt modelId="{EAF53BAB-C162-954F-9EAB-DBDE6C29DF9A}" type="sibTrans" cxnId="{B37E16AC-95BB-0C4F-BFE2-1429A700FA2F}">
      <dgm:prSet/>
      <dgm:spPr/>
      <dgm:t>
        <a:bodyPr/>
        <a:lstStyle/>
        <a:p>
          <a:endParaRPr lang="en-GB"/>
        </a:p>
      </dgm:t>
    </dgm:pt>
    <dgm:pt modelId="{37A026C5-860D-0043-AF68-DCFDCABF8A35}">
      <dgm:prSet phldrT="[Text]"/>
      <dgm:spPr/>
      <dgm:t>
        <a:bodyPr/>
        <a:lstStyle/>
        <a:p>
          <a:r>
            <a:rPr lang="en-GB"/>
            <a:t>Nearline Storage</a:t>
          </a:r>
        </a:p>
      </dgm:t>
    </dgm:pt>
    <dgm:pt modelId="{93B7533E-52F0-1647-9140-A1C40AF3BE0B}" type="parTrans" cxnId="{AE01D5CF-A609-6340-B87F-891592A47E51}">
      <dgm:prSet/>
      <dgm:spPr/>
      <dgm:t>
        <a:bodyPr/>
        <a:lstStyle/>
        <a:p>
          <a:endParaRPr lang="en-GB"/>
        </a:p>
      </dgm:t>
    </dgm:pt>
    <dgm:pt modelId="{8BA06ED6-8C70-8843-8227-DC818DF9EA2F}" type="sibTrans" cxnId="{AE01D5CF-A609-6340-B87F-891592A47E51}">
      <dgm:prSet/>
      <dgm:spPr/>
      <dgm:t>
        <a:bodyPr/>
        <a:lstStyle/>
        <a:p>
          <a:endParaRPr lang="en-GB"/>
        </a:p>
      </dgm:t>
    </dgm:pt>
    <dgm:pt modelId="{3234325E-08F8-0D42-9423-CBFCA5D29C0A}">
      <dgm:prSet phldrT="[Text]"/>
      <dgm:spPr/>
      <dgm:t>
        <a:bodyPr/>
        <a:lstStyle/>
        <a:p>
          <a:r>
            <a:rPr lang="en-GB"/>
            <a:t>Coldline Storage</a:t>
          </a:r>
        </a:p>
      </dgm:t>
    </dgm:pt>
    <dgm:pt modelId="{569F0712-5CCE-9045-B5F7-FD59F4EFFED1}" type="parTrans" cxnId="{09711FBA-2278-9045-9975-282CA0AEF760}">
      <dgm:prSet/>
      <dgm:spPr/>
      <dgm:t>
        <a:bodyPr/>
        <a:lstStyle/>
        <a:p>
          <a:endParaRPr lang="en-GB"/>
        </a:p>
      </dgm:t>
    </dgm:pt>
    <dgm:pt modelId="{4AA15461-DC73-C343-9BFD-B037A97F5942}" type="sibTrans" cxnId="{09711FBA-2278-9045-9975-282CA0AEF760}">
      <dgm:prSet/>
      <dgm:spPr/>
      <dgm:t>
        <a:bodyPr/>
        <a:lstStyle/>
        <a:p>
          <a:endParaRPr lang="en-GB"/>
        </a:p>
      </dgm:t>
    </dgm:pt>
    <dgm:pt modelId="{979642A2-1F09-6949-B967-5CAA9A23C952}">
      <dgm:prSet phldrT="[Text]"/>
      <dgm:spPr/>
      <dgm:t>
        <a:bodyPr/>
        <a:lstStyle/>
        <a:p>
          <a:pPr algn="just"/>
          <a:r>
            <a:rPr lang="en-IN"/>
            <a:t>Best for data that is frequently accessed ("hot" data) and/or stored for only brief periods of time. </a:t>
          </a:r>
          <a:endParaRPr lang="en-GB"/>
        </a:p>
      </dgm:t>
    </dgm:pt>
    <dgm:pt modelId="{5FE7E80E-18DF-1A4F-A4BD-9B8892C061A9}" type="parTrans" cxnId="{30E4F7FC-1573-7A49-A883-86FF0CBC01F9}">
      <dgm:prSet/>
      <dgm:spPr/>
      <dgm:t>
        <a:bodyPr/>
        <a:lstStyle/>
        <a:p>
          <a:endParaRPr lang="en-GB"/>
        </a:p>
      </dgm:t>
    </dgm:pt>
    <dgm:pt modelId="{E8B250ED-784C-8842-AA6B-482D6540D67B}" type="sibTrans" cxnId="{30E4F7FC-1573-7A49-A883-86FF0CBC01F9}">
      <dgm:prSet/>
      <dgm:spPr/>
      <dgm:t>
        <a:bodyPr/>
        <a:lstStyle/>
        <a:p>
          <a:endParaRPr lang="en-GB"/>
        </a:p>
      </dgm:t>
    </dgm:pt>
    <dgm:pt modelId="{9D3820DD-58FE-8546-AEE0-00FD24F0FFD5}">
      <dgm:prSet phldrT="[Text]"/>
      <dgm:spPr/>
      <dgm:t>
        <a:bodyPr/>
        <a:lstStyle/>
        <a:p>
          <a:r>
            <a:rPr lang="en-IN"/>
            <a:t>A low-cost, highly durable storage service for data you plan to read or modify on average once per month or less. </a:t>
          </a:r>
          <a:endParaRPr lang="en-GB"/>
        </a:p>
      </dgm:t>
    </dgm:pt>
    <dgm:pt modelId="{4FA7990B-857F-0E4C-A70E-003CA6EB3EE7}" type="parTrans" cxnId="{D33D062F-D4ED-F240-A4CE-96E667EE8D80}">
      <dgm:prSet/>
      <dgm:spPr/>
      <dgm:t>
        <a:bodyPr/>
        <a:lstStyle/>
        <a:p>
          <a:endParaRPr lang="en-GB"/>
        </a:p>
      </dgm:t>
    </dgm:pt>
    <dgm:pt modelId="{F5545067-85FF-A144-BAFB-57EACAD977B1}" type="sibTrans" cxnId="{D33D062F-D4ED-F240-A4CE-96E667EE8D80}">
      <dgm:prSet/>
      <dgm:spPr/>
      <dgm:t>
        <a:bodyPr/>
        <a:lstStyle/>
        <a:p>
          <a:endParaRPr lang="en-GB"/>
        </a:p>
      </dgm:t>
    </dgm:pt>
    <dgm:pt modelId="{BD8210CE-0B40-4744-8AFA-0EAA3A1935C2}">
      <dgm:prSet phldrT="[Text]"/>
      <dgm:spPr/>
      <dgm:t>
        <a:bodyPr/>
        <a:lstStyle/>
        <a:p>
          <a:r>
            <a:rPr lang="en-IN"/>
            <a:t>A very low-cost, highly durable storage service for data you plan to read or modify at most once a quarter. </a:t>
          </a:r>
          <a:endParaRPr lang="en-GB"/>
        </a:p>
      </dgm:t>
    </dgm:pt>
    <dgm:pt modelId="{D160ECF5-A34D-654D-A081-3970644E693D}" type="parTrans" cxnId="{56566C94-743D-EF45-9E4D-26A49FFB1F26}">
      <dgm:prSet/>
      <dgm:spPr/>
      <dgm:t>
        <a:bodyPr/>
        <a:lstStyle/>
        <a:p>
          <a:endParaRPr lang="en-GB"/>
        </a:p>
      </dgm:t>
    </dgm:pt>
    <dgm:pt modelId="{4723A315-2A30-574D-ABE2-7C50C480747B}" type="sibTrans" cxnId="{56566C94-743D-EF45-9E4D-26A49FFB1F26}">
      <dgm:prSet/>
      <dgm:spPr/>
      <dgm:t>
        <a:bodyPr/>
        <a:lstStyle/>
        <a:p>
          <a:endParaRPr lang="en-GB"/>
        </a:p>
      </dgm:t>
    </dgm:pt>
    <dgm:pt modelId="{F22F0EBA-7E4C-F94C-9971-502B638448E1}">
      <dgm:prSet/>
      <dgm:spPr/>
      <dgm:t>
        <a:bodyPr/>
        <a:lstStyle/>
        <a:p>
          <a:r>
            <a:rPr lang="en-IN"/>
            <a:t>The lowest-cost, highly durable storage service for data archiving, online backup, and disaster recovery. </a:t>
          </a:r>
        </a:p>
      </dgm:t>
    </dgm:pt>
    <dgm:pt modelId="{442CEEDA-51EE-3F4F-8E8C-C4D4D8D34DAF}" type="parTrans" cxnId="{BEA53071-C805-6D41-94D5-2E9F06790B2C}">
      <dgm:prSet/>
      <dgm:spPr/>
      <dgm:t>
        <a:bodyPr/>
        <a:lstStyle/>
        <a:p>
          <a:endParaRPr lang="en-GB"/>
        </a:p>
      </dgm:t>
    </dgm:pt>
    <dgm:pt modelId="{099122A9-DD0C-914A-8A94-10E1FFDAB5ED}" type="sibTrans" cxnId="{BEA53071-C805-6D41-94D5-2E9F06790B2C}">
      <dgm:prSet/>
      <dgm:spPr/>
      <dgm:t>
        <a:bodyPr/>
        <a:lstStyle/>
        <a:p>
          <a:endParaRPr lang="en-GB"/>
        </a:p>
      </dgm:t>
    </dgm:pt>
    <dgm:pt modelId="{E7200DDA-C3D7-9C45-A4CB-251FD9EF475E}" type="pres">
      <dgm:prSet presAssocID="{51AC556C-ADEF-2B41-8402-796EE928B2DC}" presName="linear" presStyleCnt="0">
        <dgm:presLayoutVars>
          <dgm:animLvl val="lvl"/>
          <dgm:resizeHandles val="exact"/>
        </dgm:presLayoutVars>
      </dgm:prSet>
      <dgm:spPr/>
    </dgm:pt>
    <dgm:pt modelId="{28672E80-EB9D-B442-8AFD-E2D64BA2568F}" type="pres">
      <dgm:prSet presAssocID="{46ABB6CF-7BF9-0949-988B-2E86A69F5DCC}" presName="parentText" presStyleLbl="node1" presStyleIdx="0" presStyleCnt="4">
        <dgm:presLayoutVars>
          <dgm:chMax val="0"/>
          <dgm:bulletEnabled val="1"/>
        </dgm:presLayoutVars>
      </dgm:prSet>
      <dgm:spPr/>
    </dgm:pt>
    <dgm:pt modelId="{9197043A-45CE-C740-BF90-4C8BB5F4F46C}" type="pres">
      <dgm:prSet presAssocID="{46ABB6CF-7BF9-0949-988B-2E86A69F5DCC}" presName="childText" presStyleLbl="revTx" presStyleIdx="0" presStyleCnt="4">
        <dgm:presLayoutVars>
          <dgm:bulletEnabled val="1"/>
        </dgm:presLayoutVars>
      </dgm:prSet>
      <dgm:spPr/>
    </dgm:pt>
    <dgm:pt modelId="{22584BA5-1D99-634A-BD97-9A6780ABEEA9}" type="pres">
      <dgm:prSet presAssocID="{37A026C5-860D-0043-AF68-DCFDCABF8A35}" presName="parentText" presStyleLbl="node1" presStyleIdx="1" presStyleCnt="4">
        <dgm:presLayoutVars>
          <dgm:chMax val="0"/>
          <dgm:bulletEnabled val="1"/>
        </dgm:presLayoutVars>
      </dgm:prSet>
      <dgm:spPr/>
    </dgm:pt>
    <dgm:pt modelId="{17644B5D-E69E-4845-A33A-8BCCCF2AD5AF}" type="pres">
      <dgm:prSet presAssocID="{37A026C5-860D-0043-AF68-DCFDCABF8A35}" presName="childText" presStyleLbl="revTx" presStyleIdx="1" presStyleCnt="4">
        <dgm:presLayoutVars>
          <dgm:bulletEnabled val="1"/>
        </dgm:presLayoutVars>
      </dgm:prSet>
      <dgm:spPr/>
    </dgm:pt>
    <dgm:pt modelId="{28D450CB-52D3-2441-BCB9-6C35C17D128C}" type="pres">
      <dgm:prSet presAssocID="{3234325E-08F8-0D42-9423-CBFCA5D29C0A}" presName="parentText" presStyleLbl="node1" presStyleIdx="2" presStyleCnt="4">
        <dgm:presLayoutVars>
          <dgm:chMax val="0"/>
          <dgm:bulletEnabled val="1"/>
        </dgm:presLayoutVars>
      </dgm:prSet>
      <dgm:spPr/>
    </dgm:pt>
    <dgm:pt modelId="{EDDA3E3B-DD40-A144-9405-7B2DDA2EBF46}" type="pres">
      <dgm:prSet presAssocID="{3234325E-08F8-0D42-9423-CBFCA5D29C0A}" presName="childText" presStyleLbl="revTx" presStyleIdx="2" presStyleCnt="4">
        <dgm:presLayoutVars>
          <dgm:bulletEnabled val="1"/>
        </dgm:presLayoutVars>
      </dgm:prSet>
      <dgm:spPr/>
    </dgm:pt>
    <dgm:pt modelId="{3B074B66-B51D-D04B-B374-E4EEE5BD94FF}" type="pres">
      <dgm:prSet presAssocID="{85FF99F5-F835-6848-8842-DBABBB8FB79E}" presName="parentText" presStyleLbl="node1" presStyleIdx="3" presStyleCnt="4">
        <dgm:presLayoutVars>
          <dgm:chMax val="0"/>
          <dgm:bulletEnabled val="1"/>
        </dgm:presLayoutVars>
      </dgm:prSet>
      <dgm:spPr/>
    </dgm:pt>
    <dgm:pt modelId="{B3BD95C5-2CA6-EE4A-B527-C0F822CFF88A}" type="pres">
      <dgm:prSet presAssocID="{85FF99F5-F835-6848-8842-DBABBB8FB79E}" presName="childText" presStyleLbl="revTx" presStyleIdx="3" presStyleCnt="4">
        <dgm:presLayoutVars>
          <dgm:bulletEnabled val="1"/>
        </dgm:presLayoutVars>
      </dgm:prSet>
      <dgm:spPr/>
    </dgm:pt>
  </dgm:ptLst>
  <dgm:cxnLst>
    <dgm:cxn modelId="{405CEB06-F416-FC49-B89A-7CED15E7D780}" type="presOf" srcId="{BD8210CE-0B40-4744-8AFA-0EAA3A1935C2}" destId="{EDDA3E3B-DD40-A144-9405-7B2DDA2EBF46}" srcOrd="0" destOrd="0" presId="urn:microsoft.com/office/officeart/2005/8/layout/vList2"/>
    <dgm:cxn modelId="{76647A0F-D9C2-5C4E-BB66-486ECB957F78}" type="presOf" srcId="{37A026C5-860D-0043-AF68-DCFDCABF8A35}" destId="{22584BA5-1D99-634A-BD97-9A6780ABEEA9}" srcOrd="0" destOrd="0" presId="urn:microsoft.com/office/officeart/2005/8/layout/vList2"/>
    <dgm:cxn modelId="{AA968224-B378-624F-9A62-33254791C4E2}" type="presOf" srcId="{46ABB6CF-7BF9-0949-988B-2E86A69F5DCC}" destId="{28672E80-EB9D-B442-8AFD-E2D64BA2568F}" srcOrd="0" destOrd="0" presId="urn:microsoft.com/office/officeart/2005/8/layout/vList2"/>
    <dgm:cxn modelId="{012E5727-9F27-804D-BA67-ABB37770B010}" type="presOf" srcId="{979642A2-1F09-6949-B967-5CAA9A23C952}" destId="{9197043A-45CE-C740-BF90-4C8BB5F4F46C}" srcOrd="0" destOrd="0" presId="urn:microsoft.com/office/officeart/2005/8/layout/vList2"/>
    <dgm:cxn modelId="{7AAEC029-8FD6-0045-8B73-9984E126BC15}" srcId="{51AC556C-ADEF-2B41-8402-796EE928B2DC}" destId="{46ABB6CF-7BF9-0949-988B-2E86A69F5DCC}" srcOrd="0" destOrd="0" parTransId="{DFA2154F-0FB2-9945-95F3-B0D4F542E5F9}" sibTransId="{BEBC1489-B595-8C48-BD6C-CA94AEDCBBD5}"/>
    <dgm:cxn modelId="{D33D062F-D4ED-F240-A4CE-96E667EE8D80}" srcId="{37A026C5-860D-0043-AF68-DCFDCABF8A35}" destId="{9D3820DD-58FE-8546-AEE0-00FD24F0FFD5}" srcOrd="0" destOrd="0" parTransId="{4FA7990B-857F-0E4C-A70E-003CA6EB3EE7}" sibTransId="{F5545067-85FF-A144-BAFB-57EACAD977B1}"/>
    <dgm:cxn modelId="{9028CC4E-AAFD-EF4F-83B6-C9F9E903CC04}" type="presOf" srcId="{51AC556C-ADEF-2B41-8402-796EE928B2DC}" destId="{E7200DDA-C3D7-9C45-A4CB-251FD9EF475E}" srcOrd="0" destOrd="0" presId="urn:microsoft.com/office/officeart/2005/8/layout/vList2"/>
    <dgm:cxn modelId="{02445B63-2FAE-6D4A-A294-5E3691552959}" type="presOf" srcId="{3234325E-08F8-0D42-9423-CBFCA5D29C0A}" destId="{28D450CB-52D3-2441-BCB9-6C35C17D128C}" srcOrd="0" destOrd="0" presId="urn:microsoft.com/office/officeart/2005/8/layout/vList2"/>
    <dgm:cxn modelId="{BEA53071-C805-6D41-94D5-2E9F06790B2C}" srcId="{85FF99F5-F835-6848-8842-DBABBB8FB79E}" destId="{F22F0EBA-7E4C-F94C-9971-502B638448E1}" srcOrd="0" destOrd="0" parTransId="{442CEEDA-51EE-3F4F-8E8C-C4D4D8D34DAF}" sibTransId="{099122A9-DD0C-914A-8A94-10E1FFDAB5ED}"/>
    <dgm:cxn modelId="{56566C94-743D-EF45-9E4D-26A49FFB1F26}" srcId="{3234325E-08F8-0D42-9423-CBFCA5D29C0A}" destId="{BD8210CE-0B40-4744-8AFA-0EAA3A1935C2}" srcOrd="0" destOrd="0" parTransId="{D160ECF5-A34D-654D-A081-3970644E693D}" sibTransId="{4723A315-2A30-574D-ABE2-7C50C480747B}"/>
    <dgm:cxn modelId="{B37E16AC-95BB-0C4F-BFE2-1429A700FA2F}" srcId="{51AC556C-ADEF-2B41-8402-796EE928B2DC}" destId="{85FF99F5-F835-6848-8842-DBABBB8FB79E}" srcOrd="3" destOrd="0" parTransId="{3AE8C3DD-FDF0-154A-B6D6-7E4F783067DB}" sibTransId="{EAF53BAB-C162-954F-9EAB-DBDE6C29DF9A}"/>
    <dgm:cxn modelId="{06C019B1-24C2-6C44-8C51-C11D7EE8AC04}" type="presOf" srcId="{F22F0EBA-7E4C-F94C-9971-502B638448E1}" destId="{B3BD95C5-2CA6-EE4A-B527-C0F822CFF88A}" srcOrd="0" destOrd="0" presId="urn:microsoft.com/office/officeart/2005/8/layout/vList2"/>
    <dgm:cxn modelId="{09711FBA-2278-9045-9975-282CA0AEF760}" srcId="{51AC556C-ADEF-2B41-8402-796EE928B2DC}" destId="{3234325E-08F8-0D42-9423-CBFCA5D29C0A}" srcOrd="2" destOrd="0" parTransId="{569F0712-5CCE-9045-B5F7-FD59F4EFFED1}" sibTransId="{4AA15461-DC73-C343-9BFD-B037A97F5942}"/>
    <dgm:cxn modelId="{AE01D5CF-A609-6340-B87F-891592A47E51}" srcId="{51AC556C-ADEF-2B41-8402-796EE928B2DC}" destId="{37A026C5-860D-0043-AF68-DCFDCABF8A35}" srcOrd="1" destOrd="0" parTransId="{93B7533E-52F0-1647-9140-A1C40AF3BE0B}" sibTransId="{8BA06ED6-8C70-8843-8227-DC818DF9EA2F}"/>
    <dgm:cxn modelId="{D0F102DF-799C-1943-AB87-D5044315F4ED}" type="presOf" srcId="{9D3820DD-58FE-8546-AEE0-00FD24F0FFD5}" destId="{17644B5D-E69E-4845-A33A-8BCCCF2AD5AF}" srcOrd="0" destOrd="0" presId="urn:microsoft.com/office/officeart/2005/8/layout/vList2"/>
    <dgm:cxn modelId="{AC404CFB-A34D-F74F-B0FA-F414CE632D46}" type="presOf" srcId="{85FF99F5-F835-6848-8842-DBABBB8FB79E}" destId="{3B074B66-B51D-D04B-B374-E4EEE5BD94FF}" srcOrd="0" destOrd="0" presId="urn:microsoft.com/office/officeart/2005/8/layout/vList2"/>
    <dgm:cxn modelId="{30E4F7FC-1573-7A49-A883-86FF0CBC01F9}" srcId="{46ABB6CF-7BF9-0949-988B-2E86A69F5DCC}" destId="{979642A2-1F09-6949-B967-5CAA9A23C952}" srcOrd="0" destOrd="0" parTransId="{5FE7E80E-18DF-1A4F-A4BD-9B8892C061A9}" sibTransId="{E8B250ED-784C-8842-AA6B-482D6540D67B}"/>
    <dgm:cxn modelId="{E7109FB0-FC43-0A45-9184-ECB43B015D75}" type="presParOf" srcId="{E7200DDA-C3D7-9C45-A4CB-251FD9EF475E}" destId="{28672E80-EB9D-B442-8AFD-E2D64BA2568F}" srcOrd="0" destOrd="0" presId="urn:microsoft.com/office/officeart/2005/8/layout/vList2"/>
    <dgm:cxn modelId="{4754130E-C28C-1844-85B3-9205B1C2A4A6}" type="presParOf" srcId="{E7200DDA-C3D7-9C45-A4CB-251FD9EF475E}" destId="{9197043A-45CE-C740-BF90-4C8BB5F4F46C}" srcOrd="1" destOrd="0" presId="urn:microsoft.com/office/officeart/2005/8/layout/vList2"/>
    <dgm:cxn modelId="{28724C38-A846-8F40-88C3-CEA900CC727C}" type="presParOf" srcId="{E7200DDA-C3D7-9C45-A4CB-251FD9EF475E}" destId="{22584BA5-1D99-634A-BD97-9A6780ABEEA9}" srcOrd="2" destOrd="0" presId="urn:microsoft.com/office/officeart/2005/8/layout/vList2"/>
    <dgm:cxn modelId="{399B96A5-6C61-B748-8074-F447ACBC977F}" type="presParOf" srcId="{E7200DDA-C3D7-9C45-A4CB-251FD9EF475E}" destId="{17644B5D-E69E-4845-A33A-8BCCCF2AD5AF}" srcOrd="3" destOrd="0" presId="urn:microsoft.com/office/officeart/2005/8/layout/vList2"/>
    <dgm:cxn modelId="{60A5AAF7-E24F-424F-9976-A3EA19E20F54}" type="presParOf" srcId="{E7200DDA-C3D7-9C45-A4CB-251FD9EF475E}" destId="{28D450CB-52D3-2441-BCB9-6C35C17D128C}" srcOrd="4" destOrd="0" presId="urn:microsoft.com/office/officeart/2005/8/layout/vList2"/>
    <dgm:cxn modelId="{B0E5AB93-95DA-F948-B9D6-EAAF269FF67C}" type="presParOf" srcId="{E7200DDA-C3D7-9C45-A4CB-251FD9EF475E}" destId="{EDDA3E3B-DD40-A144-9405-7B2DDA2EBF46}" srcOrd="5" destOrd="0" presId="urn:microsoft.com/office/officeart/2005/8/layout/vList2"/>
    <dgm:cxn modelId="{38776043-2614-C549-BB18-CD5E120E80D0}" type="presParOf" srcId="{E7200DDA-C3D7-9C45-A4CB-251FD9EF475E}" destId="{3B074B66-B51D-D04B-B374-E4EEE5BD94FF}" srcOrd="6" destOrd="0" presId="urn:microsoft.com/office/officeart/2005/8/layout/vList2"/>
    <dgm:cxn modelId="{A8BAA5D9-7A1B-014A-935B-1B1470D7DCEC}" type="presParOf" srcId="{E7200DDA-C3D7-9C45-A4CB-251FD9EF475E}" destId="{B3BD95C5-2CA6-EE4A-B527-C0F822CFF88A}" srcOrd="7" destOrd="0" presId="urn:microsoft.com/office/officeart/2005/8/layout/vList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672E80-EB9D-B442-8AFD-E2D64BA2568F}">
      <dsp:nvSpPr>
        <dsp:cNvPr id="0" name=""/>
        <dsp:cNvSpPr/>
      </dsp:nvSpPr>
      <dsp:spPr>
        <a:xfrm>
          <a:off x="0" y="131109"/>
          <a:ext cx="5732604" cy="31180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GB" sz="1300" kern="1200"/>
            <a:t>Standard Storage</a:t>
          </a:r>
        </a:p>
      </dsp:txBody>
      <dsp:txXfrm>
        <a:off x="15221" y="146330"/>
        <a:ext cx="5702162" cy="281363"/>
      </dsp:txXfrm>
    </dsp:sp>
    <dsp:sp modelId="{9197043A-45CE-C740-BF90-4C8BB5F4F46C}">
      <dsp:nvSpPr>
        <dsp:cNvPr id="0" name=""/>
        <dsp:cNvSpPr/>
      </dsp:nvSpPr>
      <dsp:spPr>
        <a:xfrm>
          <a:off x="0" y="442914"/>
          <a:ext cx="5732604" cy="21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2010" tIns="16510" rIns="92456" bIns="16510" numCol="1" spcCol="1270" anchor="t" anchorCtr="0">
          <a:noAutofit/>
        </a:bodyPr>
        <a:lstStyle/>
        <a:p>
          <a:pPr marL="57150" lvl="1" indent="-57150" algn="just" defTabSz="444500">
            <a:lnSpc>
              <a:spcPct val="90000"/>
            </a:lnSpc>
            <a:spcBef>
              <a:spcPct val="0"/>
            </a:spcBef>
            <a:spcAft>
              <a:spcPct val="20000"/>
            </a:spcAft>
            <a:buChar char="•"/>
          </a:pPr>
          <a:r>
            <a:rPr lang="en-IN" sz="1000" kern="1200"/>
            <a:t>Best for data that is frequently accessed ("hot" data) and/or stored for only brief periods of time. </a:t>
          </a:r>
          <a:endParaRPr lang="en-GB" sz="1000" kern="1200"/>
        </a:p>
      </dsp:txBody>
      <dsp:txXfrm>
        <a:off x="0" y="442914"/>
        <a:ext cx="5732604" cy="215280"/>
      </dsp:txXfrm>
    </dsp:sp>
    <dsp:sp modelId="{22584BA5-1D99-634A-BD97-9A6780ABEEA9}">
      <dsp:nvSpPr>
        <dsp:cNvPr id="0" name=""/>
        <dsp:cNvSpPr/>
      </dsp:nvSpPr>
      <dsp:spPr>
        <a:xfrm>
          <a:off x="0" y="658194"/>
          <a:ext cx="5732604" cy="31180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GB" sz="1300" kern="1200"/>
            <a:t>Nearline Storage</a:t>
          </a:r>
        </a:p>
      </dsp:txBody>
      <dsp:txXfrm>
        <a:off x="15221" y="673415"/>
        <a:ext cx="5702162" cy="281363"/>
      </dsp:txXfrm>
    </dsp:sp>
    <dsp:sp modelId="{17644B5D-E69E-4845-A33A-8BCCCF2AD5AF}">
      <dsp:nvSpPr>
        <dsp:cNvPr id="0" name=""/>
        <dsp:cNvSpPr/>
      </dsp:nvSpPr>
      <dsp:spPr>
        <a:xfrm>
          <a:off x="0" y="969999"/>
          <a:ext cx="5732604" cy="316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2010" tIns="16510" rIns="92456" bIns="16510" numCol="1" spcCol="1270" anchor="t" anchorCtr="0">
          <a:noAutofit/>
        </a:bodyPr>
        <a:lstStyle/>
        <a:p>
          <a:pPr marL="57150" lvl="1" indent="-57150" algn="l" defTabSz="444500">
            <a:lnSpc>
              <a:spcPct val="90000"/>
            </a:lnSpc>
            <a:spcBef>
              <a:spcPct val="0"/>
            </a:spcBef>
            <a:spcAft>
              <a:spcPct val="20000"/>
            </a:spcAft>
            <a:buChar char="•"/>
          </a:pPr>
          <a:r>
            <a:rPr lang="en-IN" sz="1000" kern="1200"/>
            <a:t>A low-cost, highly durable storage service for data you plan to read or modify on average once per month or less. </a:t>
          </a:r>
          <a:endParaRPr lang="en-GB" sz="1000" kern="1200"/>
        </a:p>
      </dsp:txBody>
      <dsp:txXfrm>
        <a:off x="0" y="969999"/>
        <a:ext cx="5732604" cy="316192"/>
      </dsp:txXfrm>
    </dsp:sp>
    <dsp:sp modelId="{28D450CB-52D3-2441-BCB9-6C35C17D128C}">
      <dsp:nvSpPr>
        <dsp:cNvPr id="0" name=""/>
        <dsp:cNvSpPr/>
      </dsp:nvSpPr>
      <dsp:spPr>
        <a:xfrm>
          <a:off x="0" y="1286192"/>
          <a:ext cx="5732604" cy="31180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GB" sz="1300" kern="1200"/>
            <a:t>Coldline Storage</a:t>
          </a:r>
        </a:p>
      </dsp:txBody>
      <dsp:txXfrm>
        <a:off x="15221" y="1301413"/>
        <a:ext cx="5702162" cy="281363"/>
      </dsp:txXfrm>
    </dsp:sp>
    <dsp:sp modelId="{EDDA3E3B-DD40-A144-9405-7B2DDA2EBF46}">
      <dsp:nvSpPr>
        <dsp:cNvPr id="0" name=""/>
        <dsp:cNvSpPr/>
      </dsp:nvSpPr>
      <dsp:spPr>
        <a:xfrm>
          <a:off x="0" y="1597997"/>
          <a:ext cx="5732604" cy="31619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2010" tIns="16510" rIns="92456" bIns="16510" numCol="1" spcCol="1270" anchor="t" anchorCtr="0">
          <a:noAutofit/>
        </a:bodyPr>
        <a:lstStyle/>
        <a:p>
          <a:pPr marL="57150" lvl="1" indent="-57150" algn="l" defTabSz="444500">
            <a:lnSpc>
              <a:spcPct val="90000"/>
            </a:lnSpc>
            <a:spcBef>
              <a:spcPct val="0"/>
            </a:spcBef>
            <a:spcAft>
              <a:spcPct val="20000"/>
            </a:spcAft>
            <a:buChar char="•"/>
          </a:pPr>
          <a:r>
            <a:rPr lang="en-IN" sz="1000" kern="1200"/>
            <a:t>A very low-cost, highly durable storage service for data you plan to read or modify at most once a quarter. </a:t>
          </a:r>
          <a:endParaRPr lang="en-GB" sz="1000" kern="1200"/>
        </a:p>
      </dsp:txBody>
      <dsp:txXfrm>
        <a:off x="0" y="1597997"/>
        <a:ext cx="5732604" cy="316192"/>
      </dsp:txXfrm>
    </dsp:sp>
    <dsp:sp modelId="{3B074B66-B51D-D04B-B374-E4EEE5BD94FF}">
      <dsp:nvSpPr>
        <dsp:cNvPr id="0" name=""/>
        <dsp:cNvSpPr/>
      </dsp:nvSpPr>
      <dsp:spPr>
        <a:xfrm>
          <a:off x="0" y="1914190"/>
          <a:ext cx="5732604" cy="31180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Font typeface="Symbol" pitchFamily="2" charset="2"/>
            <a:buNone/>
          </a:pPr>
          <a:r>
            <a:rPr lang="en-IN" sz="1300" kern="1200"/>
            <a:t>Archive Storage</a:t>
          </a:r>
        </a:p>
      </dsp:txBody>
      <dsp:txXfrm>
        <a:off x="15221" y="1929411"/>
        <a:ext cx="5702162" cy="281363"/>
      </dsp:txXfrm>
    </dsp:sp>
    <dsp:sp modelId="{B3BD95C5-2CA6-EE4A-B527-C0F822CFF88A}">
      <dsp:nvSpPr>
        <dsp:cNvPr id="0" name=""/>
        <dsp:cNvSpPr/>
      </dsp:nvSpPr>
      <dsp:spPr>
        <a:xfrm>
          <a:off x="0" y="2225995"/>
          <a:ext cx="5732604" cy="2152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2010" tIns="16510" rIns="92456" bIns="16510" numCol="1" spcCol="1270" anchor="t" anchorCtr="0">
          <a:noAutofit/>
        </a:bodyPr>
        <a:lstStyle/>
        <a:p>
          <a:pPr marL="57150" lvl="1" indent="-57150" algn="l" defTabSz="444500">
            <a:lnSpc>
              <a:spcPct val="90000"/>
            </a:lnSpc>
            <a:spcBef>
              <a:spcPct val="0"/>
            </a:spcBef>
            <a:spcAft>
              <a:spcPct val="20000"/>
            </a:spcAft>
            <a:buChar char="•"/>
          </a:pPr>
          <a:r>
            <a:rPr lang="en-IN" sz="1000" kern="1200"/>
            <a:t>The lowest-cost, highly durable storage service for data archiving, online backup, and disaster recovery. </a:t>
          </a:r>
        </a:p>
      </dsp:txBody>
      <dsp:txXfrm>
        <a:off x="0" y="2225995"/>
        <a:ext cx="5732604" cy="21528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Kinra</dc:creator>
  <cp:keywords/>
  <dc:description/>
  <cp:lastModifiedBy>Pulkit Kinra</cp:lastModifiedBy>
  <cp:revision>1</cp:revision>
  <dcterms:created xsi:type="dcterms:W3CDTF">2022-01-25T09:06:00Z</dcterms:created>
  <dcterms:modified xsi:type="dcterms:W3CDTF">2022-01-25T09:56:00Z</dcterms:modified>
</cp:coreProperties>
</file>