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vz90f4dyj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Актуальность темы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условиях цифровой трансформации экономики традиционные методы привлечения финансирования для бизнес-проектов сталкиваются с рядом ограничений: высокие комиссии посредников, непрозрачность распределения средств, длительные процедуры согласования и недостаточный уровень доверия со стороны инвесторов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ResearchGate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Краудфандинговые платформы на базе блокчейна решают эти проблемы за счёт: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Децентрализации</w:t>
      </w:r>
      <w:r w:rsidDel="00000000" w:rsidR="00000000" w:rsidRPr="00000000">
        <w:rPr>
          <w:rtl w:val="0"/>
        </w:rPr>
        <w:t xml:space="preserve"> — устранение единого контролирующего органа, распределение доверия между участниками сети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Прозрачности</w:t>
      </w:r>
      <w:r w:rsidDel="00000000" w:rsidR="00000000" w:rsidRPr="00000000">
        <w:rPr>
          <w:rtl w:val="0"/>
        </w:rPr>
        <w:t xml:space="preserve"> — все транзакции фиксируются в публичном реестре Ethereum и доступны для аудита в реальном времени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Автоматизации</w:t>
      </w:r>
      <w:r w:rsidDel="00000000" w:rsidR="00000000" w:rsidRPr="00000000">
        <w:rPr>
          <w:rtl w:val="0"/>
        </w:rPr>
        <w:t xml:space="preserve"> — смарт-контракты на Solidity автоматически исполняют условия кампании (сбор средств, возврат при недостижении цели, распределение токенов)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Снижения затрат</w:t>
      </w:r>
      <w:r w:rsidDel="00000000" w:rsidR="00000000" w:rsidRPr="00000000">
        <w:rPr>
          <w:rtl w:val="0"/>
        </w:rPr>
        <w:t xml:space="preserve"> — отсутствие посредников сокращает операционные издержки на 30–70% по сравнению с традиционными платформами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Рынок краудфандинга демонстрирует устойчивый рост: по данным Grand View Research, к 2030 году ожидается увеличение объёма рынка до $1,67 млрд с темпом роста 16,7% ежегодно. Интеграция блокчейн-технологий в эту сферу создаёт новые возможности для малого и среднего бизнеса, стартапов и социальных проектов.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gr6dxncdr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Целевая аудитория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483.366860772896"/>
        <w:gridCol w:w="5876.633139227105"/>
        <w:tblGridChange w:id="0">
          <w:tblGrid>
            <w:gridCol w:w="3483.366860772896"/>
            <w:gridCol w:w="5876.633139227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 пользователей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Потребности и ожидания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Компании-инициаторы</w:t>
            </w:r>
            <w:r w:rsidDel="00000000" w:rsidR="00000000" w:rsidRPr="00000000">
              <w:rPr>
                <w:rtl w:val="0"/>
              </w:rPr>
              <w:t xml:space="preserve"> (стартапы, МСП, социальные проекты)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запуск кампании, прозрачный учёт средств, автоматизированное выполнение обязательств перед инвесторами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Инвесторы/Бэкеры</w:t>
            </w:r>
            <w:r w:rsidDel="00000000" w:rsidR="00000000" w:rsidRPr="00000000">
              <w:rPr>
                <w:rtl w:val="0"/>
              </w:rPr>
              <w:t xml:space="preserve"> (физические и юридические лица)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Гарантия возврата средств при недостижении цели, возможность отслеживания использования средств, получение токенов/вознаграждений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Администраторы платформы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Модерация кампаний, разрешение споров, аналитика, техническая поддержка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Аудиторы/Регуляторы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верифицированной истории транзакций для compliance-проверок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7ttk8l63m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Предполагаемые функциональные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5tblrbab8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компаний-инициаторов: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и верификация профиля компании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кампании: описание проекта, целевая сумма, срок сбора, условия вознаграждения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смарт-контракта: условия возврата средств, этапы финансирования, мультиподпись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Публикация обновлений и отчётности для инвесторов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собранных средств при достижении цели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9pzoxw82p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инвесторов: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Просмотр и фильтрация кампаний по категориям, рейтингу, сроку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финансировании через криптовалютные транзакции (ETH, stablecoins)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Отслеживание статуса кампании и истории транзакций в реальном времени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токенов/вознаграждений автоматически через смарт-контракт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возврата средств при невыполнении условий кампании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gj6n5g02m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администраторов: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Модерация новых кампаний и пользователей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спорными ситуациями через механизм голосования/арбитража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Аналитика: статистика по сборам, активности пользователей, геолокации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Технический мониторинг смарт-контрактов и интеграций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pkscrl1yb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Системные функции: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Интеграция с кошельками (MetaMask, WalletConnect)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multi-signature для крупных кампаний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смарт-контрактов и защита от уязвимостей (reentrancy, overflow)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Газ-оптимизация транзакций для снижения стоимости участия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Используемые технологии (предварительно)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Layout w:type="fixed"/>
        <w:tblLook w:val="0600"/>
      </w:tblPr>
      <w:tblGrid>
        <w:gridCol w:w="2055"/>
        <w:gridCol w:w="7380"/>
        <w:tblGridChange w:id="0">
          <w:tblGrid>
            <w:gridCol w:w="2055"/>
            <w:gridCol w:w="7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Технологии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Блокчейн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Ethereum (Mainnet/Testnet), возможно расширение на Polygon для снижения комиссий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Смарт-контракты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Solidity 0.8+, Hardhat/Foundry для разработки и тестирования, OpenZeppelin для безопасных шаблонов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Бэкенд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Express, ethers.js/web3.js для взаимодействия с блокчейном, The Graph для индексации данных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Фронтенд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React/Next.js, TypeScript, Tailwind CSS/Material-UI, Wagmi/RainbowKit для подключения кошельков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Хранение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IPFS/Arweave для децентрализованного хранения метаданных кампаний, PostgreSQL для офчейн-данных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Безопасность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Slither/MythX для статического анализа, аудит смарт-контрактов, reentrancy guards, access control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Тестирование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Hardhat/Chai для unit-тестов, Tenderly для симуляции транзакций, Cypress для E2E-тестов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yiuk7j8j8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Ожидаемый результат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По итогам реализации дипломного проекта планируется получить: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Рабочий прототип платформы</w:t>
      </w:r>
      <w:r w:rsidDel="00000000" w:rsidR="00000000" w:rsidRPr="00000000">
        <w:rPr>
          <w:rtl w:val="0"/>
        </w:rPr>
        <w:t xml:space="preserve"> с базовым функционалом: создание кампании, участие в финансировании, автоматическое исполнение условий через смарт-контракт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Документацию</w:t>
      </w:r>
      <w:r w:rsidDel="00000000" w:rsidR="00000000" w:rsidRPr="00000000">
        <w:rPr>
          <w:rtl w:val="0"/>
        </w:rPr>
        <w:t xml:space="preserve">: техническое описание архитектуры, руководство разработчика, пользовательская инструкция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Аудированные смарт-контракты</w:t>
      </w:r>
      <w:r w:rsidDel="00000000" w:rsidR="00000000" w:rsidRPr="00000000">
        <w:rPr>
          <w:rtl w:val="0"/>
        </w:rPr>
        <w:t xml:space="preserve">, соответствующие best practices безопасности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Демонстрационный сценарий</w:t>
      </w:r>
      <w:r w:rsidDel="00000000" w:rsidR="00000000" w:rsidRPr="00000000">
        <w:rPr>
          <w:rtl w:val="0"/>
        </w:rPr>
        <w:t xml:space="preserve">: запуск тестовой кампании на Goerli/Sepolia testnet с участием нескольких пользователей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Аналитический отчёт</w:t>
      </w:r>
      <w:r w:rsidDel="00000000" w:rsidR="00000000" w:rsidRPr="00000000">
        <w:rPr>
          <w:rtl w:val="0"/>
        </w:rPr>
        <w:t xml:space="preserve">: сравнение эффективности блокчейн-платформы с традиционными решениями по параметрам стоимости, скорости, прозрачности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Проект может быть масштабирован в дальнейшем: добавление DAO-управления, поддержка NFT-вознаграждений, интеграция с оракулами для верификации достижения целей проекта.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