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คู่มือสวัสดิภาพสัตว์ปีก (ตัวอย่าง)</w:t>
      </w:r>
    </w:p>
    <w:p>
      <w:r>
        <w:t>ข้อมูลตัวอย่างเพื่อการเรียน (สมมติ) · แทนด้วยไฟล์จริงขององค์กรก่อนใช้งาน</w:t>
      </w:r>
    </w:p>
    <w:p>
      <w:pPr>
        <w:pStyle w:val="Heading1"/>
      </w:pPr>
      <w:r>
        <w:t>1. หลักอิสระ 5 ประการ (Five Freedoms)</w:t>
      </w:r>
    </w:p>
    <w:p>
      <w:pPr>
        <w:pStyle w:val="ListBullet"/>
      </w:pPr>
      <w:r>
        <w:t>อิสระจากความหิวและกระหาย: มีน้ำสะอาดและอาหารเพียงพอตลอดเวลา</w:t>
      </w:r>
    </w:p>
    <w:p>
      <w:pPr>
        <w:pStyle w:val="ListBullet"/>
      </w:pPr>
      <w:r>
        <w:t>อิสระจากความไม่สบาย: โรงเรือนมีอุณหภูมิ การระบายอากาศ และวัสดุรองพื้นเหมาะสม</w:t>
      </w:r>
    </w:p>
    <w:p>
      <w:pPr>
        <w:pStyle w:val="ListBullet"/>
      </w:pPr>
      <w:r>
        <w:t>อิสระจากความเจ็บปวด การบาดเจ็บ และโรค: ป้องกันโรค ตรวจสุขภาพ และรักษาอย่างทันท่วงที</w:t>
      </w:r>
    </w:p>
    <w:p>
      <w:pPr>
        <w:pStyle w:val="ListBullet"/>
      </w:pPr>
      <w:r>
        <w:t>อิสระในการแสดงพฤติกรรมตามธรรมชาติ: มีพื้นที่เพียงพอ ความหนาแน่นเหมาะสม</w:t>
      </w:r>
    </w:p>
    <w:p>
      <w:pPr>
        <w:pStyle w:val="ListBullet"/>
      </w:pPr>
      <w:r>
        <w:t>อิสระจากความกลัวและความทุกข์ทรมาน: จัดการอย่างนุ่มนวล ลดเสียงดังและการรบกวน</w:t>
      </w:r>
    </w:p>
    <w:p>
      <w:pPr>
        <w:pStyle w:val="Heading1"/>
      </w:pPr>
      <w:r>
        <w:t>2. การตรวจประจำวัน</w:t>
      </w:r>
    </w:p>
    <w:p>
      <w:pPr>
        <w:pStyle w:val="ListNumber"/>
      </w:pPr>
      <w:r>
        <w:t>เดินตรวจโรงเรือนอย่างน้อยวันละ 2 ครั้ง สังเกตพฤติกรรม การกินน้ำ และการกินอาหาร</w:t>
      </w:r>
    </w:p>
    <w:p>
      <w:pPr>
        <w:pStyle w:val="ListNumber"/>
      </w:pPr>
      <w:r>
        <w:t>คัดแยกตัวป่วยหรือบาดเจ็บ และบันทึกอัตราตายรายวัน</w:t>
      </w:r>
    </w:p>
    <w:p>
      <w:pPr>
        <w:pStyle w:val="ListNumber"/>
      </w:pPr>
      <w:r>
        <w:t>ตรวจอุปกรณ์ให้น้ำ ให้อาหาร และระบบระบายอากาศ หากผิดปกติให้แจ้งผู้รับผิดชอบทันที</w:t>
      </w:r>
    </w:p>
    <w:p>
      <w:pPr>
        <w:pStyle w:val="Heading1"/>
      </w:pPr>
      <w:r>
        <w:t>3. การจับและขนส่ง</w:t>
      </w:r>
    </w:p>
    <w:p>
      <w:pPr>
        <w:pStyle w:val="ListNumber"/>
      </w:pPr>
      <w:r>
        <w:t>งดอาหารก่อนจับตามช่วงเวลาที่องค์กรกำหนด โดยนับรวมเวลาขนส่ง</w:t>
      </w:r>
    </w:p>
    <w:p>
      <w:pPr>
        <w:pStyle w:val="ListNumber"/>
      </w:pPr>
      <w:r>
        <w:t>จับอย่างนุ่มนวล ห้ามจับที่คอหรือปีกข้างเดียว ลดแสงเพื่อลดความตื่นตกใจ</w:t>
      </w:r>
    </w:p>
    <w:p>
      <w:pPr>
        <w:pStyle w:val="ListNumber"/>
      </w:pPr>
      <w:r>
        <w:t>บรรจุตามความหนาแน่นที่กำหนด หลีกเลี่ยงการขนส่งช่วงอากาศร้อนจัด</w:t>
      </w:r>
    </w:p>
    <w:p>
      <w:pPr>
        <w:pStyle w:val="Heading1"/>
      </w:pPr>
      <w:r>
        <w:t>4. ตัวชี้วัดสวัสดิภาพ (ตัวเลขสมมติ)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ตัวชี้วัด</w:t>
            </w:r>
          </w:p>
        </w:tc>
        <w:tc>
          <w:tcPr>
            <w:tcW w:type="dxa" w:w="2880"/>
          </w:tcPr>
          <w:p>
            <w:r>
              <w:t>เกณฑ์ตัวอย่าง</w:t>
            </w:r>
          </w:p>
        </w:tc>
        <w:tc>
          <w:tcPr>
            <w:tcW w:type="dxa" w:w="2880"/>
          </w:tcPr>
          <w:p>
            <w:r>
              <w:t>ความถี่</w:t>
            </w:r>
          </w:p>
        </w:tc>
      </w:tr>
      <w:tr>
        <w:tc>
          <w:tcPr>
            <w:tcW w:type="dxa" w:w="2880"/>
          </w:tcPr>
          <w:p>
            <w:r>
              <w:t>อัตราตายสะสม</w:t>
            </w:r>
          </w:p>
        </w:tc>
        <w:tc>
          <w:tcPr>
            <w:tcW w:type="dxa" w:w="2880"/>
          </w:tcPr>
          <w:p>
            <w:r>
              <w:t>ไม่เกิน 4%</w:t>
            </w:r>
          </w:p>
        </w:tc>
        <w:tc>
          <w:tcPr>
            <w:tcW w:type="dxa" w:w="2880"/>
          </w:tcPr>
          <w:p>
            <w:r>
              <w:t>ทุกรุ่น</w:t>
            </w:r>
          </w:p>
        </w:tc>
      </w:tr>
      <w:tr>
        <w:tc>
          <w:tcPr>
            <w:tcW w:type="dxa" w:w="2880"/>
          </w:tcPr>
          <w:p>
            <w:r>
              <w:t>รอยโรคฝ่าเท้า (คะแนน 2)</w:t>
            </w:r>
          </w:p>
        </w:tc>
        <w:tc>
          <w:tcPr>
            <w:tcW w:type="dxa" w:w="2880"/>
          </w:tcPr>
          <w:p>
            <w:r>
              <w:t>ไม่เกิน 10%</w:t>
            </w:r>
          </w:p>
        </w:tc>
        <w:tc>
          <w:tcPr>
            <w:tcW w:type="dxa" w:w="2880"/>
          </w:tcPr>
          <w:p>
            <w:r>
              <w:t>ทุกรุ่น</w:t>
            </w:r>
          </w:p>
        </w:tc>
      </w:tr>
      <w:tr>
        <w:tc>
          <w:tcPr>
            <w:tcW w:type="dxa" w:w="2880"/>
          </w:tcPr>
          <w:p>
            <w:r>
              <w:t>ตายระหว่างขนส่ง</w:t>
            </w:r>
          </w:p>
        </w:tc>
        <w:tc>
          <w:tcPr>
            <w:tcW w:type="dxa" w:w="2880"/>
          </w:tcPr>
          <w:p>
            <w:r>
              <w:t>ไม่เกิน 0.3%</w:t>
            </w:r>
          </w:p>
        </w:tc>
        <w:tc>
          <w:tcPr>
            <w:tcW w:type="dxa" w:w="2880"/>
          </w:tcPr>
          <w:p>
            <w:r>
              <w:t>ทุกเที่ยว</w:t>
            </w:r>
          </w:p>
        </w:tc>
      </w:tr>
    </w:tbl>
    <w:p>
      <w:r>
        <w:t>เกณฑ์ในตารางเป็นตัวอย่างเพื่อการเรียน ให้ใช้ตามมาตรฐานที่องค์กรรับรองจริง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Copilot AI Agents for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