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849" w:rsidRPr="00E63849" w:rsidRDefault="00E63849" w:rsidP="00E63849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E6384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¿Por qué se baja la capacidad 1000/100/10 a 100/10</w:t>
      </w:r>
    </w:p>
    <w:p w:rsidR="00BA600F" w:rsidRDefault="00BA600F"/>
    <w:p w:rsidR="00E63849" w:rsidRDefault="00E63849"/>
    <w:p w:rsidR="00E63849" w:rsidRDefault="00E63849"/>
    <w:p w:rsidR="00E63849" w:rsidRDefault="00E63849" w:rsidP="00E63849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Hay varias razones por las cuales la velocidad en el B5C puede bajar de 1000/100/10 a 100/10. En orden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mas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comunes primero:</w:t>
      </w:r>
    </w:p>
    <w:p w:rsidR="00E63849" w:rsidRDefault="00E63849" w:rsidP="00E63849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1. Conexión a tierra: </w:t>
      </w:r>
      <w:r>
        <w:rPr>
          <w:rFonts w:ascii="Helvetica" w:hAnsi="Helvetica" w:cs="Helvetica"/>
          <w:color w:val="565867"/>
          <w:sz w:val="26"/>
          <w:szCs w:val="26"/>
        </w:rPr>
        <w:t xml:space="preserve">Si el radio en la torre no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conectado a tierra física, la acumulación de carga electrostática en el radio/antena puede dañar el puerto Ethernet. Esto también se aplica al #2.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2. Tipo de cable:</w:t>
      </w:r>
      <w:r>
        <w:rPr>
          <w:rFonts w:ascii="Helvetica" w:hAnsi="Helvetica" w:cs="Helvetica"/>
          <w:color w:val="565867"/>
          <w:sz w:val="26"/>
          <w:szCs w:val="26"/>
        </w:rPr>
        <w:t xml:space="preserve"> Se requiere cable Cat6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shielded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, por ejemplo: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Shireen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DC-2021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Outdoor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CAT6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Shielded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FTP Cable. Este cable requiere conectores RJ-45 metálicos con conexión para tierra, ejemplo: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Shireen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SmartFeed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Cat6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Shielded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RJ45 (CON-RJ45-C6). Este tipo de cable permite descargar cualquier tipo de carga que pueda dañar el puerto de Ethernet.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3.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Crimping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del cable:</w:t>
      </w:r>
      <w:r>
        <w:rPr>
          <w:rFonts w:ascii="Helvetica" w:hAnsi="Helvetica" w:cs="Helvetica"/>
          <w:color w:val="565867"/>
          <w:sz w:val="26"/>
          <w:szCs w:val="26"/>
        </w:rPr>
        <w:t> la forma en que se instalan los conectores a los cables es una de las causas del cambio de velocidad. Es recomendable entrenar a los técnicos en usar las herramientas correctas para el tipo de cable y conectores recomendados. Problemas de este tipo muchas veces no son detectados por chequeadores de cable electrónicos, incluso chequeadores de alta calidad (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Fluke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etc.). Usualmente en soporte pedimos que nos manden fotos detalladas del conector y cable, ya que una inspección visual a veces nos permite detectar problemas de cableado.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4. Inyector POE: </w:t>
      </w:r>
      <w:r>
        <w:rPr>
          <w:rFonts w:ascii="Helvetica" w:hAnsi="Helvetica" w:cs="Helvetica"/>
          <w:color w:val="565867"/>
          <w:sz w:val="26"/>
          <w:szCs w:val="26"/>
        </w:rPr>
        <w:t>es necesario chequear la operación del inyector y probar si cambiarlo resuelve el problema. Este año Mimosa ha cambiado el modelo de POE del B5/B5c, que es un poco menos sensible a problemas de cableado. Es necesario notar que el POE puede ser afectado por los problemas (1) y (2), y si estos no son resueltos, el problema va a continuar.</w:t>
      </w:r>
    </w:p>
    <w:p w:rsidR="00E63849" w:rsidRDefault="00E63849" w:rsidP="00E63849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5. El radio: </w:t>
      </w:r>
      <w:r>
        <w:rPr>
          <w:rFonts w:ascii="Helvetica" w:hAnsi="Helvetica" w:cs="Helvetica"/>
          <w:color w:val="565867"/>
          <w:sz w:val="26"/>
          <w:szCs w:val="26"/>
        </w:rPr>
        <w:t xml:space="preserve">radios que han estado instalados por varios años pueden degradar su operación con el tiempo, y en lugares expuestos a muchas descargas electrostáticas esto puede ocurrir con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mas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frecuencia.</w:t>
      </w:r>
    </w:p>
    <w:p w:rsidR="00E63849" w:rsidRDefault="00E63849"/>
    <w:p w:rsidR="00E63849" w:rsidRDefault="00E63849"/>
    <w:p w:rsidR="00E63849" w:rsidRDefault="00E63849"/>
    <w:sectPr w:rsidR="00E63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49"/>
    <w:rsid w:val="00BA600F"/>
    <w:rsid w:val="00E63849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FE7B"/>
  <w15:chartTrackingRefBased/>
  <w15:docId w15:val="{E3F5CECB-2DE6-4073-A080-8CDFC211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3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84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E6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2020-05-07T16:56:00Z</dcterms:created>
  <dcterms:modified xsi:type="dcterms:W3CDTF">2020-05-07T16:59:00Z</dcterms:modified>
</cp:coreProperties>
</file>